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A6" w:rsidRPr="003A4AA6" w:rsidRDefault="003A4AA6" w:rsidP="003A4AA6">
      <w:pPr>
        <w:pBdr>
          <w:top w:val="single" w:sz="8" w:space="1" w:color="auto"/>
          <w:left w:val="single" w:sz="8" w:space="4" w:color="auto"/>
          <w:bottom w:val="single" w:sz="8" w:space="1" w:color="auto"/>
          <w:right w:val="single" w:sz="8" w:space="4" w:color="auto"/>
        </w:pBdr>
        <w:ind w:left="4677"/>
        <w:jc w:val="center"/>
        <w:rPr>
          <w:rFonts w:ascii="Times New Roman" w:hAnsi="Times New Roman"/>
          <w:sz w:val="28"/>
        </w:rPr>
      </w:pPr>
      <w:r w:rsidRPr="003A4AA6">
        <w:rPr>
          <w:rFonts w:ascii="Times New Roman" w:hAnsi="Times New Roman"/>
          <w:sz w:val="28"/>
        </w:rPr>
        <w:t>НАРОДНО СЪБРАНИЕ</w:t>
      </w:r>
    </w:p>
    <w:p w:rsidR="003A4AA6" w:rsidRPr="003A4AA6" w:rsidRDefault="003A4AA6" w:rsidP="003A4AA6">
      <w:pPr>
        <w:pBdr>
          <w:top w:val="single" w:sz="8" w:space="1" w:color="auto"/>
          <w:left w:val="single" w:sz="8" w:space="4" w:color="auto"/>
          <w:bottom w:val="single" w:sz="8" w:space="1" w:color="auto"/>
          <w:right w:val="single" w:sz="8" w:space="4" w:color="auto"/>
        </w:pBdr>
        <w:ind w:left="4677"/>
        <w:rPr>
          <w:rFonts w:ascii="Times New Roman" w:hAnsi="Times New Roman"/>
          <w:sz w:val="28"/>
        </w:rPr>
      </w:pPr>
      <w:r w:rsidRPr="003A4AA6">
        <w:rPr>
          <w:rFonts w:ascii="Times New Roman" w:hAnsi="Times New Roman"/>
          <w:sz w:val="28"/>
        </w:rPr>
        <w:t>Вх. №:</w:t>
      </w:r>
      <w:r>
        <w:rPr>
          <w:rFonts w:ascii="Times New Roman" w:hAnsi="Times New Roman"/>
          <w:sz w:val="28"/>
        </w:rPr>
        <w:t xml:space="preserve"> 51-402-01-17</w:t>
      </w:r>
    </w:p>
    <w:p w:rsidR="003A4AA6" w:rsidRDefault="003A4AA6" w:rsidP="003A4AA6">
      <w:pPr>
        <w:pBdr>
          <w:top w:val="single" w:sz="8" w:space="1" w:color="auto"/>
          <w:left w:val="single" w:sz="8" w:space="4" w:color="auto"/>
          <w:bottom w:val="single" w:sz="8" w:space="1" w:color="auto"/>
          <w:right w:val="single" w:sz="8" w:space="4" w:color="auto"/>
        </w:pBdr>
        <w:ind w:left="4677"/>
      </w:pPr>
      <w:r>
        <w:rPr>
          <w:noProof/>
          <w:lang w:eastAsia="bg-BG"/>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342900</wp:posOffset>
                </wp:positionV>
                <wp:extent cx="5765800" cy="21463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214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19E" w:rsidRPr="00ED336F" w:rsidRDefault="003A4AA6" w:rsidP="006705EC">
                            <w:pPr>
                              <w:jc w:val="center"/>
                              <w:rPr>
                                <w:rFonts w:ascii="Times New Roman" w:hAnsi="Times New Roman"/>
                                <w:b/>
                                <w:caps/>
                                <w:lang w:val="en-US"/>
                              </w:rPr>
                            </w:pPr>
                            <w:r>
                              <w:rPr>
                                <w:rFonts w:ascii="TimokU" w:hAnsi="TimokU"/>
                                <w:b/>
                                <w:caps/>
                                <w:noProof/>
                                <w:lang w:eastAsia="bg-BG"/>
                              </w:rPr>
                              <w:drawing>
                                <wp:inline distT="0" distB="0" distL="0" distR="0">
                                  <wp:extent cx="838200" cy="723900"/>
                                  <wp:effectExtent l="0" t="0" r="0" b="0"/>
                                  <wp:docPr id="2"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p w:rsidR="0071319E" w:rsidRPr="002C2296" w:rsidRDefault="0071319E" w:rsidP="006705EC">
                            <w:pPr>
                              <w:pStyle w:val="Caption"/>
                              <w:jc w:val="center"/>
                              <w:rPr>
                                <w:rFonts w:ascii="Times New Roman" w:hAnsi="Times New Roman"/>
                                <w:spacing w:val="80"/>
                                <w:sz w:val="20"/>
                              </w:rPr>
                            </w:pPr>
                            <w:r w:rsidRPr="002C2296">
                              <w:rPr>
                                <w:rFonts w:ascii="Times New Roman" w:hAnsi="Times New Roman"/>
                                <w:spacing w:val="80"/>
                                <w:sz w:val="20"/>
                              </w:rPr>
                              <w:t>Република българия</w:t>
                            </w:r>
                          </w:p>
                          <w:p w:rsidR="0071319E" w:rsidRPr="002C2296" w:rsidRDefault="0071319E" w:rsidP="006705EC">
                            <w:pPr>
                              <w:pStyle w:val="Heading7"/>
                              <w:jc w:val="center"/>
                              <w:rPr>
                                <w:rFonts w:ascii="Times New Roman" w:hAnsi="Times New Roman"/>
                                <w:spacing w:val="240"/>
                                <w:szCs w:val="24"/>
                              </w:rPr>
                            </w:pPr>
                            <w:r w:rsidRPr="002C2296">
                              <w:rPr>
                                <w:rFonts w:ascii="Times New Roman" w:hAnsi="Times New Roman"/>
                                <w:spacing w:val="240"/>
                                <w:sz w:val="24"/>
                                <w:szCs w:val="24"/>
                              </w:rPr>
                              <w:t>МИНИСТЕРСКИ СЪВЕТ</w:t>
                            </w:r>
                          </w:p>
                          <w:p w:rsidR="0071319E" w:rsidRDefault="0071319E" w:rsidP="006705EC">
                            <w:pPr>
                              <w:jc w:val="center"/>
                              <w:rPr>
                                <w:rFonts w:ascii="Times New Roman" w:hAnsi="Times New Roman"/>
                                <w:b/>
                              </w:rPr>
                            </w:pPr>
                          </w:p>
                          <w:p w:rsidR="0071319E" w:rsidRDefault="003A4AA6" w:rsidP="006705EC">
                            <w:pPr>
                              <w:rPr>
                                <w:rFonts w:ascii="Times New Roman" w:hAnsi="Times New Roman"/>
                                <w:b/>
                              </w:rPr>
                            </w:pPr>
                            <w:r>
                              <w:rPr>
                                <w:rFonts w:ascii="Times New Roman" w:hAnsi="Times New Roman"/>
                                <w:b/>
                                <w:noProof/>
                              </w:rPr>
                              <w:drawing>
                                <wp:inline distT="0" distB="0" distL="0" distR="0">
                                  <wp:extent cx="2390775" cy="790575"/>
                                  <wp:effectExtent l="0" t="0" r="0" b="0"/>
                                  <wp:docPr id="4" name="Picture 4"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Ред за подпис на Microsoft Office..."/>
                                          <pic:cNvPicPr>
                                            <a:picLocks noGrp="1"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8pt;margin-top:27pt;width:454pt;height:16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ggIAABA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" stroked="f">
                <v:textbox>
                  <w:txbxContent>
                    <w:p w:rsidR="0071319E" w:rsidRPr="00ED336F" w:rsidRDefault="003A4AA6" w:rsidP="006705EC">
                      <w:pPr>
                        <w:jc w:val="center"/>
                        <w:rPr>
                          <w:rFonts w:ascii="Times New Roman" w:hAnsi="Times New Roman"/>
                          <w:b/>
                          <w:caps/>
                          <w:lang w:val="en-US"/>
                        </w:rPr>
                      </w:pPr>
                      <w:r>
                        <w:rPr>
                          <w:rFonts w:ascii="TimokU" w:hAnsi="TimokU"/>
                          <w:b/>
                          <w:caps/>
                          <w:noProof/>
                          <w:lang w:eastAsia="bg-BG"/>
                        </w:rPr>
                        <w:drawing>
                          <wp:inline distT="0" distB="0" distL="0" distR="0">
                            <wp:extent cx="838200" cy="723900"/>
                            <wp:effectExtent l="0" t="0" r="0" b="0"/>
                            <wp:docPr id="2"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p w:rsidR="0071319E" w:rsidRPr="002C2296" w:rsidRDefault="0071319E" w:rsidP="006705EC">
                      <w:pPr>
                        <w:pStyle w:val="Caption"/>
                        <w:jc w:val="center"/>
                        <w:rPr>
                          <w:rFonts w:ascii="Times New Roman" w:hAnsi="Times New Roman"/>
                          <w:spacing w:val="80"/>
                          <w:sz w:val="20"/>
                        </w:rPr>
                      </w:pPr>
                      <w:r w:rsidRPr="002C2296">
                        <w:rPr>
                          <w:rFonts w:ascii="Times New Roman" w:hAnsi="Times New Roman"/>
                          <w:spacing w:val="80"/>
                          <w:sz w:val="20"/>
                        </w:rPr>
                        <w:t>Република българия</w:t>
                      </w:r>
                    </w:p>
                    <w:p w:rsidR="0071319E" w:rsidRPr="002C2296" w:rsidRDefault="0071319E" w:rsidP="006705EC">
                      <w:pPr>
                        <w:pStyle w:val="Heading7"/>
                        <w:jc w:val="center"/>
                        <w:rPr>
                          <w:rFonts w:ascii="Times New Roman" w:hAnsi="Times New Roman"/>
                          <w:spacing w:val="240"/>
                          <w:szCs w:val="24"/>
                        </w:rPr>
                      </w:pPr>
                      <w:r w:rsidRPr="002C2296">
                        <w:rPr>
                          <w:rFonts w:ascii="Times New Roman" w:hAnsi="Times New Roman"/>
                          <w:spacing w:val="240"/>
                          <w:sz w:val="24"/>
                          <w:szCs w:val="24"/>
                        </w:rPr>
                        <w:t>МИНИСТЕРСКИ СЪВЕТ</w:t>
                      </w:r>
                    </w:p>
                    <w:p w:rsidR="0071319E" w:rsidRDefault="0071319E" w:rsidP="006705EC">
                      <w:pPr>
                        <w:jc w:val="center"/>
                        <w:rPr>
                          <w:rFonts w:ascii="Times New Roman" w:hAnsi="Times New Roman"/>
                          <w:b/>
                        </w:rPr>
                      </w:pPr>
                    </w:p>
                    <w:p w:rsidR="0071319E" w:rsidRDefault="003A4AA6" w:rsidP="006705EC">
                      <w:pPr>
                        <w:rPr>
                          <w:rFonts w:ascii="Times New Roman" w:hAnsi="Times New Roman"/>
                          <w:b/>
                        </w:rPr>
                      </w:pPr>
                      <w:r>
                        <w:rPr>
                          <w:rFonts w:ascii="Times New Roman" w:hAnsi="Times New Roman"/>
                          <w:b/>
                          <w:noProof/>
                        </w:rPr>
                        <w:drawing>
                          <wp:inline distT="0" distB="0" distL="0" distR="0">
                            <wp:extent cx="2390775" cy="790575"/>
                            <wp:effectExtent l="0" t="0" r="0" b="0"/>
                            <wp:docPr id="4" name="Picture 4"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Ред за подпис на Microsoft Office..."/>
                                    <pic:cNvPicPr>
                                      <a:picLocks noGrp="1"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790575"/>
                                    </a:xfrm>
                                    <a:prstGeom prst="rect">
                                      <a:avLst/>
                                    </a:prstGeom>
                                    <a:noFill/>
                                    <a:ln>
                                      <a:noFill/>
                                    </a:ln>
                                  </pic:spPr>
                                </pic:pic>
                              </a:graphicData>
                            </a:graphic>
                          </wp:inline>
                        </w:drawing>
                      </w:r>
                    </w:p>
                  </w:txbxContent>
                </v:textbox>
                <w10:wrap anchorx="margin"/>
              </v:shape>
            </w:pict>
          </mc:Fallback>
        </mc:AlternateContent>
      </w:r>
      <w:r w:rsidRPr="003A4AA6">
        <w:rPr>
          <w:rFonts w:ascii="Times New Roman" w:hAnsi="Times New Roman"/>
          <w:sz w:val="28"/>
        </w:rPr>
        <w:t>Дата:</w:t>
      </w:r>
      <w:r>
        <w:rPr>
          <w:rFonts w:ascii="Times New Roman" w:hAnsi="Times New Roman"/>
          <w:sz w:val="28"/>
        </w:rPr>
        <w:t xml:space="preserve"> 12.12.2024 Г./ 08:32 ч.</w:t>
      </w:r>
      <w:bookmarkStart w:id="0" w:name="_GoBack"/>
      <w:bookmarkEnd w:id="0"/>
    </w:p>
    <w:p w:rsidR="0071319E" w:rsidRDefault="0071319E"/>
    <w:p w:rsidR="0071319E" w:rsidRPr="006705EC" w:rsidRDefault="0071319E" w:rsidP="006705EC"/>
    <w:p w:rsidR="0071319E" w:rsidRPr="006705EC" w:rsidRDefault="0071319E" w:rsidP="006705EC"/>
    <w:p w:rsidR="0071319E" w:rsidRPr="006705EC" w:rsidRDefault="0071319E" w:rsidP="006705EC"/>
    <w:p w:rsidR="0071319E" w:rsidRPr="006705EC" w:rsidRDefault="0071319E" w:rsidP="006705EC"/>
    <w:p w:rsidR="0071319E" w:rsidRPr="006705EC" w:rsidRDefault="0071319E" w:rsidP="006705EC"/>
    <w:p w:rsidR="0071319E" w:rsidRPr="006705EC" w:rsidRDefault="0071319E" w:rsidP="006705EC"/>
    <w:p w:rsidR="0071319E" w:rsidRPr="006705EC" w:rsidRDefault="0071319E" w:rsidP="006705EC"/>
    <w:p w:rsidR="0071319E" w:rsidRPr="00964A62" w:rsidRDefault="0071319E" w:rsidP="001776C6">
      <w:pPr>
        <w:spacing w:after="0"/>
        <w:ind w:left="5041"/>
        <w:rPr>
          <w:rFonts w:ascii="Times New Roman" w:hAnsi="Times New Roman"/>
          <w:b/>
          <w:sz w:val="26"/>
        </w:rPr>
      </w:pPr>
      <w:r w:rsidRPr="00964A62">
        <w:rPr>
          <w:rFonts w:ascii="Times New Roman" w:hAnsi="Times New Roman"/>
          <w:b/>
          <w:sz w:val="26"/>
        </w:rPr>
        <w:t>ДО</w:t>
      </w:r>
    </w:p>
    <w:p w:rsidR="0071319E" w:rsidRPr="00964A62" w:rsidRDefault="0071319E" w:rsidP="001776C6">
      <w:pPr>
        <w:spacing w:after="0"/>
        <w:ind w:left="5041"/>
        <w:rPr>
          <w:rFonts w:ascii="Times New Roman" w:hAnsi="Times New Roman"/>
          <w:b/>
          <w:sz w:val="26"/>
        </w:rPr>
      </w:pPr>
      <w:r w:rsidRPr="00964A62">
        <w:rPr>
          <w:rFonts w:ascii="Times New Roman" w:hAnsi="Times New Roman"/>
          <w:b/>
          <w:sz w:val="26"/>
        </w:rPr>
        <w:t xml:space="preserve">ПРЕДСЕДАТЕЛЯ НА </w:t>
      </w:r>
    </w:p>
    <w:p w:rsidR="0071319E" w:rsidRPr="00964A62" w:rsidRDefault="0071319E" w:rsidP="001776C6">
      <w:pPr>
        <w:spacing w:after="0"/>
        <w:ind w:left="5041"/>
        <w:rPr>
          <w:rFonts w:ascii="Times New Roman" w:hAnsi="Times New Roman"/>
          <w:b/>
          <w:sz w:val="26"/>
        </w:rPr>
      </w:pPr>
      <w:r w:rsidRPr="00964A62">
        <w:rPr>
          <w:rFonts w:ascii="Times New Roman" w:hAnsi="Times New Roman"/>
          <w:b/>
          <w:sz w:val="26"/>
        </w:rPr>
        <w:t>НАРОДНОТО СЪБРАНИЕ</w:t>
      </w:r>
    </w:p>
    <w:p w:rsidR="0071319E" w:rsidRDefault="0071319E" w:rsidP="004D3B45">
      <w:pPr>
        <w:spacing w:after="0"/>
        <w:ind w:left="5041"/>
        <w:rPr>
          <w:rFonts w:ascii="Times New Roman" w:hAnsi="Times New Roman"/>
          <w:b/>
          <w:sz w:val="16"/>
          <w:szCs w:val="16"/>
        </w:rPr>
      </w:pPr>
      <w:r w:rsidRPr="00E84E4E">
        <w:rPr>
          <w:rFonts w:ascii="Times New Roman" w:hAnsi="Times New Roman"/>
          <w:b/>
          <w:sz w:val="26"/>
          <w:szCs w:val="26"/>
        </w:rPr>
        <w:t xml:space="preserve">г-жа </w:t>
      </w:r>
      <w:r>
        <w:rPr>
          <w:rFonts w:ascii="Times New Roman" w:hAnsi="Times New Roman"/>
          <w:b/>
          <w:sz w:val="26"/>
          <w:szCs w:val="26"/>
        </w:rPr>
        <w:t>НАТАЛИЯ КИСЕЛОВА</w:t>
      </w:r>
    </w:p>
    <w:p w:rsidR="0071319E" w:rsidRPr="00252C49" w:rsidRDefault="0071319E" w:rsidP="004D3B45">
      <w:pPr>
        <w:tabs>
          <w:tab w:val="left" w:pos="1790"/>
        </w:tabs>
        <w:rPr>
          <w:sz w:val="16"/>
          <w:szCs w:val="16"/>
        </w:rPr>
      </w:pPr>
    </w:p>
    <w:p w:rsidR="0071319E" w:rsidRDefault="0071319E" w:rsidP="00DD2162">
      <w:pPr>
        <w:spacing w:before="120" w:after="0" w:line="288" w:lineRule="auto"/>
        <w:ind w:firstLine="1134"/>
        <w:jc w:val="both"/>
        <w:rPr>
          <w:rFonts w:ascii="Arial" w:hAnsi="Arial" w:cs="Arial"/>
          <w:sz w:val="24"/>
          <w:szCs w:val="24"/>
        </w:rPr>
      </w:pPr>
      <w:r>
        <w:rPr>
          <w:rFonts w:ascii="NewSaturionCyr" w:hAnsi="NewSaturionCyr" w:cs="Arial"/>
          <w:b/>
          <w:sz w:val="24"/>
          <w:szCs w:val="24"/>
        </w:rPr>
        <w:t>УВАЖАЕМА ГОСПОЖО ПРЕДСЕДАТЕЛ</w:t>
      </w:r>
      <w:r w:rsidRPr="00E84E4E">
        <w:rPr>
          <w:rFonts w:ascii="NewSaturionCyr" w:hAnsi="NewSaturionCyr" w:cs="Arial"/>
          <w:b/>
          <w:sz w:val="24"/>
          <w:szCs w:val="24"/>
        </w:rPr>
        <w:t>,</w:t>
      </w:r>
    </w:p>
    <w:p w:rsidR="0071319E" w:rsidRPr="004B7A79" w:rsidRDefault="0071319E" w:rsidP="00DD2162">
      <w:pPr>
        <w:spacing w:before="120" w:after="0" w:line="288" w:lineRule="auto"/>
        <w:ind w:firstLine="1134"/>
        <w:jc w:val="both"/>
        <w:rPr>
          <w:rFonts w:ascii="Arial" w:hAnsi="Arial" w:cs="Arial"/>
          <w:sz w:val="24"/>
          <w:szCs w:val="24"/>
          <w:lang w:val="en-US"/>
        </w:rPr>
      </w:pPr>
      <w:r w:rsidRPr="00CF0428">
        <w:rPr>
          <w:rFonts w:ascii="Arial" w:hAnsi="Arial" w:cs="Arial"/>
          <w:sz w:val="24"/>
          <w:szCs w:val="24"/>
        </w:rPr>
        <w:t xml:space="preserve">На основание чл. 87, ал. 1 от Конституцията на Република България изпращам Ви одобрения с Решение </w:t>
      </w:r>
      <w:r w:rsidRPr="00CF0428">
        <w:rPr>
          <w:rFonts w:ascii="Arial" w:hAnsi="Arial" w:cs="Arial"/>
          <w:sz w:val="24"/>
          <w:szCs w:val="24"/>
        </w:rPr>
        <w:sym w:font="Times New Roman" w:char="2116"/>
      </w:r>
      <w:r>
        <w:rPr>
          <w:rFonts w:ascii="Arial" w:hAnsi="Arial" w:cs="Arial"/>
          <w:sz w:val="24"/>
          <w:szCs w:val="24"/>
        </w:rPr>
        <w:t xml:space="preserve"> </w:t>
      </w:r>
      <w:r>
        <w:rPr>
          <w:rFonts w:ascii="Arial" w:hAnsi="Arial" w:cs="Arial"/>
          <w:sz w:val="24"/>
          <w:szCs w:val="24"/>
          <w:lang w:val="en-US"/>
        </w:rPr>
        <w:t>843</w:t>
      </w:r>
      <w:r w:rsidRPr="00CF0428">
        <w:rPr>
          <w:rFonts w:ascii="Arial" w:hAnsi="Arial" w:cs="Arial"/>
          <w:sz w:val="24"/>
          <w:szCs w:val="24"/>
        </w:rPr>
        <w:t xml:space="preserve"> на Министерския съвет от </w:t>
      </w:r>
      <w:r>
        <w:rPr>
          <w:rFonts w:ascii="Arial" w:hAnsi="Arial" w:cs="Arial"/>
          <w:sz w:val="24"/>
          <w:szCs w:val="24"/>
        </w:rPr>
        <w:t>202</w:t>
      </w:r>
      <w:r>
        <w:rPr>
          <w:rFonts w:ascii="Arial" w:hAnsi="Arial" w:cs="Arial"/>
          <w:sz w:val="24"/>
          <w:szCs w:val="24"/>
          <w:lang w:val="en-US"/>
        </w:rPr>
        <w:t>4</w:t>
      </w:r>
      <w:r w:rsidRPr="00CF0428">
        <w:rPr>
          <w:rFonts w:ascii="Arial" w:hAnsi="Arial" w:cs="Arial"/>
          <w:sz w:val="24"/>
          <w:szCs w:val="24"/>
        </w:rPr>
        <w:t xml:space="preserve"> г. проект на Закон за</w:t>
      </w:r>
      <w:r>
        <w:rPr>
          <w:rFonts w:ascii="Arial" w:hAnsi="Arial" w:cs="Arial"/>
          <w:sz w:val="24"/>
          <w:szCs w:val="24"/>
          <w:lang w:val="en-US"/>
        </w:rPr>
        <w:t xml:space="preserve"> </w:t>
      </w:r>
      <w:r w:rsidRPr="00657401">
        <w:rPr>
          <w:rFonts w:ascii="Arial" w:hAnsi="Arial" w:cs="Arial"/>
          <w:sz w:val="24"/>
          <w:szCs w:val="24"/>
        </w:rPr>
        <w:t>изменение и допълнение на Закона за киберсигурност.</w:t>
      </w:r>
    </w:p>
    <w:p w:rsidR="0071319E" w:rsidRPr="00CF0428" w:rsidRDefault="0071319E" w:rsidP="004D3B45">
      <w:pPr>
        <w:spacing w:before="120" w:after="0" w:line="240" w:lineRule="auto"/>
        <w:ind w:firstLine="1134"/>
        <w:jc w:val="both"/>
        <w:rPr>
          <w:rFonts w:ascii="Arial" w:hAnsi="Arial" w:cs="Arial"/>
          <w:sz w:val="24"/>
          <w:szCs w:val="24"/>
        </w:rPr>
      </w:pPr>
      <w:r w:rsidRPr="00CF0428">
        <w:rPr>
          <w:rFonts w:ascii="Arial" w:hAnsi="Arial" w:cs="Arial"/>
          <w:sz w:val="24"/>
          <w:szCs w:val="24"/>
          <w:u w:val="single"/>
        </w:rPr>
        <w:t>Приложения</w:t>
      </w:r>
      <w:r w:rsidRPr="00CF0428">
        <w:rPr>
          <w:rFonts w:ascii="Arial" w:hAnsi="Arial" w:cs="Arial"/>
          <w:sz w:val="24"/>
          <w:szCs w:val="24"/>
        </w:rPr>
        <w:t xml:space="preserve">: </w:t>
      </w:r>
    </w:p>
    <w:p w:rsidR="0071319E" w:rsidRPr="00657401" w:rsidRDefault="0071319E" w:rsidP="00D6401D">
      <w:pPr>
        <w:spacing w:before="120" w:after="0" w:line="288" w:lineRule="auto"/>
        <w:ind w:firstLine="1080"/>
        <w:jc w:val="both"/>
        <w:rPr>
          <w:rFonts w:ascii="Arial" w:hAnsi="Arial" w:cs="Arial"/>
          <w:lang w:val="en-US"/>
        </w:rPr>
      </w:pPr>
      <w:r w:rsidRPr="0027338E">
        <w:rPr>
          <w:rFonts w:ascii="Arial" w:hAnsi="Arial" w:cs="Arial"/>
        </w:rPr>
        <w:t>1. Мотиви към проекта на Закон за</w:t>
      </w:r>
      <w:r>
        <w:rPr>
          <w:rFonts w:ascii="Arial" w:hAnsi="Arial" w:cs="Arial"/>
          <w:lang w:val="en-US"/>
        </w:rPr>
        <w:t xml:space="preserve"> </w:t>
      </w:r>
      <w:r w:rsidRPr="00657401">
        <w:rPr>
          <w:rFonts w:ascii="Arial" w:hAnsi="Arial" w:cs="Arial"/>
        </w:rPr>
        <w:t>изменение и допълнение на Закона за киберсигурност</w:t>
      </w:r>
      <w:r>
        <w:rPr>
          <w:rFonts w:ascii="Arial" w:hAnsi="Arial" w:cs="Arial"/>
        </w:rPr>
        <w:t>.</w:t>
      </w:r>
    </w:p>
    <w:p w:rsidR="0071319E" w:rsidRPr="0027338E" w:rsidRDefault="0071319E" w:rsidP="00D6401D">
      <w:pPr>
        <w:spacing w:before="60" w:after="0" w:line="240" w:lineRule="auto"/>
        <w:ind w:firstLine="1080"/>
        <w:jc w:val="both"/>
        <w:rPr>
          <w:rFonts w:ascii="Arial" w:hAnsi="Arial" w:cs="Arial"/>
        </w:rPr>
      </w:pPr>
      <w:r>
        <w:rPr>
          <w:rFonts w:ascii="Arial" w:hAnsi="Arial" w:cs="Arial"/>
          <w:lang w:val="en-US"/>
        </w:rPr>
        <w:t xml:space="preserve">2. </w:t>
      </w:r>
      <w:r w:rsidRPr="0027338E">
        <w:rPr>
          <w:rFonts w:ascii="Arial" w:hAnsi="Arial" w:cs="Arial"/>
        </w:rPr>
        <w:t>Частична предварителна оценка на въздействието.</w:t>
      </w:r>
    </w:p>
    <w:p w:rsidR="0071319E" w:rsidRPr="0027338E" w:rsidRDefault="0071319E" w:rsidP="00D6401D">
      <w:pPr>
        <w:spacing w:before="60" w:after="0" w:line="240" w:lineRule="auto"/>
        <w:ind w:firstLine="1080"/>
        <w:jc w:val="both"/>
        <w:rPr>
          <w:rFonts w:ascii="Arial" w:hAnsi="Arial" w:cs="Arial"/>
        </w:rPr>
      </w:pPr>
      <w:r>
        <w:rPr>
          <w:rFonts w:ascii="Arial" w:hAnsi="Arial" w:cs="Arial"/>
        </w:rPr>
        <w:t xml:space="preserve">3. </w:t>
      </w:r>
      <w:r w:rsidRPr="0027338E">
        <w:rPr>
          <w:rFonts w:ascii="Arial" w:hAnsi="Arial" w:cs="Arial"/>
        </w:rPr>
        <w:t>Справка от Министерството на правосъдието за съответствие с К</w:t>
      </w:r>
      <w:r w:rsidRPr="0027338E">
        <w:rPr>
          <w:rFonts w:ascii="Arial" w:hAnsi="Arial" w:cs="Arial"/>
          <w:bCs/>
        </w:rPr>
        <w:t xml:space="preserve">онвенцията за защита на правата на човека и основните свободи </w:t>
      </w:r>
      <w:r w:rsidRPr="0027338E">
        <w:rPr>
          <w:rFonts w:ascii="Arial" w:hAnsi="Arial" w:cs="Arial"/>
        </w:rPr>
        <w:t>и с практиката на Европейския съд по правата на човека.</w:t>
      </w:r>
    </w:p>
    <w:p w:rsidR="0071319E" w:rsidRPr="0027338E" w:rsidRDefault="0071319E" w:rsidP="00D6401D">
      <w:pPr>
        <w:spacing w:before="60" w:after="0" w:line="240" w:lineRule="auto"/>
        <w:ind w:firstLine="1080"/>
        <w:jc w:val="both"/>
        <w:rPr>
          <w:rFonts w:ascii="Arial" w:hAnsi="Arial" w:cs="Arial"/>
        </w:rPr>
      </w:pPr>
      <w:r>
        <w:rPr>
          <w:rFonts w:ascii="Arial" w:hAnsi="Arial" w:cs="Arial"/>
        </w:rPr>
        <w:t>4. Справка за съответствие с правото на Европейския съюз.</w:t>
      </w:r>
    </w:p>
    <w:p w:rsidR="0071319E" w:rsidRPr="0027338E" w:rsidRDefault="0071319E" w:rsidP="00D6401D">
      <w:pPr>
        <w:spacing w:before="60" w:after="0" w:line="240" w:lineRule="auto"/>
        <w:ind w:firstLine="1080"/>
        <w:jc w:val="both"/>
        <w:rPr>
          <w:rFonts w:ascii="Arial" w:hAnsi="Arial" w:cs="Arial"/>
          <w:lang w:val="en-US"/>
        </w:rPr>
      </w:pPr>
      <w:r>
        <w:rPr>
          <w:rFonts w:ascii="Arial" w:hAnsi="Arial" w:cs="Arial"/>
          <w:lang w:val="en-US"/>
        </w:rPr>
        <w:t>5</w:t>
      </w:r>
      <w:r w:rsidRPr="0027338E">
        <w:rPr>
          <w:rFonts w:ascii="Arial" w:hAnsi="Arial" w:cs="Arial"/>
        </w:rPr>
        <w:t xml:space="preserve">. Справка за постъпилите </w:t>
      </w:r>
      <w:r>
        <w:rPr>
          <w:rFonts w:ascii="Arial" w:hAnsi="Arial" w:cs="Arial"/>
        </w:rPr>
        <w:t xml:space="preserve">бележки и </w:t>
      </w:r>
      <w:r w:rsidRPr="0027338E">
        <w:rPr>
          <w:rFonts w:ascii="Arial" w:hAnsi="Arial" w:cs="Arial"/>
        </w:rPr>
        <w:t xml:space="preserve">предложения от </w:t>
      </w:r>
      <w:r>
        <w:rPr>
          <w:rFonts w:ascii="Arial" w:hAnsi="Arial" w:cs="Arial"/>
        </w:rPr>
        <w:t>министерствата и ведомствата от проведеното междуведомствено съгласуване по проекта на акт.</w:t>
      </w:r>
    </w:p>
    <w:p w:rsidR="0071319E" w:rsidRPr="007A6654" w:rsidRDefault="0071319E" w:rsidP="00D6401D">
      <w:pPr>
        <w:spacing w:before="60" w:after="0" w:line="240" w:lineRule="auto"/>
        <w:ind w:firstLine="1080"/>
        <w:jc w:val="both"/>
        <w:rPr>
          <w:rFonts w:ascii="Arial" w:hAnsi="Arial" w:cs="Arial"/>
          <w:lang w:val="en-US"/>
        </w:rPr>
      </w:pPr>
      <w:r>
        <w:rPr>
          <w:rFonts w:ascii="Arial" w:hAnsi="Arial"/>
          <w:lang w:val="en-US"/>
        </w:rPr>
        <w:t>6</w:t>
      </w:r>
      <w:r w:rsidRPr="00BA1914">
        <w:rPr>
          <w:rFonts w:ascii="Arial" w:hAnsi="Arial"/>
        </w:rPr>
        <w:t xml:space="preserve">. Справка за </w:t>
      </w:r>
      <w:r>
        <w:rPr>
          <w:rFonts w:ascii="Arial" w:hAnsi="Arial"/>
        </w:rPr>
        <w:t>постъпилите предложения и становища от проведените обществени консултации.</w:t>
      </w:r>
    </w:p>
    <w:p w:rsidR="0071319E" w:rsidRDefault="0071319E" w:rsidP="006705EC">
      <w:pPr>
        <w:tabs>
          <w:tab w:val="left" w:pos="1790"/>
        </w:tabs>
        <w:rPr>
          <w:sz w:val="16"/>
          <w:szCs w:val="16"/>
        </w:rPr>
      </w:pPr>
    </w:p>
    <w:p w:rsidR="0071319E" w:rsidRDefault="0071319E" w:rsidP="006705EC">
      <w:pPr>
        <w:tabs>
          <w:tab w:val="left" w:pos="1790"/>
        </w:tabs>
        <w:rPr>
          <w:sz w:val="16"/>
          <w:szCs w:val="16"/>
        </w:rPr>
      </w:pPr>
    </w:p>
    <w:p w:rsidR="0071319E" w:rsidRPr="003B1FC8" w:rsidRDefault="0071319E" w:rsidP="003B1FC8">
      <w:pPr>
        <w:tabs>
          <w:tab w:val="left" w:pos="1790"/>
        </w:tabs>
        <w:spacing w:after="0" w:line="240" w:lineRule="auto"/>
        <w:ind w:left="1134"/>
        <w:rPr>
          <w:rFonts w:ascii="Times New Roman" w:hAnsi="Times New Roman"/>
          <w:b/>
          <w:sz w:val="26"/>
          <w:szCs w:val="26"/>
        </w:rPr>
      </w:pPr>
      <w:bookmarkStart w:id="1" w:name="_Hlk92799938"/>
      <w:r w:rsidRPr="003B1FC8">
        <w:rPr>
          <w:rFonts w:ascii="Times New Roman" w:hAnsi="Times New Roman"/>
          <w:b/>
          <w:sz w:val="26"/>
          <w:szCs w:val="26"/>
        </w:rPr>
        <w:t>МИНИСТЪР-ПРЕДСЕДАТЕЛ:</w:t>
      </w:r>
    </w:p>
    <w:p w:rsidR="0071319E" w:rsidRDefault="003A4AA6" w:rsidP="006705EC">
      <w:pPr>
        <w:tabs>
          <w:tab w:val="left" w:pos="1790"/>
        </w:tabs>
        <w:jc w:val="right"/>
        <w:rPr>
          <w:sz w:val="26"/>
          <w:szCs w:val="26"/>
        </w:rPr>
      </w:pPr>
      <w:r>
        <w:rPr>
          <w:noProof/>
          <w:sz w:val="26"/>
          <w:szCs w:val="26"/>
        </w:rPr>
        <w:drawing>
          <wp:inline distT="0" distB="0" distL="0" distR="0">
            <wp:extent cx="2447925" cy="742950"/>
            <wp:effectExtent l="0" t="0" r="0" b="0"/>
            <wp:docPr id="5" name="Picture 5"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5" descr="Ред за подпис на Microsoft Office..."/>
                    <pic:cNvPicPr>
                      <a:picLocks noGrp="1"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742950"/>
                    </a:xfrm>
                    <a:prstGeom prst="rect">
                      <a:avLst/>
                    </a:prstGeom>
                    <a:noFill/>
                    <a:ln>
                      <a:noFill/>
                    </a:ln>
                  </pic:spPr>
                </pic:pic>
              </a:graphicData>
            </a:graphic>
          </wp:inline>
        </w:drawing>
      </w:r>
      <w:bookmarkEnd w:id="1"/>
    </w:p>
    <w:p w:rsidR="003A4AA6" w:rsidRPr="003A4AA6" w:rsidRDefault="003A4AA6" w:rsidP="003A4AA6">
      <w:pPr>
        <w:tabs>
          <w:tab w:val="left" w:pos="1985"/>
        </w:tabs>
        <w:spacing w:after="0" w:line="240" w:lineRule="auto"/>
        <w:jc w:val="center"/>
        <w:rPr>
          <w:rFonts w:ascii="NewSaturionModernCyr" w:eastAsia="Times New Roman" w:hAnsi="NewSaturionModernCyr"/>
          <w:b/>
          <w:spacing w:val="50"/>
          <w:szCs w:val="20"/>
        </w:rPr>
      </w:pPr>
      <w:r w:rsidRPr="003A4AA6">
        <w:rPr>
          <w:rFonts w:ascii="NewSaturionModernCyr" w:eastAsia="Times New Roman" w:hAnsi="NewSaturionModernCyr"/>
          <w:b/>
          <w:noProof/>
          <w:spacing w:val="50"/>
          <w:szCs w:val="20"/>
        </w:rPr>
        <w:lastRenderedPageBreak/>
        <w:drawing>
          <wp:inline distT="0" distB="0" distL="0" distR="0">
            <wp:extent cx="838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p w:rsidR="003A4AA6" w:rsidRPr="003A4AA6" w:rsidRDefault="003A4AA6" w:rsidP="003A4AA6">
      <w:pPr>
        <w:tabs>
          <w:tab w:val="left" w:pos="1985"/>
        </w:tabs>
        <w:spacing w:after="0" w:line="240" w:lineRule="auto"/>
        <w:jc w:val="center"/>
        <w:rPr>
          <w:rFonts w:ascii="Times New Roman" w:eastAsia="Times New Roman" w:hAnsi="Times New Roman"/>
          <w:b/>
          <w:spacing w:val="50"/>
          <w:sz w:val="24"/>
          <w:szCs w:val="24"/>
        </w:rPr>
      </w:pPr>
      <w:r w:rsidRPr="003A4AA6">
        <w:rPr>
          <w:rFonts w:ascii="Times New Roman" w:eastAsia="Times New Roman" w:hAnsi="Times New Roman"/>
          <w:b/>
          <w:spacing w:val="50"/>
          <w:sz w:val="24"/>
          <w:szCs w:val="24"/>
        </w:rPr>
        <w:t>Р Е П У Б Л И К А   Б Ъ Л Г А Р И Я</w:t>
      </w:r>
    </w:p>
    <w:p w:rsidR="003A4AA6" w:rsidRPr="003A4AA6" w:rsidRDefault="003A4AA6" w:rsidP="003A4AA6">
      <w:pPr>
        <w:pBdr>
          <w:bottom w:val="single" w:sz="12" w:space="1" w:color="auto"/>
        </w:pBdr>
        <w:spacing w:after="0" w:line="240" w:lineRule="auto"/>
        <w:jc w:val="center"/>
        <w:rPr>
          <w:rFonts w:ascii="Times New Roman" w:eastAsia="Times New Roman" w:hAnsi="Times New Roman"/>
          <w:b/>
          <w:spacing w:val="100"/>
          <w:sz w:val="32"/>
          <w:szCs w:val="20"/>
        </w:rPr>
      </w:pPr>
      <w:r w:rsidRPr="003A4AA6">
        <w:rPr>
          <w:rFonts w:ascii="Times New Roman" w:eastAsia="Times New Roman" w:hAnsi="Times New Roman"/>
          <w:b/>
          <w:spacing w:val="60"/>
          <w:sz w:val="32"/>
          <w:szCs w:val="20"/>
        </w:rPr>
        <w:t xml:space="preserve">М И Н И С Т Е Р С К И   С Ъ В Е </w:t>
      </w:r>
      <w:r w:rsidRPr="003A4AA6">
        <w:rPr>
          <w:rFonts w:ascii="Times New Roman" w:eastAsia="Times New Roman" w:hAnsi="Times New Roman"/>
          <w:b/>
          <w:spacing w:val="100"/>
          <w:sz w:val="32"/>
          <w:szCs w:val="20"/>
        </w:rPr>
        <w:t>Т</w:t>
      </w:r>
    </w:p>
    <w:p w:rsidR="003A4AA6" w:rsidRPr="003A4AA6" w:rsidRDefault="003A4AA6" w:rsidP="003A4AA6">
      <w:pPr>
        <w:spacing w:after="0" w:line="240" w:lineRule="auto"/>
        <w:ind w:left="6480"/>
        <w:jc w:val="right"/>
        <w:rPr>
          <w:rFonts w:ascii="HebarU" w:eastAsia="Times New Roman" w:hAnsi="HebarU"/>
          <w:b/>
          <w:sz w:val="24"/>
          <w:szCs w:val="24"/>
        </w:rPr>
      </w:pPr>
      <w:r w:rsidRPr="003A4AA6">
        <w:rPr>
          <w:rFonts w:ascii="HebarU" w:eastAsia="Times New Roman" w:hAnsi="HebarU"/>
          <w:b/>
          <w:sz w:val="24"/>
          <w:szCs w:val="24"/>
        </w:rPr>
        <w:t>Препис</w:t>
      </w:r>
    </w:p>
    <w:p w:rsidR="003A4AA6" w:rsidRPr="003A4AA6" w:rsidRDefault="003A4AA6" w:rsidP="003A4AA6">
      <w:pPr>
        <w:spacing w:after="0" w:line="240" w:lineRule="auto"/>
        <w:jc w:val="center"/>
        <w:rPr>
          <w:rFonts w:ascii="NewSaturionCyr" w:eastAsia="Times New Roman" w:hAnsi="NewSaturionCyr"/>
          <w:szCs w:val="20"/>
        </w:rPr>
      </w:pPr>
    </w:p>
    <w:p w:rsidR="003A4AA6" w:rsidRPr="003A4AA6" w:rsidRDefault="003A4AA6" w:rsidP="003A4AA6">
      <w:pPr>
        <w:spacing w:after="0" w:line="360" w:lineRule="auto"/>
        <w:jc w:val="center"/>
        <w:rPr>
          <w:rFonts w:ascii="Times New Roman" w:eastAsia="Times New Roman" w:hAnsi="Times New Roman"/>
          <w:b/>
          <w:spacing w:val="100"/>
          <w:sz w:val="40"/>
          <w:szCs w:val="40"/>
        </w:rPr>
      </w:pPr>
      <w:r w:rsidRPr="003A4AA6">
        <w:rPr>
          <w:rFonts w:ascii="Times New Roman" w:eastAsia="Times New Roman" w:hAnsi="Times New Roman"/>
          <w:b/>
          <w:spacing w:val="100"/>
          <w:sz w:val="40"/>
          <w:szCs w:val="40"/>
        </w:rPr>
        <w:t xml:space="preserve">Р Е Ш Е Н И Е   </w:t>
      </w:r>
      <w:r w:rsidRPr="003A4AA6">
        <w:rPr>
          <w:rFonts w:ascii="Times New Roman" w:eastAsia="Times New Roman" w:hAnsi="Times New Roman"/>
          <w:b/>
          <w:spacing w:val="100"/>
          <w:sz w:val="40"/>
          <w:szCs w:val="40"/>
        </w:rPr>
        <w:sym w:font="Times New Roman" w:char="2116"/>
      </w:r>
      <w:r w:rsidRPr="003A4AA6">
        <w:rPr>
          <w:rFonts w:ascii="Times New Roman" w:eastAsia="Times New Roman" w:hAnsi="Times New Roman"/>
          <w:b/>
          <w:spacing w:val="100"/>
          <w:sz w:val="40"/>
          <w:szCs w:val="40"/>
        </w:rPr>
        <w:t xml:space="preserve"> 843</w:t>
      </w:r>
    </w:p>
    <w:p w:rsidR="003A4AA6" w:rsidRPr="003A4AA6" w:rsidRDefault="003A4AA6" w:rsidP="003A4AA6">
      <w:pPr>
        <w:spacing w:after="0" w:line="240" w:lineRule="auto"/>
        <w:jc w:val="center"/>
        <w:rPr>
          <w:rFonts w:ascii="NewSaturionModernCyr" w:eastAsia="Times New Roman" w:hAnsi="NewSaturionModernCyr"/>
          <w:b/>
          <w:sz w:val="28"/>
          <w:szCs w:val="20"/>
        </w:rPr>
      </w:pPr>
    </w:p>
    <w:p w:rsidR="003A4AA6" w:rsidRPr="003A4AA6" w:rsidRDefault="003A4AA6" w:rsidP="003A4AA6">
      <w:pPr>
        <w:spacing w:after="0" w:line="240" w:lineRule="auto"/>
        <w:jc w:val="center"/>
        <w:rPr>
          <w:rFonts w:ascii="Times New Roman" w:eastAsia="Times New Roman" w:hAnsi="Times New Roman"/>
          <w:b/>
          <w:sz w:val="30"/>
          <w:szCs w:val="30"/>
        </w:rPr>
      </w:pPr>
      <w:r w:rsidRPr="003A4AA6">
        <w:rPr>
          <w:rFonts w:ascii="Times New Roman" w:eastAsia="Times New Roman" w:hAnsi="Times New Roman"/>
          <w:b/>
          <w:sz w:val="30"/>
          <w:szCs w:val="30"/>
        </w:rPr>
        <w:t>от      11      декември      2024 година</w:t>
      </w:r>
    </w:p>
    <w:p w:rsidR="003A4AA6" w:rsidRPr="003A4AA6" w:rsidRDefault="003A4AA6" w:rsidP="003A4AA6">
      <w:pPr>
        <w:spacing w:after="0" w:line="240" w:lineRule="auto"/>
        <w:rPr>
          <w:rFonts w:ascii="NewSaturionModernCyr" w:eastAsia="Times New Roman" w:hAnsi="NewSaturionModernCyr"/>
          <w:sz w:val="24"/>
          <w:szCs w:val="20"/>
        </w:rPr>
      </w:pPr>
    </w:p>
    <w:p w:rsidR="003A4AA6" w:rsidRPr="003A4AA6" w:rsidRDefault="003A4AA6" w:rsidP="003A4AA6">
      <w:pPr>
        <w:tabs>
          <w:tab w:val="left" w:pos="6946"/>
          <w:tab w:val="left" w:pos="8931"/>
          <w:tab w:val="left" w:pos="9072"/>
        </w:tabs>
        <w:spacing w:after="0" w:line="240" w:lineRule="auto"/>
        <w:ind w:left="1560" w:right="44" w:hanging="426"/>
        <w:jc w:val="both"/>
        <w:rPr>
          <w:rFonts w:ascii="HebarU" w:eastAsia="Times New Roman" w:hAnsi="HebarU"/>
          <w:b/>
          <w:smallCaps/>
          <w:sz w:val="24"/>
          <w:szCs w:val="24"/>
        </w:rPr>
      </w:pPr>
      <w:r w:rsidRPr="003A4AA6">
        <w:rPr>
          <w:rFonts w:ascii="HebarU" w:eastAsia="Times New Roman" w:hAnsi="HebarU"/>
          <w:b/>
          <w:smallCaps/>
          <w:sz w:val="24"/>
          <w:szCs w:val="20"/>
        </w:rPr>
        <w:t xml:space="preserve">ЗА </w:t>
      </w:r>
      <w:r w:rsidRPr="003A4AA6">
        <w:rPr>
          <w:rFonts w:ascii="Arial" w:eastAsia="Times New Roman" w:hAnsi="Arial" w:cs="Arial"/>
          <w:b/>
          <w:smallCaps/>
          <w:sz w:val="26"/>
          <w:szCs w:val="26"/>
        </w:rPr>
        <w:t>одобряване на законопроект</w:t>
      </w:r>
    </w:p>
    <w:p w:rsidR="003A4AA6" w:rsidRPr="003A4AA6" w:rsidRDefault="003A4AA6" w:rsidP="003A4AA6">
      <w:pPr>
        <w:spacing w:after="0" w:line="240" w:lineRule="auto"/>
        <w:ind w:firstLine="1134"/>
        <w:jc w:val="both"/>
        <w:rPr>
          <w:rFonts w:ascii="Times New Roman" w:eastAsia="Times New Roman" w:hAnsi="Times New Roman"/>
          <w:sz w:val="24"/>
          <w:szCs w:val="20"/>
          <w:lang w:val="en-US"/>
        </w:rPr>
      </w:pPr>
    </w:p>
    <w:p w:rsidR="003A4AA6" w:rsidRPr="003A4AA6" w:rsidRDefault="003A4AA6" w:rsidP="003A4AA6">
      <w:pPr>
        <w:spacing w:after="0" w:line="240" w:lineRule="auto"/>
        <w:ind w:firstLine="1134"/>
        <w:jc w:val="both"/>
        <w:rPr>
          <w:rFonts w:ascii="Times New Roman" w:eastAsia="Times New Roman" w:hAnsi="Times New Roman"/>
          <w:sz w:val="24"/>
          <w:szCs w:val="20"/>
          <w:lang w:val="en-US"/>
        </w:rPr>
      </w:pPr>
    </w:p>
    <w:p w:rsidR="003A4AA6" w:rsidRPr="003A4AA6" w:rsidRDefault="003A4AA6" w:rsidP="003A4AA6">
      <w:pPr>
        <w:spacing w:before="120" w:after="0" w:line="288" w:lineRule="auto"/>
        <w:ind w:firstLine="1134"/>
        <w:jc w:val="both"/>
        <w:rPr>
          <w:rFonts w:ascii="Arial" w:eastAsia="Times New Roman" w:hAnsi="Arial" w:cs="Arial"/>
          <w:sz w:val="26"/>
          <w:szCs w:val="26"/>
        </w:rPr>
      </w:pPr>
      <w:r w:rsidRPr="003A4AA6">
        <w:rPr>
          <w:rFonts w:ascii="Arial" w:eastAsia="Times New Roman" w:hAnsi="Arial" w:cs="Arial"/>
          <w:sz w:val="26"/>
          <w:szCs w:val="26"/>
        </w:rPr>
        <w:t xml:space="preserve">На основание чл. 87, ал. 1 от Конституцията на Република България </w:t>
      </w:r>
    </w:p>
    <w:p w:rsidR="003A4AA6" w:rsidRPr="003A4AA6" w:rsidRDefault="003A4AA6" w:rsidP="003A4AA6">
      <w:pPr>
        <w:spacing w:after="0" w:line="240" w:lineRule="auto"/>
        <w:ind w:firstLine="1134"/>
        <w:jc w:val="both"/>
        <w:rPr>
          <w:rFonts w:ascii="Times New Roman" w:eastAsia="Times New Roman" w:hAnsi="Times New Roman"/>
          <w:sz w:val="24"/>
          <w:szCs w:val="20"/>
        </w:rPr>
      </w:pPr>
    </w:p>
    <w:p w:rsidR="003A4AA6" w:rsidRPr="003A4AA6" w:rsidRDefault="003A4AA6" w:rsidP="003A4AA6">
      <w:pPr>
        <w:spacing w:after="0" w:line="240" w:lineRule="auto"/>
        <w:ind w:firstLine="1134"/>
        <w:jc w:val="both"/>
        <w:rPr>
          <w:rFonts w:ascii="Times New Roman" w:eastAsia="Times New Roman" w:hAnsi="Times New Roman"/>
          <w:sz w:val="28"/>
          <w:szCs w:val="28"/>
        </w:rPr>
      </w:pPr>
    </w:p>
    <w:p w:rsidR="003A4AA6" w:rsidRPr="003A4AA6" w:rsidRDefault="003A4AA6" w:rsidP="003A4AA6">
      <w:pPr>
        <w:spacing w:after="0" w:line="360" w:lineRule="auto"/>
        <w:jc w:val="center"/>
        <w:rPr>
          <w:rFonts w:ascii="Times New Roman" w:eastAsia="Times New Roman" w:hAnsi="Times New Roman"/>
          <w:b/>
          <w:spacing w:val="40"/>
          <w:sz w:val="28"/>
          <w:szCs w:val="28"/>
        </w:rPr>
      </w:pPr>
      <w:r w:rsidRPr="003A4AA6">
        <w:rPr>
          <w:rFonts w:ascii="Times New Roman" w:eastAsia="Times New Roman" w:hAnsi="Times New Roman"/>
          <w:b/>
          <w:spacing w:val="40"/>
          <w:sz w:val="28"/>
          <w:szCs w:val="28"/>
        </w:rPr>
        <w:t>М И Н И С Т Е Р С К И Я Т    С Ъ В Е Т</w:t>
      </w:r>
    </w:p>
    <w:p w:rsidR="003A4AA6" w:rsidRPr="003A4AA6" w:rsidRDefault="003A4AA6" w:rsidP="003A4AA6">
      <w:pPr>
        <w:spacing w:after="120" w:line="240" w:lineRule="auto"/>
        <w:ind w:firstLine="1134"/>
        <w:jc w:val="center"/>
        <w:rPr>
          <w:rFonts w:ascii="Times New Roman" w:eastAsia="Times New Roman" w:hAnsi="Times New Roman"/>
          <w:b/>
          <w:spacing w:val="40"/>
          <w:sz w:val="28"/>
          <w:szCs w:val="28"/>
        </w:rPr>
      </w:pPr>
      <w:r w:rsidRPr="003A4AA6">
        <w:rPr>
          <w:rFonts w:ascii="Times New Roman" w:eastAsia="Times New Roman" w:hAnsi="Times New Roman"/>
          <w:b/>
          <w:spacing w:val="40"/>
          <w:sz w:val="28"/>
          <w:szCs w:val="28"/>
        </w:rPr>
        <w:t>Р Е Ш И:</w:t>
      </w:r>
    </w:p>
    <w:p w:rsidR="003A4AA6" w:rsidRPr="003A4AA6" w:rsidRDefault="003A4AA6" w:rsidP="003A4AA6">
      <w:pPr>
        <w:spacing w:after="120" w:line="240" w:lineRule="auto"/>
        <w:ind w:firstLine="1134"/>
        <w:jc w:val="center"/>
        <w:rPr>
          <w:rFonts w:ascii="Times New Roman" w:eastAsia="Times New Roman" w:hAnsi="Times New Roman"/>
          <w:b/>
          <w:spacing w:val="40"/>
          <w:sz w:val="28"/>
          <w:szCs w:val="28"/>
        </w:rPr>
      </w:pPr>
    </w:p>
    <w:p w:rsidR="003A4AA6" w:rsidRPr="003A4AA6" w:rsidRDefault="003A4AA6" w:rsidP="003A4AA6">
      <w:pPr>
        <w:spacing w:before="120" w:after="0" w:line="288" w:lineRule="auto"/>
        <w:ind w:firstLine="1134"/>
        <w:jc w:val="both"/>
        <w:rPr>
          <w:rFonts w:ascii="Arial" w:eastAsia="Times New Roman" w:hAnsi="Arial" w:cs="Arial"/>
          <w:sz w:val="26"/>
          <w:szCs w:val="26"/>
        </w:rPr>
      </w:pPr>
      <w:r w:rsidRPr="003A4AA6">
        <w:rPr>
          <w:rFonts w:ascii="Arial" w:eastAsia="Times New Roman" w:hAnsi="Arial" w:cs="Arial"/>
          <w:b/>
          <w:sz w:val="26"/>
          <w:szCs w:val="26"/>
        </w:rPr>
        <w:t>1.</w:t>
      </w:r>
      <w:r w:rsidRPr="003A4AA6">
        <w:rPr>
          <w:rFonts w:ascii="Arial" w:eastAsia="Times New Roman" w:hAnsi="Arial" w:cs="Arial"/>
          <w:sz w:val="26"/>
          <w:szCs w:val="26"/>
        </w:rPr>
        <w:t xml:space="preserve"> Одобрява проекта на Закон за изменение и допълнение на Закона за киберсигурност.</w:t>
      </w:r>
    </w:p>
    <w:p w:rsidR="003A4AA6" w:rsidRPr="003A4AA6" w:rsidRDefault="003A4AA6" w:rsidP="003A4AA6">
      <w:pPr>
        <w:spacing w:before="120" w:after="0" w:line="288" w:lineRule="auto"/>
        <w:ind w:firstLine="1134"/>
        <w:jc w:val="both"/>
        <w:rPr>
          <w:rFonts w:ascii="Arial" w:eastAsia="Times New Roman" w:hAnsi="Arial" w:cs="Arial"/>
          <w:sz w:val="26"/>
          <w:szCs w:val="26"/>
        </w:rPr>
      </w:pPr>
      <w:r w:rsidRPr="003A4AA6">
        <w:rPr>
          <w:rFonts w:ascii="Arial" w:eastAsia="Times New Roman" w:hAnsi="Arial" w:cs="Arial"/>
          <w:b/>
          <w:sz w:val="26"/>
          <w:szCs w:val="26"/>
        </w:rPr>
        <w:t>2.</w:t>
      </w:r>
      <w:r w:rsidRPr="003A4AA6">
        <w:rPr>
          <w:rFonts w:ascii="Arial" w:eastAsia="Times New Roman" w:hAnsi="Arial" w:cs="Arial"/>
          <w:sz w:val="26"/>
          <w:szCs w:val="26"/>
        </w:rPr>
        <w:t xml:space="preserve"> Предлага на Народното събрание да разгледа и приеме законопроекта по т. 1.</w:t>
      </w:r>
    </w:p>
    <w:p w:rsidR="003A4AA6" w:rsidRPr="003A4AA6" w:rsidRDefault="003A4AA6" w:rsidP="003A4AA6">
      <w:pPr>
        <w:tabs>
          <w:tab w:val="left" w:pos="993"/>
        </w:tabs>
        <w:spacing w:before="120" w:after="0" w:line="288" w:lineRule="auto"/>
        <w:ind w:firstLine="1134"/>
        <w:jc w:val="both"/>
        <w:rPr>
          <w:rFonts w:ascii="Arial" w:eastAsia="Times New Roman" w:hAnsi="Arial" w:cs="Arial"/>
          <w:sz w:val="26"/>
          <w:szCs w:val="26"/>
        </w:rPr>
      </w:pPr>
      <w:r w:rsidRPr="003A4AA6">
        <w:rPr>
          <w:rFonts w:ascii="Arial" w:eastAsia="Times New Roman" w:hAnsi="Arial" w:cs="Arial"/>
          <w:b/>
          <w:sz w:val="26"/>
          <w:szCs w:val="26"/>
        </w:rPr>
        <w:t>3.</w:t>
      </w:r>
      <w:r w:rsidRPr="003A4AA6">
        <w:rPr>
          <w:rFonts w:ascii="Arial" w:eastAsia="Times New Roman" w:hAnsi="Arial" w:cs="Arial"/>
          <w:sz w:val="26"/>
          <w:szCs w:val="26"/>
        </w:rPr>
        <w:t xml:space="preserve"> Министърът на електронното управление да представи законопроекта по т. 1 в Народното събрание.</w:t>
      </w:r>
    </w:p>
    <w:p w:rsidR="003A4AA6" w:rsidRPr="003A4AA6" w:rsidRDefault="003A4AA6" w:rsidP="003A4AA6">
      <w:pPr>
        <w:spacing w:before="120" w:after="0" w:line="288" w:lineRule="auto"/>
        <w:ind w:firstLine="1134"/>
        <w:jc w:val="both"/>
        <w:rPr>
          <w:rFonts w:ascii="Arial" w:eastAsia="Times New Roman" w:hAnsi="Arial" w:cs="Arial"/>
          <w:sz w:val="26"/>
          <w:szCs w:val="26"/>
        </w:rPr>
      </w:pPr>
    </w:p>
    <w:p w:rsidR="003A4AA6" w:rsidRPr="003A4AA6" w:rsidRDefault="003A4AA6" w:rsidP="003A4AA6">
      <w:pPr>
        <w:spacing w:before="120" w:after="0" w:line="288" w:lineRule="auto"/>
        <w:ind w:firstLine="1134"/>
        <w:jc w:val="both"/>
        <w:rPr>
          <w:rFonts w:ascii="Arial" w:eastAsia="Times New Roman" w:hAnsi="Arial" w:cs="Arial"/>
          <w:sz w:val="26"/>
          <w:szCs w:val="26"/>
        </w:rPr>
      </w:pP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 xml:space="preserve">МИНИСТЪР-ПРЕДСЕДАТЕЛ: /п/ </w:t>
      </w:r>
      <w:r w:rsidRPr="003A4AA6">
        <w:rPr>
          <w:rFonts w:ascii="Times New Roman" w:eastAsia="Times New Roman" w:hAnsi="Times New Roman"/>
          <w:b/>
          <w:sz w:val="26"/>
          <w:szCs w:val="26"/>
          <w:lang w:val="en-GB"/>
        </w:rPr>
        <w:t>Димитър Главчев</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ГЛАВЕН СЕКРЕТАР НА</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МИНИСТЕРСКИЯ СЪВЕТ:  /п/ Габриела Козарева</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p>
    <w:p w:rsidR="003A4AA6" w:rsidRPr="003A4AA6" w:rsidRDefault="003A4AA6" w:rsidP="003A4AA6">
      <w:pPr>
        <w:spacing w:after="0" w:line="240" w:lineRule="auto"/>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Вярно,</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НАЧАЛНИК НА ОТДЕЛ</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“ДЕЛОВОДСТВО, АРХИВ И</w:t>
      </w:r>
    </w:p>
    <w:p w:rsidR="003A4AA6" w:rsidRPr="003A4AA6" w:rsidRDefault="003A4AA6" w:rsidP="003A4AA6">
      <w:pPr>
        <w:spacing w:after="0" w:line="240" w:lineRule="auto"/>
        <w:ind w:firstLine="1134"/>
        <w:rPr>
          <w:rFonts w:ascii="Times New Roman" w:eastAsia="Times New Roman" w:hAnsi="Times New Roman"/>
          <w:b/>
          <w:sz w:val="26"/>
          <w:szCs w:val="26"/>
          <w:lang w:val="ru-RU"/>
        </w:rPr>
      </w:pPr>
      <w:r w:rsidRPr="003A4AA6">
        <w:rPr>
          <w:rFonts w:ascii="Times New Roman" w:eastAsia="Times New Roman" w:hAnsi="Times New Roman"/>
          <w:b/>
          <w:sz w:val="26"/>
          <w:szCs w:val="26"/>
          <w:lang w:val="ru-RU"/>
        </w:rPr>
        <w:t>ТЕХНИЧЕСКО ОСИГУРЯВАНЕ”:</w:t>
      </w:r>
    </w:p>
    <w:p w:rsidR="003A4AA6" w:rsidRPr="003A4AA6" w:rsidRDefault="003A4AA6" w:rsidP="003A4AA6">
      <w:pPr>
        <w:spacing w:after="0" w:line="240" w:lineRule="auto"/>
        <w:ind w:left="5387"/>
        <w:rPr>
          <w:rFonts w:ascii="NewSaturionModernCyr" w:eastAsia="Times New Roman" w:hAnsi="NewSaturionModernCyr"/>
          <w:sz w:val="24"/>
          <w:szCs w:val="20"/>
        </w:rPr>
      </w:pPr>
      <w:r w:rsidRPr="003A4AA6">
        <w:rPr>
          <w:rFonts w:ascii="Times New Roman" w:eastAsia="Times New Roman" w:hAnsi="Times New Roman"/>
          <w:b/>
          <w:sz w:val="26"/>
          <w:szCs w:val="26"/>
          <w:lang w:val="en-GB"/>
        </w:rPr>
        <w:t>/Жана Кадънкова/</w:t>
      </w:r>
    </w:p>
    <w:p w:rsidR="003A4AA6" w:rsidRPr="003A4AA6" w:rsidRDefault="003A4AA6" w:rsidP="003A4AA6">
      <w:pPr>
        <w:spacing w:after="0" w:line="240" w:lineRule="auto"/>
        <w:rPr>
          <w:rFonts w:ascii="Hebar" w:eastAsia="Times New Roman" w:hAnsi="Hebar"/>
          <w:sz w:val="24"/>
          <w:szCs w:val="20"/>
        </w:rPr>
        <w:sectPr w:rsidR="003A4AA6" w:rsidRPr="003A4AA6" w:rsidSect="00582D67">
          <w:headerReference w:type="even" r:id="rId11"/>
          <w:headerReference w:type="default" r:id="rId12"/>
          <w:footerReference w:type="default" r:id="rId13"/>
          <w:footerReference w:type="first" r:id="rId14"/>
          <w:pgSz w:w="11907" w:h="16840" w:code="9"/>
          <w:pgMar w:top="709" w:right="1463" w:bottom="1418" w:left="1469" w:header="426" w:footer="709" w:gutter="0"/>
          <w:cols w:space="708"/>
          <w:noEndnote/>
          <w:titlePg/>
        </w:sectPr>
      </w:pPr>
    </w:p>
    <w:p w:rsidR="003A4AA6" w:rsidRPr="003A4AA6" w:rsidRDefault="003A4AA6" w:rsidP="003A4AA6">
      <w:pPr>
        <w:spacing w:after="0" w:line="240" w:lineRule="auto"/>
        <w:jc w:val="center"/>
        <w:rPr>
          <w:rFonts w:ascii="Times New Roman" w:eastAsia="Times New Roman" w:hAnsi="Times New Roman"/>
          <w:b/>
          <w:sz w:val="26"/>
          <w:szCs w:val="20"/>
        </w:rPr>
      </w:pPr>
      <w:r w:rsidRPr="003A4AA6">
        <w:rPr>
          <w:rFonts w:ascii="Times New Roman" w:eastAsia="Times New Roman" w:hAnsi="Times New Roman"/>
          <w:b/>
          <w:sz w:val="24"/>
          <w:szCs w:val="20"/>
        </w:rPr>
        <w:lastRenderedPageBreak/>
        <w:t>Р Е П У Б Л И К А   Б Ъ Л Г А Р И Я</w:t>
      </w:r>
    </w:p>
    <w:p w:rsidR="003A4AA6" w:rsidRPr="003A4AA6" w:rsidRDefault="003A4AA6" w:rsidP="003A4AA6">
      <w:pPr>
        <w:pBdr>
          <w:bottom w:val="double" w:sz="6" w:space="1" w:color="auto"/>
        </w:pBdr>
        <w:spacing w:after="0" w:line="240" w:lineRule="auto"/>
        <w:jc w:val="center"/>
        <w:rPr>
          <w:rFonts w:ascii="Times New Roman" w:eastAsia="Times New Roman" w:hAnsi="Times New Roman"/>
          <w:b/>
          <w:sz w:val="32"/>
          <w:szCs w:val="32"/>
        </w:rPr>
      </w:pPr>
      <w:r w:rsidRPr="003A4AA6">
        <w:rPr>
          <w:rFonts w:ascii="Times New Roman" w:eastAsia="Times New Roman" w:hAnsi="Times New Roman"/>
          <w:b/>
          <w:spacing w:val="100"/>
          <w:sz w:val="32"/>
          <w:szCs w:val="32"/>
        </w:rPr>
        <w:t>НАРОДНО СЪБРАНИЕ</w:t>
      </w:r>
    </w:p>
    <w:p w:rsidR="003A4AA6" w:rsidRPr="003A4AA6" w:rsidRDefault="003A4AA6" w:rsidP="003A4AA6">
      <w:pPr>
        <w:spacing w:after="0" w:line="240" w:lineRule="auto"/>
        <w:jc w:val="right"/>
        <w:rPr>
          <w:rFonts w:ascii="NewSaturionCyr" w:eastAsia="Times New Roman" w:hAnsi="NewSaturionCyr"/>
          <w:b/>
          <w:sz w:val="26"/>
          <w:szCs w:val="20"/>
        </w:rPr>
      </w:pPr>
      <w:r>
        <w:rPr>
          <w:rFonts w:ascii="NewSaturionCyr" w:eastAsia="Times New Roman" w:hAnsi="NewSaturionCyr"/>
          <w:b/>
          <w:i/>
          <w:sz w:val="26"/>
          <w:szCs w:val="20"/>
        </w:rPr>
        <w:t>ПРЕПИС</w:t>
      </w:r>
    </w:p>
    <w:p w:rsidR="003A4AA6" w:rsidRPr="003A4AA6" w:rsidRDefault="003A4AA6" w:rsidP="003A4AA6">
      <w:pPr>
        <w:spacing w:after="0" w:line="240" w:lineRule="auto"/>
        <w:jc w:val="both"/>
        <w:rPr>
          <w:rFonts w:ascii="NewSaturionCyr" w:eastAsia="Times New Roman" w:hAnsi="NewSaturionCyr"/>
          <w:b/>
          <w:sz w:val="26"/>
          <w:szCs w:val="20"/>
        </w:rPr>
      </w:pPr>
    </w:p>
    <w:p w:rsidR="003A4AA6" w:rsidRPr="003A4AA6" w:rsidRDefault="003A4AA6" w:rsidP="003A4AA6">
      <w:pPr>
        <w:spacing w:after="0" w:line="240" w:lineRule="auto"/>
        <w:jc w:val="both"/>
        <w:rPr>
          <w:rFonts w:ascii="NewSaturionCyr" w:eastAsia="Times New Roman" w:hAnsi="NewSaturionCyr"/>
          <w:b/>
          <w:sz w:val="26"/>
          <w:szCs w:val="20"/>
        </w:rPr>
      </w:pPr>
    </w:p>
    <w:p w:rsidR="003A4AA6" w:rsidRPr="003A4AA6" w:rsidRDefault="003A4AA6" w:rsidP="003A4AA6">
      <w:pPr>
        <w:keepNext/>
        <w:spacing w:after="0" w:line="240" w:lineRule="auto"/>
        <w:jc w:val="center"/>
        <w:outlineLvl w:val="0"/>
        <w:rPr>
          <w:rFonts w:ascii="Times New Roman" w:eastAsia="Times New Roman" w:hAnsi="Times New Roman"/>
          <w:b/>
          <w:sz w:val="36"/>
          <w:szCs w:val="36"/>
        </w:rPr>
      </w:pPr>
      <w:r w:rsidRPr="003A4AA6">
        <w:rPr>
          <w:rFonts w:ascii="Times New Roman" w:eastAsia="Times New Roman" w:hAnsi="Times New Roman"/>
          <w:b/>
          <w:sz w:val="36"/>
          <w:szCs w:val="36"/>
        </w:rPr>
        <w:t>З  А  К  О  Н</w:t>
      </w:r>
    </w:p>
    <w:p w:rsidR="003A4AA6" w:rsidRPr="003A4AA6" w:rsidRDefault="003A4AA6" w:rsidP="003A4AA6">
      <w:pPr>
        <w:spacing w:after="0" w:line="240" w:lineRule="auto"/>
        <w:rPr>
          <w:rFonts w:ascii="Times New Roman" w:eastAsia="Times New Roman" w:hAnsi="Times New Roman"/>
          <w:sz w:val="24"/>
          <w:szCs w:val="20"/>
        </w:rPr>
      </w:pPr>
    </w:p>
    <w:p w:rsidR="003A4AA6" w:rsidRPr="003A4AA6" w:rsidRDefault="003A4AA6" w:rsidP="003A4AA6">
      <w:pPr>
        <w:spacing w:before="120" w:after="0" w:line="288" w:lineRule="auto"/>
        <w:jc w:val="center"/>
        <w:rPr>
          <w:rFonts w:ascii="Arial" w:eastAsia="Times New Roman" w:hAnsi="Arial" w:cs="Arial"/>
          <w:b/>
          <w:smallCaps/>
          <w:sz w:val="26"/>
          <w:szCs w:val="26"/>
        </w:rPr>
      </w:pPr>
      <w:r w:rsidRPr="003A4AA6">
        <w:rPr>
          <w:rFonts w:ascii="Arial" w:eastAsia="Times New Roman" w:hAnsi="Arial" w:cs="Arial"/>
          <w:b/>
          <w:sz w:val="26"/>
          <w:szCs w:val="26"/>
        </w:rPr>
        <w:t>ЗА</w:t>
      </w:r>
      <w:r w:rsidRPr="003A4AA6">
        <w:rPr>
          <w:rFonts w:ascii="Arial" w:eastAsia="Times New Roman" w:hAnsi="Arial" w:cs="Arial"/>
          <w:b/>
          <w:bCs/>
          <w:smallCaps/>
          <w:sz w:val="26"/>
          <w:szCs w:val="26"/>
        </w:rPr>
        <w:t xml:space="preserve"> </w:t>
      </w:r>
      <w:r w:rsidRPr="003A4AA6">
        <w:rPr>
          <w:rFonts w:ascii="Arial" w:eastAsia="Times New Roman" w:hAnsi="Arial" w:cs="Arial"/>
          <w:b/>
          <w:smallCaps/>
          <w:sz w:val="26"/>
          <w:szCs w:val="26"/>
        </w:rPr>
        <w:t>изменение и допълнение на Закона за киберсигурност</w:t>
      </w:r>
    </w:p>
    <w:p w:rsidR="003A4AA6" w:rsidRPr="003A4AA6" w:rsidRDefault="003A4AA6" w:rsidP="003A4AA6">
      <w:pPr>
        <w:spacing w:before="120" w:after="0" w:line="288" w:lineRule="auto"/>
        <w:jc w:val="center"/>
        <w:rPr>
          <w:rFonts w:ascii="Arial" w:eastAsia="Times New Roman" w:hAnsi="Arial" w:cs="Arial"/>
          <w:b/>
          <w:bCs/>
          <w:smallCaps/>
          <w:sz w:val="26"/>
          <w:szCs w:val="26"/>
        </w:rPr>
      </w:pPr>
      <w:r w:rsidRPr="003A4AA6">
        <w:rPr>
          <w:rFonts w:ascii="Arial" w:eastAsia="Times New Roman" w:hAnsi="Arial" w:cs="Arial"/>
          <w:iCs/>
          <w:sz w:val="26"/>
          <w:szCs w:val="26"/>
        </w:rPr>
        <w:t>(</w:t>
      </w:r>
      <w:r w:rsidRPr="003A4AA6">
        <w:rPr>
          <w:rFonts w:ascii="Arial" w:eastAsia="Times New Roman" w:hAnsi="Arial" w:cs="Arial"/>
          <w:iCs/>
          <w:caps/>
          <w:sz w:val="26"/>
          <w:szCs w:val="26"/>
        </w:rPr>
        <w:t>о</w:t>
      </w:r>
      <w:r w:rsidRPr="003A4AA6">
        <w:rPr>
          <w:rFonts w:ascii="Arial" w:eastAsia="Times New Roman" w:hAnsi="Arial" w:cs="Arial"/>
          <w:iCs/>
          <w:sz w:val="26"/>
          <w:szCs w:val="26"/>
        </w:rPr>
        <w:t>бн., ДВ., бр. 94 от 2018 г.; изм. и доп., бр. 69 и 85 от 2020 г. и бр. 15 и 25 от 2022 г.)</w:t>
      </w:r>
    </w:p>
    <w:p w:rsidR="003A4AA6" w:rsidRPr="003A4AA6" w:rsidRDefault="003A4AA6" w:rsidP="003A4AA6">
      <w:pPr>
        <w:spacing w:before="120" w:after="0" w:line="288" w:lineRule="auto"/>
        <w:ind w:firstLine="1134"/>
        <w:jc w:val="both"/>
        <w:rPr>
          <w:rFonts w:ascii="Arial" w:eastAsia="Times New Roman" w:hAnsi="Arial" w:cs="Arial"/>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w:t>
      </w:r>
      <w:r w:rsidRPr="003A4AA6">
        <w:rPr>
          <w:rFonts w:ascii="Arial" w:eastAsia="Times New Roman" w:hAnsi="Arial" w:cs="Arial"/>
          <w:bCs/>
          <w:sz w:val="26"/>
          <w:szCs w:val="26"/>
        </w:rPr>
        <w:t xml:space="preserve"> В чл. 1, ал. 1 се правят следните изменения: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т. 1 думите „включително дейности и проекти по киберотбрана и по противодействие“ се заменят с „координация и сътрудничество в областта на киберотбраната и противодействието“.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т. 2 думите „мрежова и информационна сигурност“ се заменят с „киберсигурност в Република България“.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w:t>
      </w:r>
      <w:r w:rsidRPr="003A4AA6">
        <w:rPr>
          <w:rFonts w:ascii="Arial" w:eastAsia="Times New Roman" w:hAnsi="Arial" w:cs="Arial"/>
          <w:bCs/>
          <w:sz w:val="26"/>
          <w:szCs w:val="26"/>
        </w:rPr>
        <w:t xml:space="preserve"> В чл. 2 ал. 1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Киберсигурност означава дейностите, необходими за защита от киберзаплахи на мрежите и информационните системи, на ползвателите на такива мрежи и системи и на други лица, засегнати от киберзаплахи.“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3.</w:t>
      </w:r>
      <w:r w:rsidRPr="003A4AA6">
        <w:rPr>
          <w:rFonts w:ascii="Arial" w:eastAsia="Times New Roman" w:hAnsi="Arial" w:cs="Arial"/>
          <w:bCs/>
          <w:sz w:val="26"/>
          <w:szCs w:val="26"/>
        </w:rPr>
        <w:t xml:space="preserve"> В чл. 3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Заглавието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„Мерки за високо общо ниво на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1 думите „мрежова и информационна сигурност“ се заменят с „високо общо ниво на киберсигурност“ и думите „чл. 4, ал. 1“ се заменят с „чл. 4 и чл. 4а“.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 ал. 2 думите „мрежова и информационна сигурност, както и други препоръчителни мерки“ се заменят с „постигане на високо общо ниво на киберсигурност за субектите по чл. 4 и чл. 4а с изключение на посочените в чл. 4, т. 3, буква „а“.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4. Алинеи 3 и 4 се изменят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Минималният обхват на мерките за постигане на високо общо ниво на киберсигурност за субектите по чл. 4, т. 3, букви „а“ и „б“ и </w:t>
      </w:r>
      <w:r w:rsidRPr="003A4AA6">
        <w:rPr>
          <w:rFonts w:ascii="Arial" w:eastAsia="Times New Roman" w:hAnsi="Arial" w:cs="Arial"/>
          <w:bCs/>
          <w:sz w:val="26"/>
          <w:szCs w:val="26"/>
        </w:rPr>
        <w:lastRenderedPageBreak/>
        <w:t>приложение II, т. 1 се определят с наредба на Министерския съвет по предложение на Комисията за регулиране на съобщенията и на министъра на електронното управление. Мерките не може да налагат използването на определен тип технология.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Наредбите по ал. 2 и ал. 3 не се прилагат за ведомствата по чл. 5, т.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4.</w:t>
      </w:r>
      <w:r w:rsidRPr="003A4AA6">
        <w:rPr>
          <w:rFonts w:ascii="Arial" w:eastAsia="Times New Roman" w:hAnsi="Arial" w:cs="Arial"/>
          <w:bCs/>
          <w:sz w:val="26"/>
          <w:szCs w:val="26"/>
        </w:rPr>
        <w:t xml:space="preserve"> Член 4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„Обхват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4. С този закон се определят изискванията към:</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w:t>
      </w:r>
      <w:r w:rsidRPr="003A4AA6">
        <w:rPr>
          <w:rFonts w:ascii="Arial" w:eastAsia="Times New Roman" w:hAnsi="Arial" w:cs="Arial"/>
          <w:bCs/>
          <w:sz w:val="26"/>
          <w:szCs w:val="26"/>
        </w:rPr>
        <w:tab/>
        <w:t>административните органи;</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w:t>
      </w:r>
      <w:r w:rsidRPr="003A4AA6">
        <w:rPr>
          <w:rFonts w:ascii="Arial" w:eastAsia="Times New Roman" w:hAnsi="Arial" w:cs="Arial"/>
          <w:bCs/>
          <w:sz w:val="26"/>
          <w:szCs w:val="26"/>
        </w:rPr>
        <w:tab/>
        <w:t>публични и частни субекти от видовете, посочени в приложение I или II, които отговарят на критериите за средни предприятия съгласно чл. 3, ал. 1 от Закона за малките и средни предприятия или надхвърлят таваните за средни предприятия от посочения член и които предоставят своите услуги или извършват дейности в рамките на Европейския съюз. При установяване размера на предприятието не се прилага чл. 4, ал. 9 от Закона за малките и средните предприятия;</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w:t>
      </w:r>
      <w:r w:rsidRPr="003A4AA6">
        <w:rPr>
          <w:rFonts w:ascii="Arial" w:eastAsia="Times New Roman" w:hAnsi="Arial" w:cs="Arial"/>
          <w:bCs/>
          <w:sz w:val="26"/>
          <w:szCs w:val="26"/>
        </w:rPr>
        <w:tab/>
        <w:t>субекти от видовете, посочени в приложение I или II, независимо от техния размер, когато: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услугите се предоставят от доставчици на обществени електронни съобщителни мрежи или на обществено достъпни електронни съобщителни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услугите се предоставят от доставчици на удостоверителни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 услугите се предоставят от регистри на имена на домейни от първо ниво и доставчици на системни услуги за имена на домейни;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г) субектът е единствен доставчик на услуга, която е от съществено значение за поддържането на критични обществени и икономически дейности;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д) смущение (за определено време) в предоставяната от субекта услуга би могло да окаже значително въздействие върху обществената безопасност, обществената сигурност или общественото здраве;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е) смущение в предоставяната от субекта услуга би могло да предизвика значителен системен риск, по-специално за секторите, в които такова смущение би могло да има трансгранично въздействие;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ж) субектът е критичен поради своята специфична значимост на национално или регионално равнище за конкретния сектор или вид услуга или за други взаимозависими сектори в Република България;</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w:t>
      </w:r>
      <w:r w:rsidRPr="003A4AA6">
        <w:rPr>
          <w:rFonts w:ascii="Arial" w:eastAsia="Times New Roman" w:hAnsi="Arial" w:cs="Arial"/>
          <w:bCs/>
          <w:sz w:val="26"/>
          <w:szCs w:val="26"/>
        </w:rPr>
        <w:tab/>
        <w:t>субекти, установени като критични субекти съгласно Директива (ЕС) 2022/2557;</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w:t>
      </w:r>
      <w:r w:rsidRPr="003A4AA6">
        <w:rPr>
          <w:rFonts w:ascii="Arial" w:eastAsia="Times New Roman" w:hAnsi="Arial" w:cs="Arial"/>
          <w:bCs/>
          <w:sz w:val="26"/>
          <w:szCs w:val="26"/>
        </w:rPr>
        <w:tab/>
        <w:t>субекти, предоставящи услуги за регистрация на имена на домейни;</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w:t>
      </w:r>
      <w:r w:rsidRPr="003A4AA6">
        <w:rPr>
          <w:rFonts w:ascii="Arial" w:eastAsia="Times New Roman" w:hAnsi="Arial" w:cs="Arial"/>
          <w:bCs/>
          <w:sz w:val="26"/>
          <w:szCs w:val="26"/>
        </w:rPr>
        <w:tab/>
        <w:t>образователни институции, когато извършват научноизследователски дейности от критично значение;</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w:t>
      </w:r>
      <w:r w:rsidRPr="003A4AA6">
        <w:rPr>
          <w:rFonts w:ascii="Arial" w:eastAsia="Times New Roman" w:hAnsi="Arial" w:cs="Arial"/>
          <w:bCs/>
          <w:sz w:val="26"/>
          <w:szCs w:val="26"/>
        </w:rPr>
        <w:tab/>
        <w:t>лицата, осъществяващи публични функции, които не са определени като съществени или важни субекти на друго основание, когато предоставят административни услуги по електронен път;</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w:t>
      </w:r>
      <w:r w:rsidRPr="003A4AA6">
        <w:rPr>
          <w:rFonts w:ascii="Arial" w:eastAsia="Times New Roman" w:hAnsi="Arial" w:cs="Arial"/>
          <w:bCs/>
          <w:sz w:val="26"/>
          <w:szCs w:val="26"/>
        </w:rPr>
        <w:tab/>
        <w:t>организациите, предоставящи обществени услуги, които не са съществени или важни субекти на друго основание, когато предоставят административни услуги по електронен път.“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5.</w:t>
      </w:r>
      <w:r w:rsidRPr="003A4AA6">
        <w:rPr>
          <w:rFonts w:ascii="Arial" w:eastAsia="Times New Roman" w:hAnsi="Arial" w:cs="Arial"/>
          <w:bCs/>
          <w:sz w:val="26"/>
          <w:szCs w:val="26"/>
        </w:rPr>
        <w:t xml:space="preserve"> Създава се чл. 4а: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„Съществени и важни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4а. (1) За целите на закона следните субекти се считат за съществени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субекти от видовете, посочени в приложение I, които надхвърлят таваните за средни предприятия, установени в чл. 3, ал. 1 от Закона за малките и средните предприятия;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доставчици на квалифицирани удостоверителни услуги и регистри на имена на домейни от първо ниво, както и доставчици на </w:t>
      </w:r>
      <w:r w:rsidRPr="003A4AA6">
        <w:rPr>
          <w:rFonts w:ascii="Arial" w:eastAsia="Times New Roman" w:hAnsi="Arial" w:cs="Arial"/>
          <w:bCs/>
          <w:sz w:val="26"/>
          <w:szCs w:val="26"/>
        </w:rPr>
        <w:br/>
        <w:t>DNS услуги, независимо от техния размер;</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доставчици на обществени електронни съобщителни мрежи или на обществено достъпни електронни съобщителни услуги, които отговарят на критериите за средни предприятия по смисъла на чл. 3, </w:t>
      </w:r>
      <w:r w:rsidRPr="003A4AA6">
        <w:rPr>
          <w:rFonts w:ascii="Arial" w:eastAsia="Times New Roman" w:hAnsi="Arial" w:cs="Arial"/>
          <w:bCs/>
          <w:sz w:val="26"/>
          <w:szCs w:val="26"/>
        </w:rPr>
        <w:br/>
        <w:t>ал. 1 от Закона за малките и средните предприятия;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субектите по чл. 4, т. 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5. всички други субекти от видовете, посочени в приложение I или II, които са установени като съществени субекти съгласно чл. 4, т. 3, букви „г“-„ж“;</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субектите, посочени в чл. 4, т. 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определените като оператори на съществени услуги към датата на влизане в сила на настоящия закон.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За целите на закона субектите от видовете, посочени в приложение I или II, които не отговарят на критериите за съществени субекти съгласно ал. 1, се считат за важни субекти. В това число се включват субекти, установени като важни субекти съгласно чл. 4, т. 3, букви „г“ – „ж“.“</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6.</w:t>
      </w:r>
      <w:r w:rsidRPr="003A4AA6">
        <w:rPr>
          <w:rFonts w:ascii="Arial" w:eastAsia="Times New Roman" w:hAnsi="Arial" w:cs="Arial"/>
          <w:bCs/>
          <w:sz w:val="26"/>
          <w:szCs w:val="26"/>
        </w:rPr>
        <w:t xml:space="preserve"> В чл. 5 се правят следните изменения: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т. 2 думите „Служба „Военно разузнаване“ се заменят с „Комисията за противодействие на корупцията“.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Точка 3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по отношение на информационните системи, дефинирани като критични в стратегически обекти или субектите, осъществяващи стратегически дейности, определени от ръководителите на стратегическите обекти и възлагащите стратегически дейности, които са от значение за националната сигурност, по смисъла на Наредбата за условията и реда за определяне на мерките за защита на информационните и комуникационните системи на стратегическите обекти от значение за националната сигурност и за осъществяването на контрол.“</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Точки 4 и 5 се отменят.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7.</w:t>
      </w:r>
      <w:r w:rsidRPr="003A4AA6">
        <w:rPr>
          <w:rFonts w:ascii="Arial" w:eastAsia="Times New Roman" w:hAnsi="Arial" w:cs="Arial"/>
          <w:bCs/>
          <w:sz w:val="26"/>
          <w:szCs w:val="26"/>
        </w:rPr>
        <w:t xml:space="preserve"> Член 6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„Регистър</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6. (1) Министърът на електронното управление създава, води и поддържа регистър на субектите по чл. 4 и чл. 4а, който съдържа следната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наименованието на субекта;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адрес и актуални данни за контакт, включително адреси на електронната поща и телефонни номера;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IP обхвати;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4. когато е приложимо, съответния сектор, подсектор и вид субект, както е посочено в приложение I или II;</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когато е приложимо, списък на държавите членки, в които те предоставят услуги, попадащи в обхвата на този закон;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когато е приложимо, данни за контакт на представителя, определен съгласно чл. 27а, ал.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Доставчиците на DNS услуги, регистрите на имена на домейни от първо ниво, субектите, предоставящи услуги за регистриране на имена на домейни, доставчиците на компютърни услуги в облак, доставчиците на услуги на центрове за данни, доставчиците на мрежи за предоставяне на съдържание, доставчиците на управлявани услуги, доставчиците на управлявани услуги за сигурност, както и доставчиците на онлайн места за търговия, на онлайн търсачки и на платформи на услуги за социални мрежи предоставят на националните компетентни органи по чл. 16 информация за адреса на основното място на установяване и на останалите законови места на установяване на територията на Европейския съюз или, при липсата на място на установяване в Съюза, на неговия представител, определен съгласно </w:t>
      </w:r>
      <w:r w:rsidRPr="003A4AA6">
        <w:rPr>
          <w:rFonts w:ascii="Arial" w:eastAsia="Times New Roman" w:hAnsi="Arial" w:cs="Arial"/>
          <w:bCs/>
          <w:sz w:val="26"/>
          <w:szCs w:val="26"/>
        </w:rPr>
        <w:br/>
        <w:t>чл. 27а, ал. 2, до 2 месеца от възникването им.</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Субектите, посочени в ал. 1 и 2, уведомяват съответния национален компетентен орган по чл. 16 за всяка настъпила промяна в данните, предоставени съгласно ал. 1 и 2, в срок до две седмици от датата на промяната. Националните компетентни органи препращат получената информация на министъра на електронното управление и Националното единно звено за контакт в срок до една седмица от постъпването й.</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Редът за водене, съхраняване и достъп до регистъра се определя с наредбата по чл. 3, ал.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Регистърът по ал. 1 не е публичен.“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8.</w:t>
      </w:r>
      <w:r w:rsidRPr="003A4AA6">
        <w:rPr>
          <w:rFonts w:ascii="Arial" w:eastAsia="Times New Roman" w:hAnsi="Arial" w:cs="Arial"/>
          <w:bCs/>
          <w:sz w:val="26"/>
          <w:szCs w:val="26"/>
        </w:rPr>
        <w:t xml:space="preserve"> Създава се чл. 6а: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„Специални закони за сектора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6а. (1) Когато в специален закон съществува изискване съществените или важните субекти да приемат мерки за управление на риска в областта на киберсигурността или да уведомяват за значителни инциденти и когато тези изисквания имат най-малко равностоен ефект на предвидените в закона задължения, съответните разпоредби на закона, </w:t>
      </w:r>
      <w:r w:rsidRPr="003A4AA6">
        <w:rPr>
          <w:rFonts w:ascii="Arial" w:eastAsia="Times New Roman" w:hAnsi="Arial" w:cs="Arial"/>
          <w:bCs/>
          <w:sz w:val="26"/>
          <w:szCs w:val="26"/>
        </w:rPr>
        <w:lastRenderedPageBreak/>
        <w:t>включително разпоредбите относно надзора и правоприлагането, не се прилагат за такива субекти. Когато в специален закон не са обхванати всички субекти в конкретен сектор, попадащ в обхвата на настоящия закон, съответните му разпоредби продължават да се прилагат по отношение на субектите, които не са обхванати от тези специални закони.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Изискванията, посочени в ал. 1, се считат за равностойни по ефект на задълженията, предвидени в този закон, когато: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мерките за управление на риска в областта на киберсигурността са най-малкото равностойни по сила на мерките, определени в чл. 22, или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специален закон се предвижда незабавен, по целесъобразност автоматичен и пряк достъп до уведомленията за инциденти на екипа за реагиране при инциденти с компютърната сигурност (ЕРИКС), националните компетентни органи или единните звена за контакт съгласно настоящия закон и когато изискванията за уведомяване за значителни инциденти са най-малко равностойни на предвидените в чл. 24.“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9.</w:t>
      </w:r>
      <w:r w:rsidRPr="003A4AA6">
        <w:rPr>
          <w:rFonts w:ascii="Arial" w:eastAsia="Times New Roman" w:hAnsi="Arial" w:cs="Arial"/>
          <w:bCs/>
          <w:sz w:val="26"/>
          <w:szCs w:val="26"/>
        </w:rPr>
        <w:t xml:space="preserve"> В чл. 7, ал. 3 думите „а в случаите по чл. 8, ал. 3 – и Национална стратегия за мрежова и информационна сигурност“ и запетаята пред тях се заличават.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10.</w:t>
      </w:r>
      <w:r w:rsidRPr="003A4AA6">
        <w:rPr>
          <w:rFonts w:ascii="Arial" w:eastAsia="Times New Roman" w:hAnsi="Arial" w:cs="Arial"/>
          <w:bCs/>
          <w:sz w:val="26"/>
          <w:szCs w:val="26"/>
        </w:rPr>
        <w:t xml:space="preserve"> Член 8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„Стратегии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8. (1) Националната стратегия за киберсигурност е стратегическа рамка на политиката за киберсигурност, която предвижда стратегическите цели, необходимите ресурси за постигане на тези цели и подходящи мерки на политиката, както и подходящи регулаторни мерки за постигане и поддържане на високо ниво на киберсигурност. Националната стратегия за киберсигурност включва: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целите и приоритетите, като се обхващат по-специално секторите, посочени в приложения I и II;</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рамка за управление за постигане на целите и приоритетите, посочени в т. 1, включително посочените в ал. 2 политики;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рамка за управление, в която се изясняват ролите и отговорностите на съответните заинтересовани страни на национално равнище и която е в основата на сътрудничеството и координацията на </w:t>
      </w:r>
      <w:r w:rsidRPr="003A4AA6">
        <w:rPr>
          <w:rFonts w:ascii="Arial" w:eastAsia="Times New Roman" w:hAnsi="Arial" w:cs="Arial"/>
          <w:bCs/>
          <w:sz w:val="26"/>
          <w:szCs w:val="26"/>
        </w:rPr>
        <w:lastRenderedPageBreak/>
        <w:t>национално равнище между националните компетентни органи, единните звена за контакт и ЕРИКС съгласно закона, както и координацията и сътрудничеството между тези органи и националните компетентни органи съгласно специфичните европейски правни актове;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механизъм за установяване на относимите активи и оценка на риска на ниво държава;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мерките, гарантиращи подготвеността, реагирането и възстановяването при инциденти, включително сътрудничеството между публичния и частния сектор;</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6. списък с различните органи и заинтересовани страни, които участват в прилагането на </w:t>
      </w:r>
      <w:r w:rsidRPr="003A4AA6">
        <w:rPr>
          <w:rFonts w:ascii="Arial" w:eastAsia="Times New Roman" w:hAnsi="Arial" w:cs="Arial"/>
          <w:bCs/>
          <w:caps/>
          <w:sz w:val="26"/>
          <w:szCs w:val="26"/>
        </w:rPr>
        <w:t>н</w:t>
      </w:r>
      <w:r w:rsidRPr="003A4AA6">
        <w:rPr>
          <w:rFonts w:ascii="Arial" w:eastAsia="Times New Roman" w:hAnsi="Arial" w:cs="Arial"/>
          <w:bCs/>
          <w:sz w:val="26"/>
          <w:szCs w:val="26"/>
        </w:rPr>
        <w:t>ационалната стратегия за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рамка на политика за засилена координация между националните компетентни органи съгласно закона и компетентни органи съгласно Директива (ЕС) 2022/2557 - за целите на обмена на информация за рискове, киберзаплахи и инциденти, както и за несвързани с киберпространството рискове, заплахи и инциденти, и упражняването на надзорни задачи, по целесъобразност;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план, включващ необходимите мерки за укрепване на общото равнище на осведоменост на гражданите относно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Като част от </w:t>
      </w:r>
      <w:r w:rsidRPr="003A4AA6">
        <w:rPr>
          <w:rFonts w:ascii="Arial" w:eastAsia="Times New Roman" w:hAnsi="Arial" w:cs="Arial"/>
          <w:bCs/>
          <w:caps/>
          <w:sz w:val="26"/>
          <w:szCs w:val="26"/>
        </w:rPr>
        <w:t>н</w:t>
      </w:r>
      <w:r w:rsidRPr="003A4AA6">
        <w:rPr>
          <w:rFonts w:ascii="Arial" w:eastAsia="Times New Roman" w:hAnsi="Arial" w:cs="Arial"/>
          <w:bCs/>
          <w:sz w:val="26"/>
          <w:szCs w:val="26"/>
        </w:rPr>
        <w:t>ационалната стратегия за киберсигурност министърът на електронното управление провежда политиките: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за киберсигурността по веригата за доставки на ИКТ продукти и услуги, използвана от субектите за предоставянето на техните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относно включването и посочването на изискванията, свързани с киберсигурността за ИКТ продуктите и ИКТ услугите, при възлагането на обществени поръчки, включително във връзка със сертифициране в областта на киберсигурността, криптиране и използване на продукти за киберсигурност с отворен код;</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по управление на уязвимостите, включващо насърчаването и улесняването на координираното оповестяване на уязвимости съгласно Европейската база данни за уязвимости на Агенцията на Европейския съюз за киберсигурност (ENISA);</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свързани с поддържането на общата наличност, цялостност и поверителност на общественото ядро на отворения интернет, включително, когато е целесъобразно, киберсигурността на подводните комуникационни кабели;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5. свързани с насърчаване на разработването и внедряването на съответните авангардни технологии, насочени към прилагане на най-съвременни мерки за управление на риска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свързани с насърчаване и развитие на образованието и обучението в областта на киберсигурността, уменията, повишаването на осведомеността и инициативите за научноизследователска и развойна дейност в областта на киберсигурността, както и насоки за добри практики и механизми за контрол в областта на киберхигиената, насочени към гражданите, заинтересованите страни и субектите;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по подпомагане на академичните и научноизследователските институции за разработване, подобряване и насърчаване на внедряването на инструменти за киберсигурност и сигурна мрежова инфраструктура;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по включване на съответни процедури и подходящи инструменти за обмен на информация, подпомагащи доброволния обмен на информация за киберсигурността между субектите;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по укрепване на киберустойчивостта и основните параметри за киберхигиена на малките и средните предприятия, по-специално на тези, които са изключени от обхвата на този закон, чрез предоставяне на леснодостъпни насоки и помощ за техните специфични нужди;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10. по насърчаване на активна киберзащита.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Националната стратегия за киберсигурност се актуализира на всеки пет години въз основа на ключови показатели за ефективност.“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11.</w:t>
      </w:r>
      <w:r w:rsidRPr="003A4AA6">
        <w:rPr>
          <w:rFonts w:ascii="Arial" w:eastAsia="Times New Roman" w:hAnsi="Arial" w:cs="Arial"/>
          <w:bCs/>
          <w:sz w:val="26"/>
          <w:szCs w:val="26"/>
        </w:rPr>
        <w:t xml:space="preserve"> В чл. 9, ал. 3 се създават т. 8б и 8в: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„8б. министърът на регионалното развитие и благоустройството;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8в. министърът на земеделието и храните;“.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12.</w:t>
      </w:r>
      <w:r w:rsidRPr="003A4AA6">
        <w:rPr>
          <w:rFonts w:ascii="Arial" w:eastAsia="Times New Roman" w:hAnsi="Arial" w:cs="Arial"/>
          <w:bCs/>
          <w:sz w:val="26"/>
          <w:szCs w:val="26"/>
        </w:rPr>
        <w:t xml:space="preserve"> В чл. 10 се правят следните изменения: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1. В т. 5 след думата „предложения“ се добавя </w:t>
      </w:r>
      <w:r w:rsidRPr="003A4AA6">
        <w:rPr>
          <w:rFonts w:ascii="Arial" w:eastAsia="Times New Roman" w:hAnsi="Arial" w:cs="Arial"/>
          <w:bCs/>
          <w:sz w:val="26"/>
          <w:szCs w:val="26"/>
        </w:rPr>
        <w:br/>
        <w:t xml:space="preserve">„към Министерския съвет“.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т. 6 думите „Национален план за управление на киберкризи“ се заменят с „Национален план за реакция при мащабни киберинциденти и кризи“.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13.</w:t>
      </w:r>
      <w:r w:rsidRPr="003A4AA6">
        <w:rPr>
          <w:rFonts w:ascii="Arial" w:eastAsia="Times New Roman" w:hAnsi="Arial" w:cs="Arial"/>
          <w:bCs/>
          <w:sz w:val="26"/>
          <w:szCs w:val="26"/>
        </w:rPr>
        <w:t xml:space="preserve"> В чл. 11, ал. 2 се правят следните изменения: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1. В т. 2 думите „координационно-организационна“ се заменят с „координационна“.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т. 3 думите „при създаването и“ се заменят с „в“.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14.</w:t>
      </w:r>
      <w:r w:rsidRPr="003A4AA6">
        <w:rPr>
          <w:rFonts w:ascii="Arial" w:eastAsia="Times New Roman" w:hAnsi="Arial" w:cs="Arial"/>
          <w:bCs/>
          <w:sz w:val="26"/>
          <w:szCs w:val="26"/>
        </w:rPr>
        <w:t xml:space="preserve"> В чл. 12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т. 2 думите „Национална стратегия за мрежова и информационна сигурност в случаите по чл. 8, ал. 3“ се заменят с „Национална стратегия за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Точка 6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осъществява проверки чрез оправомощени от него лица на информационната сигурност по смисъла на този закон и на предприетите от административния орган мерки според правомощията, описани в глава втора „в“ и в глава трета, и дава задължителни предписания за тяхното подобряване. В обхвата на проверките не попадат информационни системи на ведомствата по чл. 5;“.</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 т. 7 думата „оценка“ се заменя с „проверки“ и накрая се добавя „и ал. 3“.</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В т. 8 думите „мрежовата и информационната сигурност“ се заменят с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Създава се т. 9:</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„9. осъществява проверки на предоставените годишни одити от националните компетентни органи с цел анализ и съответствие с изискванията по този закон.“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15.</w:t>
      </w:r>
      <w:r w:rsidRPr="003A4AA6">
        <w:rPr>
          <w:rFonts w:ascii="Arial" w:eastAsia="Times New Roman" w:hAnsi="Arial" w:cs="Arial"/>
          <w:bCs/>
          <w:sz w:val="26"/>
          <w:szCs w:val="26"/>
        </w:rPr>
        <w:t xml:space="preserve"> В чл. 14, ал. 5 думите „по чл. 4, ал. 1“ се заменят с </w:t>
      </w:r>
      <w:r w:rsidRPr="003A4AA6">
        <w:rPr>
          <w:rFonts w:ascii="Arial" w:eastAsia="Times New Roman" w:hAnsi="Arial" w:cs="Arial"/>
          <w:bCs/>
          <w:sz w:val="26"/>
          <w:szCs w:val="26"/>
        </w:rPr>
        <w:br/>
        <w:t>„по чл. 4а“.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16.</w:t>
      </w:r>
      <w:r w:rsidRPr="003A4AA6">
        <w:rPr>
          <w:rFonts w:ascii="Arial" w:eastAsia="Times New Roman" w:hAnsi="Arial" w:cs="Arial"/>
          <w:bCs/>
          <w:sz w:val="26"/>
          <w:szCs w:val="26"/>
        </w:rPr>
        <w:t xml:space="preserve"> В чл. 15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2 думите „Държавна агенция „Национална сигурност“ администрира и ползва“ се заменят с „В Държавна агенция „Национална сигурност“ се администрира, ползва и развива“.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3 се създава т. 5:</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при настъпване на инцидент с критични системи на стратегическите обекти и дейностите от значение за националната сигурност ръководителите на субектите незабавно уведомяват центъра по реда на чл. 24.“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Алинея 5 се отменя.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4. Алинея 7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Ръководителите на стратегически обекти и възлагащите и извършващите стратегически дейности от значение за националната сигурност предприемат действия по осигуряване на автоматизиран обмен на данни между информационните системи за сигурност на ръководените от тях обекти и дейности и центъра по ал.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17.</w:t>
      </w:r>
      <w:r w:rsidRPr="003A4AA6">
        <w:rPr>
          <w:rFonts w:ascii="Arial" w:eastAsia="Times New Roman" w:hAnsi="Arial" w:cs="Arial"/>
          <w:bCs/>
          <w:sz w:val="26"/>
          <w:szCs w:val="26"/>
        </w:rPr>
        <w:t xml:space="preserve"> В чл. 16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1 думите „към които се създават национални компетентни органи по мрежова и информационна сигурност“ се заменят с „които изпълняват функциите на национални компетентни органи по киберсигурност“, а думите „приложения № 1 и 2“ се заменят с „приложение I и II“.</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2 думите „по чл. 4, ал. 1, т. 3 и 4“ се заменят с „по чл. 4, т. 7 и 8“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 ал. 3:</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в т. 1 думите „мрежовата и информационната сигурност“ се заменят с „киберсигурността“, а думите „операторите на съществени услуги и доставчиците на цифрови услуги“ се заменят с „и на всички други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в т. 2 думите „по чл. 4, ал. 1“ се заменят с „по чл. 4 и 4а“;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 в т. 3 думите „операторите на съществени услуги и доставчиците на цифрови услуги“ се заменят със „съществените и важните субекти по този закон“, а думите „мрежовата и информационната сигурност“ се заменят с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г) в т. 4 думите „съвместно с Агенцията на Европейския съюз за мрежова и информационна сигурност (ENISA)“ се заличават, а думите „мрежовата и информационната сигурност“ се заменят с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д) в т. 5 думите „със съдействието на Агенцията на Европейския съюз за мрежова и информационна сигурност (ENISA)“ се заличават;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е) създават се т. 6, 7 и 8:</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изготвят ежегодна оценка на риска и икономическия и социалния ефект за прилежащия им сектор, която докладват на Националното единно звено за контакт;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7. уведомяват Комисията за идентификационните данни на секторния екип за реагиране при инциденти с компютърната сигурност (СЕРИКС) по чл. 18, ал. 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определят съществените и важните субекти съгласно чл. 4а в съответствие с методика, приета от Министерския съвет, и уведомяват министъра на електронното управление за това; методиката се приема по предложение на министъра на електронното управление.“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Алинея 5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Националните компетентни органи гарантират, че техните СЕРИКС си сътрудничат ефективно, ефикасно и сигурно чрез националните екипи за реагиране при инциденти с компютърната сигурност (НЕРИКС).“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Алинеи 6, 7, 8 и 9 се отменят.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В ал. 10 думите „имат право да“ се заличават, а думите „по чл. 17, ал. 4, т. 1 и ал. 7“ се заменят с „по чл. 17, ал. 4, т. 1 и ал. 9“.</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В ал. 11 думите „по чл. 17, ал. 2, 3, 4 и 7“ се заменят с „чл. 17, ал. 2, 3, 4 и 9“.</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В ал. 12 думата „органите“ се заменя с „Комисията“.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Алинея 13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„(13) Националните компетентни органи: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участват в състава на надзорния форум, по смисъла на чл. 32, параграф 4, буква „д“ от Регламент (ЕС) 2022/2554 на Европейския парламент и на Съвета от 14 декември 2022 година относно оперативната устойчивост на цифровите технологии във финансовия сектор и за изменение на регламенти (ЕО) № 1060/2009, (ЕС) № 648/2012, (ЕС) № 600/2014, (ЕС) № 909/2014 и (ЕС) 2016/1011 (ОВ, L 333 от 27 декември 2022 г.), наричан по-нататък „Регламент (ЕС) 2022/2554“;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оказват съдействие на компетентните органи по чл. 46 от Регламент (ЕС) 2022/2554 и предоставят относими технически становища по тяхно искане;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сключват споразумения за сътрудничество с компетентните органи по чл. 46 от Регламент (ЕС) 2022/2554, чрез които се създават механизми за координация, включително за координиране на надзорните дейности по отношение на съществените или важните субекти, по смисъла на този закон, които са определени като трети страни, критични </w:t>
      </w:r>
      <w:r w:rsidRPr="003A4AA6">
        <w:rPr>
          <w:rFonts w:ascii="Arial" w:eastAsia="Times New Roman" w:hAnsi="Arial" w:cs="Arial"/>
          <w:bCs/>
          <w:sz w:val="26"/>
          <w:szCs w:val="26"/>
        </w:rPr>
        <w:lastRenderedPageBreak/>
        <w:t>доставчици на услуги в областта на ИКТ, съгласно чл. 31 от същия регламент;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провеждат в съответствие с националното право проверки на място на трети страни, критични доставчици на услуги в областта на ИКТ, съгласно чл. 31 от Регламент (ЕС) 2022/2554, съвместно с компетентните органи по чл. 46 от същия регламент;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обменят информация с компетентните органи по чл. 46 от Регламент (ЕС) 2022/2554.“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18.</w:t>
      </w:r>
      <w:r w:rsidRPr="003A4AA6">
        <w:rPr>
          <w:rFonts w:ascii="Arial" w:eastAsia="Times New Roman" w:hAnsi="Arial" w:cs="Arial"/>
          <w:bCs/>
          <w:sz w:val="26"/>
          <w:szCs w:val="26"/>
        </w:rPr>
        <w:t xml:space="preserve"> В чл. 17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1 думите „се създава“ се заменят с „е създадено“.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2 думите „мрежовата и информационната сигурност“ се заменят с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Алинея 3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Националното единно звено за контакт организира и координира дейността по предоставяне на информацията по чл. 6, ал. 3 на всеки две години.“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В ал. 4, т. 2 думите „мрежова и информационна сигурност“ се заменят с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Създават се нови ал. 5 и 6:</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Националното единно звено за контакт препраща информацията, посочена в чл. 6, ал. 3, с изключение на информацията по чл. 6, ал. 1, т. 3, на Агенцията на Европейския съюз за киберсигурност (ENISA).</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При получаване на информация за трансграничен инцидент от Националното единно звено за контакт (НЕЗК) на друга държава членка НЕЗК  уведомява съответните национални компетентни органи (НКО)/СЕРИКС и координира дейностите по разрешаване на инцидента на национално ниво, както и докладва резултатите на уведомяващия НЕЗК.“</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Досегашната ал. 5 става ал. 7.</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Досегашната ал. 6 става ал. 8 и в нея думите „по ал. 5“ се заменят с „по ал. 5 и ал. 7“, а думите „оператора на съществените услуги или на доставчика на цифрови услуги“ се заменят със „съществените и важни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8. Досегашната ал. 7 става ал. 9 и в нея думите „по чл. 21, ал. 3, чл. 22, ал. 2, чл. 23, ал. 2 и чл. 25, ал. 3“ се заменят с „от съществените и важните субекти за инцидентите, които имат съществено въздействие върху непрекъснатостта на предоставяните от тях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Досегашн</w:t>
      </w:r>
      <w:r w:rsidRPr="003A4AA6">
        <w:rPr>
          <w:rFonts w:ascii="Arial" w:eastAsia="Times New Roman" w:hAnsi="Arial" w:cs="Arial"/>
          <w:bCs/>
          <w:sz w:val="26"/>
          <w:szCs w:val="26"/>
          <w:lang w:val="en-US"/>
        </w:rPr>
        <w:t>а</w:t>
      </w:r>
      <w:r w:rsidRPr="003A4AA6">
        <w:rPr>
          <w:rFonts w:ascii="Arial" w:eastAsia="Times New Roman" w:hAnsi="Arial" w:cs="Arial"/>
          <w:bCs/>
          <w:sz w:val="26"/>
          <w:szCs w:val="26"/>
        </w:rPr>
        <w:t>та ал. 8 става ал. 10 и в нея думите „ал. 7“ се заменят с „ал. 9“.</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10. Създават се  ал. 11 и 12: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 Националното единно звено за контакт изготвя годишен обобщен доклад за оценка на риска, базиран на получените анализи от националните компетентни органи.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(12) Националното единно звено за контакт при целесъобразност обменя информация с компетентните органи по чл. 46 от Регламент (ЕС) 2022/2554.“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 Досегашната ал. 9 става ал. 13.</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19.</w:t>
      </w:r>
      <w:r w:rsidRPr="003A4AA6">
        <w:rPr>
          <w:rFonts w:ascii="Arial" w:eastAsia="Times New Roman" w:hAnsi="Arial" w:cs="Arial"/>
          <w:bCs/>
          <w:sz w:val="26"/>
          <w:szCs w:val="26"/>
        </w:rPr>
        <w:t xml:space="preserve"> Създава се чл. 17а: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„Национални рамки за управление на кризи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17а. (1) Kомпетентният орган, отговарящ за управлението на мащабните киберинциденти и кризи, е Съветът по киберсигурността.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Съветът по ал. 1 приема национален план за реакция при мащабни киберинциденти и кризи, в който се определят целите, условията и редът за управлението на мащабни киберинциденти и кризи. По-конкретно в плана се установяват: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целите на националните мерки и дейности за подготвеност;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задачи и отговорности на органите за управление на киберкризи;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процедурите за управление на киберкризи, включително тяхното интегриране в общата рамка за управление на кризи на национално равнище, и канали за обмен на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националните мерки за подготвеност, включително дейности по учения и обучения;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съответните заинтересовани страни от публичния и частния сектор и съответната инфраструктура;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6. национални процедури и договорености между съответните национални органи и служби за осигуряване на ефективно участие и подкрепа за координираното управление на мащабни киберинциденти и кризи на равнището на ЕС.“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20.</w:t>
      </w:r>
      <w:r w:rsidRPr="003A4AA6">
        <w:rPr>
          <w:rFonts w:ascii="Arial" w:eastAsia="Times New Roman" w:hAnsi="Arial" w:cs="Arial"/>
          <w:bCs/>
          <w:sz w:val="26"/>
          <w:szCs w:val="26"/>
        </w:rPr>
        <w:t xml:space="preserve"> В чл. 18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1 думите „включително Министерството на електронното управление“ и запетаите пред и след тях се заличават, след думите „компютърната сигурност“ се добавя „(СЕРИКС)“ и думите „мрежова и информационна сигурност“ се заменят с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Създава се нова ал.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Секторните екипи за реагиране при инциденти с компютърната 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си сътрудничат и, когато е подходящо, обменят относима информация в съответствие с чл. 27г със секторни и междусекторни общности на съществените и важните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участват в партньорски проверки, организирани в съответствие с чл. 20а;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могат да установяват отношения на сътрудничество с НЕРИКС на трети държави, сътрудничество с цел ефективен, ефикасен и сигурен обмен на информация с тези НЕРИКС на трети държави, като използват съответните протоколи за обмен на информация, включително протокола за обмен на информация с цветен код за поверителност (Traffic Light Protocol); секторните екипи за реагиране при инциденти с компютърната сигурност могат да обменят съответна информация с НЕРИКС на трети държави, включително лични данни, в съответствие с правото на Европейския съюз в областта на защитата на данните;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при целесъобразност предоставят на компетентните органи, определени или създадени в съответствие с Регламент (ЕС) 2022/2554, експертна помощ в областта на разрешаване на киберинцидентите.“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Досегашната ал. 2 става ал. 3 и в нея: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в т. 3 буква „б“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разполагат с достатъчно персонал, за да гарантират предоставянето по всяко време на техните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в т. 4 думите „мрежова и информационна сигурност“ се заменят с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4. Досегашната ал. 3 става ал. 4 и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Секторните екипи за реагиране при инциденти с компютърната сигурност разполагат с ресурси за ефективно изпълнение на задачите си, които включват най-малко следното: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наблюдение на инциденти на национално равнище; наблюдение и анализ на киберзаплахи, уязвимости и инциденти на национално равнище;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подаване на ранни предупреждения, сигнали за тревога, съобщения и разпространяване на информация за инциденти и рискове сред съответните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реакция при инциденти и оказване на методологическа помощ при разрешаване на инциденти – при поискване;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осигуряване на динамичен анализ на рисковете и инцидентите и информация за текущата ситуация;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извършване на проактивно неинвазивно сканиране на публично достъпни мрежови и информационни системи на съществени и важни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Досегашната ал. 4 става ал. 5.</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Досегашната ал. 5 става ал. 6 и в нея думите „секторните екипи за реагиране при инциденти с компютърната сигурност“ се заменят със „СЕРИКС“.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Досегашната ал. 6 става ал. 7 и в нея думите „Националния екип“ се заменят с „НЕРИКС“.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Досегашната ал. 7 става ал. 8.</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Досегашната ал. 8 става ал. 9 и в нея думите „веднъж на три месеца“ се заменят с „всеки месец“, а думите „Националния екип за реагиране при инциденти с компютърната сигурност“ се заменят с „НЕРИКС“.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10. Досегашните ал. 9 и 10 стават съответно ал. 10 и 11.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21.</w:t>
      </w:r>
      <w:r w:rsidRPr="003A4AA6">
        <w:rPr>
          <w:rFonts w:ascii="Arial" w:eastAsia="Times New Roman" w:hAnsi="Arial" w:cs="Arial"/>
          <w:bCs/>
          <w:sz w:val="26"/>
          <w:szCs w:val="26"/>
        </w:rPr>
        <w:t xml:space="preserve"> В чл. 19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Алинея 1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Национален екип за реагиране при инциденти с компютърната сигурност отговаря на изискванията на чл. 18, ал. 1-6.“</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2. В ал. 2, т. 8 думите „инциденти в мрежовата и информационната сигурност“ се заменят с „киберинциденти“.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Създава се ал. 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Националният екип за реагиране при инциденти с компютърната сигурност осъществява функциите на координатор за целите на координираното оповестяване на уязвимости:</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w:t>
      </w:r>
      <w:r w:rsidRPr="003A4AA6">
        <w:rPr>
          <w:rFonts w:ascii="Arial" w:eastAsia="Times New Roman" w:hAnsi="Arial" w:cs="Arial"/>
          <w:bCs/>
          <w:sz w:val="26"/>
          <w:szCs w:val="26"/>
        </w:rPr>
        <w:tab/>
        <w:t xml:space="preserve">действа като доверен посредник, улесняващ при необходимост взаимодействието между физическото или юридическото лице, докладващо за уязвимост, и производителя или доставчика на </w:t>
      </w:r>
      <w:r w:rsidRPr="003A4AA6">
        <w:rPr>
          <w:rFonts w:ascii="Arial" w:eastAsia="Times New Roman" w:hAnsi="Arial" w:cs="Arial"/>
          <w:bCs/>
          <w:sz w:val="26"/>
          <w:szCs w:val="26"/>
        </w:rPr>
        <w:br/>
        <w:t>ИКТ продукти или ИКТ услуги, които са потенциално уязвими, при поискване от която и да е от страните;</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w:t>
      </w:r>
      <w:r w:rsidRPr="003A4AA6">
        <w:rPr>
          <w:rFonts w:ascii="Arial" w:eastAsia="Times New Roman" w:hAnsi="Arial" w:cs="Arial"/>
          <w:bCs/>
          <w:sz w:val="26"/>
          <w:szCs w:val="26"/>
        </w:rPr>
        <w:tab/>
        <w:t>задачите на координатора включват: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идентифициране и установяване на контакт със засегнатите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подпомагане на физическите или юридическите лица, докладващи за уязвимост, 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 договаряне на срокове за оповестяване и управление на уязвимостите, които засягат множество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координираното оповестяване на уязвимости ще се извършва по утвърдена процедура.“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22.</w:t>
      </w:r>
      <w:r w:rsidRPr="003A4AA6">
        <w:rPr>
          <w:rFonts w:ascii="Arial" w:eastAsia="Times New Roman" w:hAnsi="Arial" w:cs="Arial"/>
          <w:bCs/>
          <w:sz w:val="26"/>
          <w:szCs w:val="26"/>
        </w:rPr>
        <w:t xml:space="preserve"> В чл. 20 се правят следните изменения: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3 думите „между заинтересованите ведомства“ се заличават.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4 думите „може да създава междуведомствени оперативни групи“ се заменят със „създава междуведомствена оперативна група“ и след думата „частния“ се добавя „и академичния“.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Алинея 5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Сътрудничеството на международно ниво се осъществява чрез:</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Групата за сътрудничество;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Мрежата на националните екипи за реагиране при инциденти с компютърната 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 xml:space="preserve">3. Европейската мрежа за връзка на организациите при киберкризи;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партньорски проверки;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по друг начин, предвиден в закон или международен договор, ратифициран по конституционен ред.“</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23.</w:t>
      </w:r>
      <w:r w:rsidRPr="003A4AA6">
        <w:rPr>
          <w:rFonts w:ascii="Arial" w:eastAsia="Times New Roman" w:hAnsi="Arial" w:cs="Arial"/>
          <w:bCs/>
          <w:sz w:val="26"/>
          <w:szCs w:val="26"/>
        </w:rPr>
        <w:t xml:space="preserve"> В глава първа се създава чл. 20а: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„Партньорски проверки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20а. (1) Министърът на електронното управление може да изпрати искане до Групата за сътрудничество и Агенцията на Европейския съюз за киберсигурност (ENISA) за извършването на партньорска проверка по Методика на Агенцията на Европейския съюз за киберсигурност (ENISA), която да обхваща един или повече от следните параметри: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степента на прилагане на мерките за управлението на риска в областта на киберсигурността и задълженията за докладване, предвидени в глава втора;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равнището на способностите, включително наличните финансови, технически и човешки ресурси, както и ефективността от изпълнението на задачите на националните компетентни органи;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оперативните способности на 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степента на прилагане на взаимопомощта по чл. 27о, касаеща взаимопомощ и трансгранично сътрудничество;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5. степента на прилагане на договореностите за обмен на информация в областта на киберсигурността, посочени в глава втора „б“;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специфични въпроси от трансгранично или междусекторно естество.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Преди започването на партньорската проверка проверяваният субект може да извърши самооценка на проверяваните аспекти и да предостави тази самооценка на експертите, определени да извършат партньорската проверка.“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24.</w:t>
      </w:r>
      <w:r w:rsidRPr="003A4AA6">
        <w:rPr>
          <w:rFonts w:ascii="Arial" w:eastAsia="Times New Roman" w:hAnsi="Arial" w:cs="Arial"/>
          <w:bCs/>
          <w:sz w:val="26"/>
          <w:szCs w:val="26"/>
        </w:rPr>
        <w:t xml:space="preserve"> Наименованието на глава втора се изменя така: </w:t>
      </w:r>
    </w:p>
    <w:p w:rsidR="003A4AA6" w:rsidRPr="003A4AA6" w:rsidRDefault="003A4AA6" w:rsidP="003A4AA6">
      <w:pPr>
        <w:shd w:val="clear" w:color="auto" w:fill="FFFFFF"/>
        <w:spacing w:before="120" w:after="0" w:line="288" w:lineRule="auto"/>
        <w:jc w:val="center"/>
        <w:rPr>
          <w:rFonts w:ascii="Arial" w:eastAsia="Times New Roman" w:hAnsi="Arial" w:cs="Arial"/>
          <w:bCs/>
          <w:sz w:val="26"/>
          <w:szCs w:val="26"/>
        </w:rPr>
      </w:pPr>
      <w:r w:rsidRPr="003A4AA6">
        <w:rPr>
          <w:rFonts w:ascii="Arial" w:eastAsia="Times New Roman" w:hAnsi="Arial" w:cs="Arial"/>
          <w:bCs/>
          <w:sz w:val="26"/>
          <w:szCs w:val="26"/>
        </w:rPr>
        <w:lastRenderedPageBreak/>
        <w:t>„Мерки за управление на риска в областта на киберсигурността и задължения за докладване“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25.</w:t>
      </w:r>
      <w:r w:rsidRPr="003A4AA6">
        <w:rPr>
          <w:rFonts w:ascii="Arial" w:eastAsia="Times New Roman" w:hAnsi="Arial" w:cs="Arial"/>
          <w:bCs/>
          <w:sz w:val="26"/>
          <w:szCs w:val="26"/>
        </w:rPr>
        <w:t xml:space="preserve"> Членове 21-25 се изменят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„Управление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21. (1) Управителните органи на съществените и важните субекти и административните органи одобряват мерките за управление на риска в областта на киберсигурността, предприети от тези субекти с цел спазване на чл. 22, и следят за прилагането им.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Членовете на управителните органи на съществените и важните субекти са длъжни на всеки две години да преминават през обучение за придобиване на достатъчно познания и умения, което да им позволи да идентифицират рискове и да оценяват практиките за управление на риска в областта на киберсигурността и тяхното въздействие върху услугите, предоставяни от субекта.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Членовете на управителните органи на съществените и важните субекти са длъжни да предлагат и организират обученията по ал. 2 и за своите служители.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Мерки за управление на риска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22. (1) Съществените и важните субекти предприемат подходящи и пропорционални технически, оперативни и организационни мерки за управление на рисковете за сигурността на мрежовите и информационните системи в основната си дейност или при предоставяне на своите услуги. При спазване на принципа за технологична неутралност и като се вземат предвид последните постижения в тази област и, когато е приложимо, съответните европейски и международни стандарти, както и разходите за прилагането им, чрез мерките за управление на риска се гарантира ниво на сигурност на мрежовите и информационните системи, съответстващо на риска. При оценката на пропорционалността на тези мерки надлежно се вземат предвид степента на излагане на рискове на субекта, размерът на субекта и вероятността от възникване на инциденти, както и тяхната значимост, включително тяхното обществено и икономическо въздействие.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Мерките по ал. 1 се основават на подход, обхващащ всички опасности, които имат за цел да защитят мрежовите и информационните системи и физическата среда на тези системи от инциденти, и включват следното: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1. политики за анализ на риска и сигурност на информационните системи;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действия при инцидент;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непрекъснатост на стопанската дейност, например управление на съхраняването на резервни копия на данните и възстановяване след бедствия, и управление на кризи;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сигурност на веригата за доставка, включително свързани със сигурността аспекти относно взаимовръзките между всеки субект и неговите преки снабдители или доставчици на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сигурност при придобиването на мрежови и информационни системи, разработване и поддръжка, включително предприемане на действия при уязвимости и оповестяването им;</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политики и процедури за оценяване на ефективността на мерките за управление на риска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основни киберхигиенни практики и обучение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8. политики и процедури относно използването на криптография и, когато е целесъобразно, криптиране;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сигурност на човешките ресурси, политики за контрол на достъпа и управление на активи;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10. използването на многофакторни решения за удостоверяване на автентичността или непрекъснато удостоверяване на автентичността, защитени гласови, видео и текстови съобщения и защитени системи за спешна комуникация в рамките на субекта, когато е целесъобразно;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 управление на измененията;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12. мерки за управление на риска в областта на киберсигурността и задължения за докладване за субекти от вида, посочен в приложение I или II, както и за субекти, установени като критични съгласно Директива (ЕС) 2022/2557 на Европейския парламент и на Съвета от 14 декември 2022 г. за устойчивостта на критичните субекти и за отмяна на Директива 2008/114/ЕО на Съвета (ОВ, L 333 от 27 декември 2022 г.), наричана по-нататък „Директива (ЕС) 2022/2557“.</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При разглеждане на въпросите кои мерки по ал. 2, т. 4 са подходящи, от субектите се изисква да вземат предвид уязвимостите, специфични за всеки пряк снабдител или доставчик на услуги, както и </w:t>
      </w:r>
      <w:r w:rsidRPr="003A4AA6">
        <w:rPr>
          <w:rFonts w:ascii="Arial" w:eastAsia="Times New Roman" w:hAnsi="Arial" w:cs="Arial"/>
          <w:bCs/>
          <w:sz w:val="26"/>
          <w:szCs w:val="26"/>
        </w:rPr>
        <w:lastRenderedPageBreak/>
        <w:t>цялостното качество на продуктите и практиките в областта на киберсигурността на своите снабдители и доставчици на услуги, включително техните процедури за сигурно разработване. При определяне кои мерки от посочените в ал. 2, т. 4 са подходящи, от субектите се изисква да вземат предвид резултатите от координираните оценки на риска за сигурността на критичните вериги на доставка, извършени в съответствие с чл. 23.</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При установен пропуск в спазването на мерките, предвидени в ал. 2, субектите предприемат всички необходими, подходящи и пропорционални коригиращи мерки за отстраняването му.</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Задължения за докладване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23. (1) Съществените и важните субекти уведомяват СЕРИКС за всеки значителен инцидент по образец съгласно наредбите по чл. 3 при условията и по реда на ал. 5. Уведомяването  не води до повишена отговорност за уведомяващия субект.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Засегнатите субекти уведомяват, когато е подходящо и без ненужно забавяне, получателите на техните услуги за значителни инциденти, които има вероятност неблагоприятно да засегнат предоставянето на тези услуги. При изключителни обстоятелства, когато уведомяването им  може да изложи на риск разследването на значителния инцидент, на субектите се разрешава, след получаване на съгласие от страна на националния компетентен орган, да забавят уведомяването на получателите, докато националният компетентен орган счете, че е възможно да уведоми за нарушаването на сигурността на лични данни в съответствие с настоящия член.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 случай че СЕРИКС установи информация за наличие на трансграничен или междусекторен значителен инцидент, СЕРИКС изпраща незабавно информацията на националното единно звено за контакт.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Съществените и важните субекти съобщават на получателите на техните услуги, които са потенциално засегнати от значителна киберзаплаха, всички мерки или средства за защита, които тези получатели могат да предприемат. Когато е целесъобразно, субектите уведомяват получателите на техните услуги и за вида на значителна киберзаплаха.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За целите на уведомяването по ал. 1 засегнатите субекти подават до СЕРИКС: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1. в рамките на 24 часа след установяването на значителен инцидент – ранно предупреждение, в което, когато е приложимо, се посочва дали се предполага, че значителният инцидент се дължи на незаконосъобразни или злонамерени действия и дали би могъл да има трансгранично въздействие;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в рамките на 72 часа след установяването на значителния инцидент – уведомление за инцидент, в което, когато е приложимо, се актуализира информацията по т. 1 и се посочва първоначална оценка на значителния инцидент, включително неговата тежест и въздействие, както и, когато има такава, техническа информация за инцидента; за доставчиците на удостоверителни услуги срокът по изречение първо е </w:t>
      </w:r>
      <w:r w:rsidRPr="003A4AA6">
        <w:rPr>
          <w:rFonts w:ascii="Arial" w:eastAsia="Times New Roman" w:hAnsi="Arial" w:cs="Arial"/>
          <w:bCs/>
          <w:sz w:val="26"/>
          <w:szCs w:val="26"/>
        </w:rPr>
        <w:br/>
        <w:t>24 часа;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по искане на СЕРИКС – междинен доклад, съдържащ актуализирана информация за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окончателен доклад не по-късно от един месец след подаването на уведомлението за инцидента по т. 2, включващ:</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подробно описание на инцидента, включително неговите обхват и въздействие;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вида на заплахата или причината, която вероятно е породила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 приложените и текущите мерки за ограничаване на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г) когато е приложимо, трансграничното въздействие на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в случай че до изтичане на срока по т. 4 субектът не се е справил с инцидента, субектът представя междинен доклад, съдържащ, доколкото е приложимо, информацията по т. 4 за справянето с инцидента; субектите представят окончателен доклад в срок до един месец от справянето с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(6) След получаването на ранното предупреждение по ал. 5, </w:t>
      </w:r>
      <w:r w:rsidRPr="003A4AA6">
        <w:rPr>
          <w:rFonts w:ascii="Arial" w:eastAsia="Times New Roman" w:hAnsi="Arial" w:cs="Arial"/>
          <w:bCs/>
          <w:sz w:val="26"/>
          <w:szCs w:val="26"/>
        </w:rPr>
        <w:br/>
        <w:t xml:space="preserve">т. 1 СЕРИКС връща отговор на уведомяващия субект и му предоставя първоначална информация за значителния инцидент и при поискване от субекта предоставя насоки или оперативни съвети за прилагането на възможни мерки за ограничаване или допълнителна техническа подкрепа. Отговорът по изречение първо се изпраща не по-късно от </w:t>
      </w:r>
      <w:r w:rsidRPr="003A4AA6">
        <w:rPr>
          <w:rFonts w:ascii="Arial" w:eastAsia="Times New Roman" w:hAnsi="Arial" w:cs="Arial"/>
          <w:bCs/>
          <w:sz w:val="26"/>
          <w:szCs w:val="26"/>
        </w:rPr>
        <w:br/>
      </w:r>
      <w:r w:rsidRPr="003A4AA6">
        <w:rPr>
          <w:rFonts w:ascii="Arial" w:eastAsia="Times New Roman" w:hAnsi="Arial" w:cs="Arial"/>
          <w:bCs/>
          <w:sz w:val="26"/>
          <w:szCs w:val="26"/>
        </w:rPr>
        <w:lastRenderedPageBreak/>
        <w:t xml:space="preserve">24 часа, освен ако по обективни причини срокът не може да бъде спазен, в които случаи отговорът се изпраща във възможно най-кратък срок.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Когато има основания да се смята, че значителният инцидент представлява или е свързан с извършване на престъпление, СЕРИКС уведомява Главна дирекция „Борба с организираната престъпност“ на Министерството на вътрешните работи за значителния инцидент и й предоставя цялата налична при него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(8) Когато значителният инцидент засяга две или повече държави членки, Националното единно звено за контакт информира другите засегнати държави членки и Агенцията на Европейския съюз за киберсигурност (ENISA) за значителния инцидент, като запазват сигурността и търговските интереси на субекта, както и поверителността на предоставената информация в съответствие с приложимото законодателство. Уведомлението включва информация, получена по реда на ал. 5.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(9) С цел предотвратяване на значителен инцидент или справяне с текущ значителен инцидент или когато е в обществен интерес по друга причина, НЕРИКС, след като се консултира със засегнатия субект, може да оповести публично информация за значителния инцидент или да изиска от субекта да направи оповестяването.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(10) По искане на НЕРИКС Националното единно звено за контакт предава уведомленията, получени съгласно ал. 1, на единните звена за контакт на други засегнати държави членки.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 На всеки три месеца Националното единно звено за контакт представя на Агенцията на Европейския съюз за киберсигурност (ENISA) обобщаващ доклад, включващ анонимизирани и обобщени данни за значителните инциденти, за инцидентите, киберзаплахите и ситуациите, близки до инциденти, за които е изпратено уведомление в съответствие с ал. 1 от настоящия член или доброволно уведомление по реда на чл. 27д.</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(12) Националният екип за реагиране при инциденти с компютърната сигурност предоставя на определените за компетентни органи съгласно Директива (ЕС) 2022/2557 информация относно значителните инциденти, инцидентите, киберзаплахите и ситуациите, близки до инциденти, за които е подадено уведомление в съответствие с ал. 1 или доброволно уведомление по реда на чл. 27д от субектите, установени като критични съгласно Директива (ЕС) 2022/2557.</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Сертифициране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24. За да се докаже съответствие с конкретни изисквания по чл. 22, НКО след одобрението на Съвета по киберсигурността може да изиска от съществените и важните субекти да използват конкретни, доказано подходящи в оперативно и икономическо отношение ИКТ продукти, ИКТ услуги и ИКТ процедури, които са разработени от тях или са придобити от трети страни, сертифицирани в рамките на европейските схеми за киберсигурност, приети съгласно член 49 от Регламент (ЕС) 2019/881 на Европейския парламент и на Съвета от </w:t>
      </w:r>
      <w:r w:rsidRPr="003A4AA6">
        <w:rPr>
          <w:rFonts w:ascii="Arial" w:eastAsia="Times New Roman" w:hAnsi="Arial" w:cs="Arial"/>
          <w:bCs/>
          <w:sz w:val="26"/>
          <w:szCs w:val="26"/>
        </w:rPr>
        <w:br/>
        <w:t xml:space="preserve">17 април 2019 година относно ENISA (Агенцията на Европейския съюз за киберсигурност) и сертифицирането на киберсигурността на информационните и комуникационните технологии, както и за отмяна на Регламент (ЕС) № 526/2013 (Акт за киберсигурността) (ОВ, L 151 от </w:t>
      </w:r>
      <w:r w:rsidRPr="003A4AA6">
        <w:rPr>
          <w:rFonts w:ascii="Arial" w:eastAsia="Times New Roman" w:hAnsi="Arial" w:cs="Arial"/>
          <w:bCs/>
          <w:sz w:val="26"/>
          <w:szCs w:val="26"/>
        </w:rPr>
        <w:br/>
        <w:t>7 юни 2019 г.), наричан по-нататък „Регламент (ЕС) 2019/881“. Националният компетентен орган насърчава съществените и важните субекти да използват квалифицирани удостоверителни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Стандартизация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25. Без да се налага употребата на определен тип технология или и с цел хармонизираното прилагане на чл. 22, се насърчава използването на европейски и международни стандарти и технически спецификации от значение за сигурността на мрежовите и информационните системи.“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26.</w:t>
      </w:r>
      <w:r w:rsidRPr="003A4AA6">
        <w:rPr>
          <w:rFonts w:ascii="Arial" w:eastAsia="Times New Roman" w:hAnsi="Arial" w:cs="Arial"/>
          <w:bCs/>
          <w:sz w:val="26"/>
          <w:szCs w:val="26"/>
        </w:rPr>
        <w:t xml:space="preserve"> Членове 26 и 27 се отменят.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27.</w:t>
      </w:r>
      <w:r w:rsidRPr="003A4AA6">
        <w:rPr>
          <w:rFonts w:ascii="Arial" w:eastAsia="Times New Roman" w:hAnsi="Arial" w:cs="Arial"/>
          <w:bCs/>
          <w:sz w:val="26"/>
          <w:szCs w:val="26"/>
        </w:rPr>
        <w:t xml:space="preserve"> Създава се глава втора „а“ с чл. 27а-27в:</w:t>
      </w:r>
    </w:p>
    <w:p w:rsidR="003A4AA6" w:rsidRPr="003A4AA6" w:rsidRDefault="003A4AA6" w:rsidP="003A4AA6">
      <w:pPr>
        <w:shd w:val="clear" w:color="auto" w:fill="FFFFFF"/>
        <w:spacing w:before="120" w:after="0" w:line="288" w:lineRule="auto"/>
        <w:jc w:val="center"/>
        <w:rPr>
          <w:rFonts w:ascii="Arial" w:eastAsia="Times New Roman" w:hAnsi="Arial" w:cs="Arial"/>
          <w:bCs/>
          <w:sz w:val="26"/>
          <w:szCs w:val="26"/>
        </w:rPr>
      </w:pPr>
      <w:r w:rsidRPr="003A4AA6">
        <w:rPr>
          <w:rFonts w:ascii="Arial" w:eastAsia="Times New Roman" w:hAnsi="Arial" w:cs="Arial"/>
          <w:bCs/>
          <w:sz w:val="26"/>
          <w:szCs w:val="26"/>
        </w:rPr>
        <w:t>„Глава втора „а“</w:t>
      </w:r>
    </w:p>
    <w:p w:rsidR="003A4AA6" w:rsidRPr="003A4AA6" w:rsidRDefault="003A4AA6" w:rsidP="003A4AA6">
      <w:pPr>
        <w:shd w:val="clear" w:color="auto" w:fill="FFFFFF"/>
        <w:spacing w:before="120" w:after="0" w:line="288" w:lineRule="auto"/>
        <w:jc w:val="center"/>
        <w:rPr>
          <w:rFonts w:ascii="Arial" w:eastAsia="Times New Roman" w:hAnsi="Arial" w:cs="Arial"/>
          <w:bCs/>
          <w:sz w:val="26"/>
          <w:szCs w:val="26"/>
        </w:rPr>
      </w:pPr>
      <w:r w:rsidRPr="003A4AA6">
        <w:rPr>
          <w:rFonts w:ascii="Arial" w:eastAsia="Times New Roman" w:hAnsi="Arial" w:cs="Arial"/>
          <w:bCs/>
          <w:sz w:val="26"/>
          <w:szCs w:val="26"/>
        </w:rPr>
        <w:t>ЮРИСДИКЦИЯ И РЕГИСТРАЦИЯ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Юрисдикция и териториалност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27а. (1) Субектите, попадащи в обхвата на настоящия закон, се считат за попадащи под юрисдикцията на държавата, в която са установени, освен в случай на: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1. доставчици на обществени електронни съобщителни мрежи или доставчици на обществено достъпни електронни съобщителни </w:t>
      </w:r>
      <w:r w:rsidRPr="003A4AA6">
        <w:rPr>
          <w:rFonts w:ascii="Arial" w:eastAsia="Times New Roman" w:hAnsi="Arial" w:cs="Arial"/>
          <w:bCs/>
          <w:sz w:val="26"/>
          <w:szCs w:val="26"/>
        </w:rPr>
        <w:lastRenderedPageBreak/>
        <w:t>услуги, за които се счита, че попадат под юрисдикцията на държавата членка, в която предоставят своите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доставчиците на DNS услуги, регистрите на имена на домейни от първо ниво, субектите, предоставящи услуги за регистриране на имена на домейни, доставчиците на компютърни услуги в облак, доставчиците на услуги на центрове за данни, доставчиците на мрежи за предоставяне на съдържание, доставчиците на управлявани услуги, доставчиците на управлявани услуги за сигурност, както и доставчиците на онлайн места за търговия, на онлайн търсачки или на платформи на услуги за социални мрежи, за които се счита, че попадат под юрисдикцията на държавата членка, в която се намира основното им място на установяване в Съюза съгласно ал.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Ако субект по ал. 1, т. 2 не е установен в Съюза, но предлага услуги в него, той предоставя информация за своя представител в Съюза в срока по чл. 6, ал. 2. Представителят трябва да е установен в една от държавите членки, в които се предлагат услугите. При липсата на представител в Съюза, определен съгласно настоящата алинея, субект, който предлага услуги на територията на Република България, се счита под юрисдикцията на Република България.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27б. (1) Определянето на представител от страна на субект по чл. 27а, ал. 1, т. 2 не засяга правните действия, които биха могли да се предприемат срещу самия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При получаване на искане за взаимопомощ по отношение на субект, посочен в чл. 27а, ал. 1, т. 2, националните компетентни органи могат да предприемат подходящи надзорни и правоприлагащи мерки по отношение на съответния субект, който предоставя услуги или който притежава мрежова и информационна система.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База данни с регистрационни данни на имена на домейни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27в. (1) Регистрите на имена на домейни от първо ниво и субектите, предоставящи услуги за регистрация на такива имена на домейни, събират и поддържат точни и пълни данни за регистрацията на имената на домейни в поддържани от тях регистри при спазване на изискванията в областта на защитата на личните данни.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регистрите по ал. 1 се съхранява следната информация, необходима за установяване и осъществяване на връзка с притежателите на имена на домейни и точките за контакт, администриращи имената на домейните в домейни от първо ниво: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1. името на домейна;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датата на регистрация;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името, адреса на електронната поща и телефонния номер за контакт на регистранта;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адреса на електронната поща и телефонния номер за контакт на звеното за контакт, администриращо името на домейна, в случай че те са различни от тези на регистранта.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След всяка регистрация на име на домейн субектите по ал. 1 публикуват незабавно данните за регистрацията при спазване на изискванията в областта на защитата на личните данни.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(4) Субектите по ал. 1 са длъжни да оказват съдействие на националните компетентни органи, СЕРИКС, НЕРИКС и органите на досъдебното производство, като предоставят в срок до 72 часа достъп до конкретни данни за регистрация по ал. 2 при наличие на обосновано и законосъобразно искане и в съответствие с приложимото право в областта на защитата на личните данни.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Субектите по ал. 1 създават и поддържат политики и процедури, включително процедури за проверка и разкриване на информация, които осигуряват спазването на изискванията на ал. 1, ал. 2 и ал. 4. Политиките и процедурите са публични.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Спазването на задълженията, предвидени в ал. 1-5, не следва да води до дублиране на събирането на данни за регистрация на имена на домейни. За тази цел изискването е регистрите на имена на домейни от първо ниво и субектите, предоставящи услуги за регистрация на имена на домейни, да си сътрудничат.“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28.</w:t>
      </w:r>
      <w:r w:rsidRPr="003A4AA6">
        <w:rPr>
          <w:rFonts w:ascii="Arial" w:eastAsia="Times New Roman" w:hAnsi="Arial" w:cs="Arial"/>
          <w:bCs/>
          <w:sz w:val="26"/>
          <w:szCs w:val="26"/>
        </w:rPr>
        <w:t xml:space="preserve"> Създава се глава втора „б“ с чл. 27г – 27д:</w:t>
      </w:r>
    </w:p>
    <w:p w:rsidR="003A4AA6" w:rsidRPr="003A4AA6" w:rsidRDefault="003A4AA6" w:rsidP="003A4AA6">
      <w:pPr>
        <w:shd w:val="clear" w:color="auto" w:fill="FFFFFF"/>
        <w:spacing w:before="120" w:after="0" w:line="240" w:lineRule="auto"/>
        <w:jc w:val="center"/>
        <w:rPr>
          <w:rFonts w:ascii="Arial" w:eastAsia="Times New Roman" w:hAnsi="Arial" w:cs="Arial"/>
          <w:bCs/>
          <w:sz w:val="26"/>
          <w:szCs w:val="26"/>
        </w:rPr>
      </w:pPr>
      <w:r w:rsidRPr="003A4AA6">
        <w:rPr>
          <w:rFonts w:ascii="Arial" w:eastAsia="Times New Roman" w:hAnsi="Arial" w:cs="Arial"/>
          <w:bCs/>
          <w:sz w:val="26"/>
          <w:szCs w:val="26"/>
        </w:rPr>
        <w:t>„Глава втора „б“</w:t>
      </w:r>
    </w:p>
    <w:p w:rsidR="003A4AA6" w:rsidRPr="003A4AA6" w:rsidRDefault="003A4AA6" w:rsidP="003A4AA6">
      <w:pPr>
        <w:shd w:val="clear" w:color="auto" w:fill="FFFFFF"/>
        <w:spacing w:before="120" w:after="0" w:line="240" w:lineRule="auto"/>
        <w:jc w:val="center"/>
        <w:rPr>
          <w:rFonts w:ascii="Arial" w:eastAsia="Times New Roman" w:hAnsi="Arial" w:cs="Arial"/>
          <w:bCs/>
          <w:sz w:val="26"/>
          <w:szCs w:val="26"/>
        </w:rPr>
      </w:pPr>
      <w:r w:rsidRPr="003A4AA6">
        <w:rPr>
          <w:rFonts w:ascii="Arial" w:eastAsia="Times New Roman" w:hAnsi="Arial" w:cs="Arial"/>
          <w:bCs/>
          <w:sz w:val="26"/>
          <w:szCs w:val="26"/>
        </w:rPr>
        <w:t>ОБМЕН НА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Споразумения за обмен на информация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27г. (1) Субектите, попадащи в обхвата на настоящия закон, както и други субекти, които не попадат в обхвата, могат да обменят на доброволна основа относима информация за киберсигурността, включително такава относно киберзаплахи, ситуации, близки до инциденти, уязвимости, техники и процедури, признаци за нарушена сигурност, злонамерени тактики, специфична за източника на заплахата </w:t>
      </w:r>
      <w:r w:rsidRPr="003A4AA6">
        <w:rPr>
          <w:rFonts w:ascii="Arial" w:eastAsia="Times New Roman" w:hAnsi="Arial" w:cs="Arial"/>
          <w:bCs/>
          <w:sz w:val="26"/>
          <w:szCs w:val="26"/>
        </w:rPr>
        <w:lastRenderedPageBreak/>
        <w:t>информация, предупреждения във връзка с киберсигурността и препоръки за конфигуриране на инструменти за киберсигурност за откриване на кибератаки, когато този обмен на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има за цел предотвратяване, откриване, реагиране или възстановяване от инциденти или смекчаване на тяхното въздействие;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подобрява нивото на киберсигурност, по-специално посредством повишаване на осведомеността във връзка с киберзаплахи, ограничаване или възпрепятстване на способността за разпространение на такива заплахи, поддържане на набор от отбранителни способности, отстраняване и оповестяване на уязвимости, техники за откриване, ограничаване и предотвратяване на заплахи, стратегии за ограничаване или етапи за реакция или възстановяване, или насърчаване на съвместни научни изследвания относно киберзаплахите между публични и частни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Обменът на информация се осъществява в рамките на общности на съществените и важните субекти, и, когато е относимо, на техните снабдители или доставчици на услуги. Този обмен се осъществява чрез споразумения за обмен на информация в областта на киберсигурността с оглед на потенциално чувствителния характер на споделяната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Националните компетентни органи улесняват създаването на споразумения за обмен на информация в областта на киберсигурността, посочени в ал. 2. Тези споразумения може да уточняват оперативните елементи, включително използването на специално предназначени ИКТ платформи и инструменти за автоматизиране, съдържанието и условията по споразуменията за обмен на информация. Когато определят подробностите за участието на административните органи в такива споразумения, националните компетентни органи могат да налагат условия по отношение на информацията, предоставяна от компетентните органи или ЕРИКС. Националните компетентни органи оказват помощ при прилагането на такива споразумения в съответствие с политиките, посочени в чл. 8, </w:t>
      </w:r>
      <w:r w:rsidRPr="003A4AA6">
        <w:rPr>
          <w:rFonts w:ascii="Arial" w:eastAsia="Times New Roman" w:hAnsi="Arial" w:cs="Arial"/>
          <w:bCs/>
          <w:sz w:val="26"/>
          <w:szCs w:val="26"/>
        </w:rPr>
        <w:br/>
        <w:t>ал. 2, т. 8.</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Съществените и важните субекти уведомяват националните компетентни органи за своето участие в споразуменията за обмен на информация в областта на киберсигурността по ал. 2 при присъединяването в такива споразумения или при прекратяването им.</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Доброволно уведомяване за относима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27д. (1) Извън задължението за уведомяване, предвидено в чл. 23, се създава възможността за подаване на уведомления до СЕРИКС/НЕРИКС или, когато е приложимо, до националните компетентни органи на доброволна основа: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от съществени и важни субекти по отношение на инциденти, киберзаплахи и ситуации, близки до инциденти;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от субекти, различни от посочените в т. 1, независимо дали попадат в обхвата на настоящия закон, по отношение на значителни инциденти, киберзаплахи и ситуации, близки до инциденти.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Уведомленията по ал. 1 се обработват в съответствие с процедурата, предвидена в чл. 23. Националните компетентни органи обработват задължителните уведомления с предимство пред доброволните уведомления.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При необходимост ЕРИКС или националните компетентни органи предоставят на единните звена за контакт информацията относно уведомленията, получени съгласно настоящия член, като същевременно гарантират поверителността и подходящата защита на информацията, предоставена от уведомяващия субект. Без да се засягат предотвратяването, разследването, разкриването и наказателното преследване на престъпления, доброволното докладване не води до налагането на никакви допълнителни задължения за уведомяващия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29.</w:t>
      </w:r>
      <w:r w:rsidRPr="003A4AA6">
        <w:rPr>
          <w:rFonts w:ascii="Arial" w:eastAsia="Times New Roman" w:hAnsi="Arial" w:cs="Arial"/>
          <w:bCs/>
          <w:sz w:val="26"/>
          <w:szCs w:val="26"/>
        </w:rPr>
        <w:t xml:space="preserve"> Създава се глава втора „в“ с чл. 27е-27о:</w:t>
      </w:r>
    </w:p>
    <w:p w:rsidR="003A4AA6" w:rsidRPr="003A4AA6" w:rsidRDefault="003A4AA6" w:rsidP="003A4AA6">
      <w:pPr>
        <w:shd w:val="clear" w:color="auto" w:fill="FFFFFF"/>
        <w:spacing w:before="120" w:after="0" w:line="288" w:lineRule="auto"/>
        <w:jc w:val="center"/>
        <w:rPr>
          <w:rFonts w:ascii="Arial" w:eastAsia="Times New Roman" w:hAnsi="Arial" w:cs="Arial"/>
          <w:bCs/>
          <w:sz w:val="26"/>
          <w:szCs w:val="26"/>
        </w:rPr>
      </w:pPr>
      <w:r w:rsidRPr="003A4AA6">
        <w:rPr>
          <w:rFonts w:ascii="Arial" w:eastAsia="Times New Roman" w:hAnsi="Arial" w:cs="Arial"/>
          <w:bCs/>
          <w:sz w:val="26"/>
          <w:szCs w:val="26"/>
        </w:rPr>
        <w:t>„Глава втора „в“</w:t>
      </w:r>
    </w:p>
    <w:p w:rsidR="003A4AA6" w:rsidRPr="003A4AA6" w:rsidRDefault="003A4AA6" w:rsidP="003A4AA6">
      <w:pPr>
        <w:shd w:val="clear" w:color="auto" w:fill="FFFFFF"/>
        <w:spacing w:before="120" w:after="0" w:line="288" w:lineRule="auto"/>
        <w:jc w:val="center"/>
        <w:rPr>
          <w:rFonts w:ascii="Arial" w:eastAsia="Times New Roman" w:hAnsi="Arial" w:cs="Arial"/>
          <w:bCs/>
          <w:sz w:val="26"/>
          <w:szCs w:val="26"/>
        </w:rPr>
      </w:pPr>
      <w:r w:rsidRPr="003A4AA6">
        <w:rPr>
          <w:rFonts w:ascii="Arial" w:eastAsia="Times New Roman" w:hAnsi="Arial" w:cs="Arial"/>
          <w:bCs/>
          <w:sz w:val="26"/>
          <w:szCs w:val="26"/>
        </w:rPr>
        <w:t>КОНТРОЛ</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Основни аспекти на контрола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27е. (1) Контролът за спазване на изискванията по този закон се осъществява:</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w:t>
      </w:r>
      <w:r w:rsidRPr="003A4AA6">
        <w:rPr>
          <w:rFonts w:ascii="Arial" w:eastAsia="Times New Roman" w:hAnsi="Arial" w:cs="Arial"/>
          <w:bCs/>
          <w:sz w:val="26"/>
          <w:szCs w:val="26"/>
        </w:rPr>
        <w:tab/>
        <w:t>от националните компетентни органи по чл. 16;</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w:t>
      </w:r>
      <w:r w:rsidRPr="003A4AA6">
        <w:rPr>
          <w:rFonts w:ascii="Arial" w:eastAsia="Times New Roman" w:hAnsi="Arial" w:cs="Arial"/>
          <w:bCs/>
          <w:sz w:val="26"/>
          <w:szCs w:val="26"/>
        </w:rPr>
        <w:tab/>
        <w:t>от Министерството на отбраната;</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w:t>
      </w:r>
      <w:r w:rsidRPr="003A4AA6">
        <w:rPr>
          <w:rFonts w:ascii="Arial" w:eastAsia="Times New Roman" w:hAnsi="Arial" w:cs="Arial"/>
          <w:bCs/>
          <w:sz w:val="26"/>
          <w:szCs w:val="26"/>
        </w:rPr>
        <w:tab/>
        <w:t>от Министерството на вътрешните работи;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от Държавна агенция „Национална 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 xml:space="preserve">(2) За осъществяване на контрол по този закон органите по </w:t>
      </w:r>
      <w:r w:rsidRPr="003A4AA6">
        <w:rPr>
          <w:rFonts w:ascii="Arial" w:eastAsia="Times New Roman" w:hAnsi="Arial" w:cs="Arial"/>
          <w:bCs/>
          <w:sz w:val="26"/>
          <w:szCs w:val="26"/>
        </w:rPr>
        <w:br/>
        <w:t>ал. 1 оправомощават със заповед служители от своите администрации.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27ж. (1) При осъществяване на своите правомощия по отношение на съществените субекти органите по чл. 27е имат право: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да извършват проверки - планови и извънпланови, на място или дистанционни, извършвани от компетентни оправомощени служители;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да извършват редовни и целеви одити на сигурността, извършвани от независим орган или компетентен орган;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да извършват извънпланови одити, когато са обосновани поради значителен инцидент или нарушение на настоящия закон от страна на съществения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да извършват проверки за сигурност, основани на обективни, недискриминационни, справедливи и прозрачни критерии за оценка на риска, при необходимост, със съдействието на съответния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да изискват информация, необходима за оценка на мерките за управление на риска в областта на киберсигурноста, приети от съответния субект, включително документирани политики в областта на киберсигурност, както и изпълнение на задълженията за изпращане на информация на националните компетентни органи съгласно чл. 27в (Регистъра на ENISA);</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 да им бъде предоставен достъп до данни, документи и всякаква информация, необходими за осъществяването на техните надзорни задачи;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 да изискват и да им бъдат предоставени доказателства за изпълнение на политиките в областта на киберсигурността, като например резултатите от одитите на сигурността, извършени от квалифициран одитор, и съответните подкрепящи доказателства.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При осъществяване на своите правомощия, по отношение на важните субекти, органите по чл. 27е имат право: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да извършват проверки на място и последващ дистанционен надзор, извършвани от компетентни оправомощени служители;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да извършват целеви одити на сигурността, извършвани от независим орган или компетентен орган;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3. да извършват проверки за сигурност, основани на обективни, недискриминационни, справедливи и прозрачни критерии за оценка на риска, при необходимост, със съдействието на съответния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да изискват информация, необходима за последваща оценка на мерките за управление на риска в областта на киберсигурността, приети от съответния субект, включително документирани политики за киберсигурност, както и съответствие със задълженията за изпращане на информация до националните компетентни органи съгласно чл. 27в;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да изискват достъп до данни, документи и информация, необходими за изпълнението на надзорните им задачи;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6. да изискват доказателства за изпълнението на политиките в областта на киберсигурността, като например резултатите от одитите на сигурността, извършени от квалифициран одитор, и съответните подкрепящи доказателства.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При упражняване на своите правомощия по ал. 1, т. 5, 6 и 7, съответно ал. 2, т. 4, 5 и 6, националните компетентни органи заявяват целта на своето искане и поясняват исканата информация.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27з. (1) Целевите одити на сигурността, посочени в чл. 27ж, се основават на оценки на риска, извършени от компетентния орган или одитирания субект, или на друга налична информация, свързана с риска.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Резултатите от всеки целеви одит на сигурността се предоставят на националните компетентни органи по чл. 16, ал. 1.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Разходите за такъв целеви одит на сигурността, извършен от независим орган, се заплащат от одитирания субект, освен в надлежно обосновани случаи, когато националният компетентен орган реши друго.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27и. (1) При осъществяване на своите правомощия органите по чл. 27е могат да издават: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предупреждения;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да приемат задължителни предписания или разпореждания, с които се изисква от засегнатите субекти да отстранят установените пропуски или нарушения на този закон, а за съществените субекти - и предписания относно мерките, необходими за предотвратяване на възникването на инцидент или за справяне с него, за изпълнение на задължение за докладване, както и  да определят срокове за изпълнение на такива мерки;</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3.</w:t>
      </w:r>
      <w:r w:rsidRPr="003A4AA6">
        <w:rPr>
          <w:rFonts w:ascii="Arial" w:eastAsia="Times New Roman" w:hAnsi="Arial" w:cs="Arial"/>
          <w:bCs/>
          <w:sz w:val="26"/>
          <w:szCs w:val="26"/>
        </w:rPr>
        <w:tab/>
        <w:t>разпореждания да преустановяват поведение, което нарушава закона, и да се въздържат от повтарянето на такова поведение;</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w:t>
      </w:r>
      <w:r w:rsidRPr="003A4AA6">
        <w:rPr>
          <w:rFonts w:ascii="Arial" w:eastAsia="Times New Roman" w:hAnsi="Arial" w:cs="Arial"/>
          <w:bCs/>
          <w:sz w:val="26"/>
          <w:szCs w:val="26"/>
        </w:rPr>
        <w:tab/>
        <w:t>разпореждания да гарантират, че техните мерки за управление на риска в областта на киберсигурността са в съответствие с чл. 22, или да изпълнят задълженията за докладване по чл. 23 по конкретен начин, за което да определят срок;</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w:t>
      </w:r>
      <w:r w:rsidRPr="003A4AA6">
        <w:rPr>
          <w:rFonts w:ascii="Arial" w:eastAsia="Times New Roman" w:hAnsi="Arial" w:cs="Arial"/>
          <w:bCs/>
          <w:sz w:val="26"/>
          <w:szCs w:val="26"/>
        </w:rPr>
        <w:tab/>
        <w:t xml:space="preserve"> разпореждания на засегнатите субекти да уведомяват физическите или юридическите лица, на които предоставят услуги или по отношение на които извършват дейности и които са потенциално засегнати от значителна киберзаплаха, за естеството на заплахата, както и за възможните защитни или коригиращи мерки, които те могат да предприемат в отговор на тази заплаха;</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w:t>
      </w:r>
      <w:r w:rsidRPr="003A4AA6">
        <w:rPr>
          <w:rFonts w:ascii="Arial" w:eastAsia="Times New Roman" w:hAnsi="Arial" w:cs="Arial"/>
          <w:bCs/>
          <w:sz w:val="26"/>
          <w:szCs w:val="26"/>
        </w:rPr>
        <w:tab/>
        <w:t>разпореждане на засегнатите субекти да изпълняват препоръките, предвидени в резултат на одит на сигурността, като определят за това разумен срок;</w:t>
      </w:r>
    </w:p>
    <w:p w:rsidR="003A4AA6" w:rsidRPr="003A4AA6" w:rsidRDefault="003A4AA6" w:rsidP="003A4AA6">
      <w:pPr>
        <w:shd w:val="clear" w:color="auto" w:fill="FFFFFF"/>
        <w:tabs>
          <w:tab w:val="left" w:pos="99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7.</w:t>
      </w:r>
      <w:r w:rsidRPr="003A4AA6">
        <w:rPr>
          <w:rFonts w:ascii="Arial" w:eastAsia="Times New Roman" w:hAnsi="Arial" w:cs="Arial"/>
          <w:bCs/>
          <w:sz w:val="26"/>
          <w:szCs w:val="26"/>
        </w:rPr>
        <w:tab/>
        <w:t xml:space="preserve"> разпореждания на засегнатите субекти да обявят публично  извършеното от тях нарушение, като определят подходящ начин за това. </w:t>
      </w:r>
    </w:p>
    <w:p w:rsidR="003A4AA6" w:rsidRPr="003A4AA6" w:rsidRDefault="003A4AA6" w:rsidP="003A4AA6">
      <w:pPr>
        <w:shd w:val="clear" w:color="auto" w:fill="FFFFFF"/>
        <w:tabs>
          <w:tab w:val="left" w:pos="990"/>
          <w:tab w:val="left" w:pos="1080"/>
          <w:tab w:val="left" w:pos="1560"/>
        </w:tabs>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w:t>
      </w:r>
      <w:r w:rsidRPr="003A4AA6">
        <w:rPr>
          <w:rFonts w:ascii="Arial" w:eastAsia="Times New Roman" w:hAnsi="Arial" w:cs="Arial"/>
          <w:bCs/>
          <w:sz w:val="26"/>
          <w:szCs w:val="26"/>
        </w:rPr>
        <w:tab/>
        <w:t xml:space="preserve">По отношение на съществените субекти органите по чл. 27е могат да определят длъжностно лице по надзор за спазването на чл. 22 и 23 от засегнатите субекти, както и на неговите конкретни задачи и срок за изпълнение.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27к. (1) За непредприемане на действията, определени по реда на чл. 27и, ал. 1, т. 1-4 и т. 6, националният компетентен орган по чл. 27е може временно да спре или да изиска от съд или от съответния компетентен административен орган да спре временно лиценз, регистрация, сертификат или разрешение относно всички или част от съответните предоставени услуги или дейностите, извършвани от съществения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За непредприемане на действията, определени по реда на чл. 32, чл. 27и, ал. 1, т. 1-4 и т. 6, националният компетентен орган по </w:t>
      </w:r>
      <w:r w:rsidRPr="003A4AA6">
        <w:rPr>
          <w:rFonts w:ascii="Arial" w:eastAsia="Times New Roman" w:hAnsi="Arial" w:cs="Arial"/>
          <w:bCs/>
          <w:sz w:val="26"/>
          <w:szCs w:val="26"/>
        </w:rPr>
        <w:br/>
        <w:t>чл. 27е може да изиска от съд или от друг държавен орган налагането на временна забрана спрямо всяко физическо лице, изпълняващо управленски функции, или законен представител в този съществен субект да упражнява управленски функции в този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Компетентният административен орган за временно спиране на лиценз, регистрация, сертификат или разрешение по ал. 1 се </w:t>
      </w:r>
      <w:r w:rsidRPr="003A4AA6">
        <w:rPr>
          <w:rFonts w:ascii="Arial" w:eastAsia="Times New Roman" w:hAnsi="Arial" w:cs="Arial"/>
          <w:bCs/>
          <w:sz w:val="26"/>
          <w:szCs w:val="26"/>
        </w:rPr>
        <w:lastRenderedPageBreak/>
        <w:t>произнася с индивидуален административен акт, който може да бъде обжалван по реда на Административнопроцесуалния кодекс.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Алинея 1 и ал. 2 не се прилагат по отношение на съществени субекти, които са административните органи.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(5) Всяко физическо лице, отговорно за съществен или важен субект или действащо като негов законен представител въз основа на правомощие да го представлява, да взема решения от негово име или да упражнява контрол върху него, има необходимите правомощия, за да осигури спазването на закона. За тези лица се прилагат всички мерки, предвидени в този закон. Тези физически лица могат да бъдат подведени под отговорност за неизпълнението на своите задължения по спазването на закона.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27л. Органите по чл. 16 информират съответните компетентни органи съгласно Директива (ЕС) 2022/2557, когато упражняват своите правомощия, имащи за цел да гарантират спазването на настоящия закон от съществен субект, установен като критичен субект съгласно Директива (ЕС) 2022/2557. Когато е целесъобразно, компетентните органи съгласно Директива (ЕС) 2022/2557 могат да поискат от националните компетентни органи по чл. 16 да упражняват своите правомощия във връзка със съществен субект, който е установен като критичен съгласно Директива (ЕС) 2022/2557.</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27м. Компетентните органи съгласно този закон си сътрудничат със съответните компетентни органи на засегнатата държава членка съгласно Регламент (ЕС) 2022/2554. Компетентните органи съгласно закона информират надзорния форум, установен съгласно член 32, параграф 1 от Регламент (ЕС) 2022/2554, когато упражняват своите надзорни и правоприлагащи правомощия, целящи гарантиране на спазването на закона от страна на съществен или важен субект, който е определен като трета страна критичен доставчик на услуги в областта на ИКТ, в съответствие с член 31 от Регламент (ЕС) 2022/2554.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Нарушения в сигурността на личните данни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27н. (1) Органите по чл. 16 уведомяват незабавно Комисията за защита на личните данни, когато при осъществяване на своите правомощия установят извършено нарушение от съществен или важен субект, което би могло да доведе до нарушаване на сигурността на личните данни съгласно Регламент (ЕС) 2016/679 на Европейския </w:t>
      </w:r>
      <w:r w:rsidRPr="003A4AA6">
        <w:rPr>
          <w:rFonts w:ascii="Arial" w:eastAsia="Times New Roman" w:hAnsi="Arial" w:cs="Arial"/>
          <w:bCs/>
          <w:sz w:val="26"/>
          <w:szCs w:val="26"/>
        </w:rPr>
        <w:lastRenderedPageBreak/>
        <w:t>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(OB, L 119 от</w:t>
      </w:r>
      <w:r w:rsidRPr="003A4AA6">
        <w:rPr>
          <w:rFonts w:ascii="Arial" w:eastAsia="Times New Roman" w:hAnsi="Arial" w:cs="Arial"/>
          <w:bCs/>
          <w:sz w:val="26"/>
          <w:szCs w:val="26"/>
        </w:rPr>
        <w:br/>
        <w:t>4 май 2016 г.) и Закона за защита на личните данни.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Когато надзорните органи, посочени в чл. 55 или чл. 56 от Регламент (ЕС) 2016/679, наложат имуществена санкция съгласно чл. 58, параграф 2, буква „и“ от посочения регламент, компетентните органи по този закон не налагат имуществена санкция съгласно чл. 27л по отношение на ал. 1, произтичащо от същото деяние, което е било предмет на имуществена санкция съгласно член 58, параграф 2, буква „и“ от Регламент (ЕС) 2016/679. В тези случаи компетентните органи по този закон могат да налагат само мерките, предвидени в чл. 27л.</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Когато надзорният орган, компетентен съгласно Регламент (ЕС) 2016/679, е установен в държава членка, различна от тази на компетентния орган по този закон, компетентният орган уведомява Комисията за защита на личните данни относно възможното нарушаване на сигурността на данните, посочено в ал. 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Взаимопомощ</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27о. (1) Когато субект предоставя услуги на територията на Република България и в друга държава членка и неговите мрежови и информационни системи са разположени на територията на Република България и в други държави членки, компетентните органи по този закон  си сътрудничат и се подпомагат взаимно с компетентните органи на засегнатите държави членки, ако е необходимо. Това сътрудничество включва най-малко следното: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националните компетентни органи по този закон посредством единното звено за контакт уведомяват и се консултират с компетентните органи в другите засегнати държави членки относно предприетите надзорни и правоприлагащи мерки;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национален компетентен орган може да поиска от друг компетентен орган в друга държава членка да предприеме надзорни или правоприлагащи мерки;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когато национален компетентен орган по този закон получи обосновано искане от друг компетентен орган, включително от друга държава членка, той оказва на искащия орган взаимопомощ, пропорционална на собствените му ресурси, така че надзорните и </w:t>
      </w:r>
      <w:r w:rsidRPr="003A4AA6">
        <w:rPr>
          <w:rFonts w:ascii="Arial" w:eastAsia="Times New Roman" w:hAnsi="Arial" w:cs="Arial"/>
          <w:bCs/>
          <w:sz w:val="26"/>
          <w:szCs w:val="26"/>
        </w:rPr>
        <w:lastRenderedPageBreak/>
        <w:t>правоприлагащите мерки да могат да бъдат приложени по ефективен, ефикасен и последователен начин.</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Взаимопомощта, посочена в ал. 1, т. 3, може да обхваща искания за информация и надзорни мерки, включително искания за провеждане на проверки на място или дистанционен надзор, или целеви одити на сигурността. Национален компетентен орган, към когото е отправено искане за помощ, не отхвърля това искане, освен ако не бъде установено, че не е компетентен да предостави исканата помощ, поисканата помощ не е пропорционална на надзорните задачи на националния компетентен орган или искането се отнася до информация или включва дейности, които, ако бъдат оповестени или извършени, биха противоречили на националната сигурност, обществената сигурност или отбраната. Преди да отхвърли такова искане, националният компетентен орган се консултира с другите засегнати компетентни органи както и, по искане на една от засегнатите държави членки - с Комисията и Агенцията на Европейския съюз за киберсигурност (ENISA).</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Когато е подходящо и при общо съгласие, компетентните органи по този закон могат да извършват общи надзорни действия с компетентни органи от други държави членки.“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30.</w:t>
      </w:r>
      <w:r w:rsidRPr="003A4AA6">
        <w:rPr>
          <w:rFonts w:ascii="Arial" w:eastAsia="Times New Roman" w:hAnsi="Arial" w:cs="Arial"/>
          <w:bCs/>
          <w:sz w:val="26"/>
          <w:szCs w:val="26"/>
        </w:rPr>
        <w:t xml:space="preserve"> Членове 28 и 29 се изменят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„Отговорност за неизпълнение на принудителни административни мерки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Чл. 28. (1) Съществен или важен субект, който не изпълни принудителна административна мярка по смисъла на чл. 27и, ал. 1, </w:t>
      </w:r>
      <w:r w:rsidRPr="003A4AA6">
        <w:rPr>
          <w:rFonts w:ascii="Arial" w:eastAsia="Times New Roman" w:hAnsi="Arial" w:cs="Arial"/>
          <w:bCs/>
          <w:sz w:val="26"/>
          <w:szCs w:val="26"/>
        </w:rPr>
        <w:br/>
        <w:t>т. 2-7, се наказва с глоба или с имуществена санкция в размер от 5000 до 25 000 лв.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При повторно нарушение по ал. 1 наказанието е глоба или имуществена санкция в размер от 10 000 до 50 000 лв.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Глоби и имуществени санкции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Чл. 29. (1) Глобите и имуществените санкции се налагат  независимо от която и да е от мерките, посочени в чл. 27и, ал. 1, т. 2-7 и чл. 27к.</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Съществен субект, който не изпълни задълженията по чл. 22 и 23, се наказва с имуществена санкция от 50 000 лв. до 2 на сто от общия световен годишен оборот за предходната финансова година на </w:t>
      </w:r>
      <w:r w:rsidRPr="003A4AA6">
        <w:rPr>
          <w:rFonts w:ascii="Arial" w:eastAsia="Times New Roman" w:hAnsi="Arial" w:cs="Arial"/>
          <w:bCs/>
          <w:sz w:val="26"/>
          <w:szCs w:val="26"/>
        </w:rPr>
        <w:lastRenderedPageBreak/>
        <w:t xml:space="preserve">предприятието, към което принадлежи същественият субект, но не </w:t>
      </w:r>
      <w:r w:rsidRPr="003A4AA6">
        <w:rPr>
          <w:rFonts w:ascii="Arial" w:eastAsia="Times New Roman" w:hAnsi="Arial" w:cs="Arial"/>
          <w:bCs/>
          <w:sz w:val="26"/>
          <w:szCs w:val="26"/>
        </w:rPr>
        <w:br/>
        <w:t xml:space="preserve">по-малко от 20 000 000 лв.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Важен субект, който не изпълни задълженията по чл. 22 и 23, се наказва с имуществена санкция от 25 000 лв. до 1,4 на сто от общия световен годишен оборот за предходната финансова година на предприятието, към което принадлежи важният субект, но не по-малко от 14 000 000 лв.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 При нарушение на чл. 21 ръководителите на административните органи, управителите или членовете на управителните органи на съществените и важните субекти подлежат на глоба в размер на 1000 лв. до 10 000 лв.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Алинея 2 не се прилага по отношение на съществени субекти, които са административни органи.“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31.</w:t>
      </w:r>
      <w:r w:rsidRPr="003A4AA6">
        <w:rPr>
          <w:rFonts w:ascii="Arial" w:eastAsia="Times New Roman" w:hAnsi="Arial" w:cs="Arial"/>
          <w:bCs/>
          <w:sz w:val="26"/>
          <w:szCs w:val="26"/>
        </w:rPr>
        <w:t xml:space="preserve"> В чл. 30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1 числото „10 000“ се заменя с „20 000“.</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2 числото „15 000“ се заменя с „30 000“.</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 В ал. 3 думите „чл. 15, ал. 6 и чл. 19, ал. 3“ се заменят с </w:t>
      </w:r>
      <w:r w:rsidRPr="003A4AA6">
        <w:rPr>
          <w:rFonts w:ascii="Arial" w:eastAsia="Times New Roman" w:hAnsi="Arial" w:cs="Arial"/>
          <w:bCs/>
          <w:sz w:val="26"/>
          <w:szCs w:val="26"/>
        </w:rPr>
        <w:br/>
        <w:t>„чл. 15, ал. 5“, числото „10 000“ се заменя с „15 000“ и числото „15 000“ се заменя с „30 000“.</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32.</w:t>
      </w:r>
      <w:r w:rsidRPr="003A4AA6">
        <w:rPr>
          <w:rFonts w:ascii="Arial" w:eastAsia="Times New Roman" w:hAnsi="Arial" w:cs="Arial"/>
          <w:bCs/>
          <w:sz w:val="26"/>
          <w:szCs w:val="26"/>
        </w:rPr>
        <w:t xml:space="preserve"> В чл. 31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В ал. 1 думите „както и за нарушения по чл. 28, ал. 3 и 4 и по чл. 30, ал. 3 във връзка с чл. 19, ал. 3“ се заличават.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В ал. 2 думите „оператори на съществени услуги или от доставчици на цифрови услуги“ се заменят със „съществени и важни субекти“.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
          <w:bCs/>
          <w:sz w:val="26"/>
          <w:szCs w:val="26"/>
        </w:rPr>
        <w:t>§ 33.</w:t>
      </w:r>
      <w:r w:rsidRPr="003A4AA6">
        <w:rPr>
          <w:rFonts w:ascii="Arial" w:eastAsia="Times New Roman" w:hAnsi="Arial" w:cs="Arial"/>
          <w:bCs/>
          <w:sz w:val="26"/>
          <w:szCs w:val="26"/>
        </w:rPr>
        <w:t xml:space="preserve"> В Допълнителните разпоредби се правят следните изменения и допълнения: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Параграфи 1 и 2 се изменят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 1. Този закон въвежда изисквания на Директива (ЕС) 2022/2555 на Европейския Парламент и на Съвета от 14 декември </w:t>
      </w:r>
      <w:r w:rsidRPr="003A4AA6">
        <w:rPr>
          <w:rFonts w:ascii="Arial" w:eastAsia="Times New Roman" w:hAnsi="Arial" w:cs="Arial"/>
          <w:bCs/>
          <w:sz w:val="26"/>
          <w:szCs w:val="26"/>
        </w:rPr>
        <w:br/>
        <w:t>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(Директива МИС 2) (OB, L 333 от 27 декември 2022 г.).</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 2. Този закон предвижда мерки по прилагане на „Приложение към заключенията на Съвета относно сигурността на веригата за доставки на ИКТ, одобрени от Съвета на заседанието му от 17 октомври 2022 г.“</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 Създава се § 2а: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2а. Този закон предвижда мерки по прилагане на Насоки на Комисията за прилагане на член 3, параграф 4 от Директива (ЕС) 2022/2555 (Директива МИС 2) (2023/C 324/02).”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В § 3:</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а) точка 1 се изменя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 Административен орган“ е орган, който принадлежи към системата на изпълнителната власт.“;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точка 2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 Група за сътрудничество“ е групата по смисъла на чл. 14 от Директива (ЕС) 2022/2555 на Европейския парламент и на Съвета от </w:t>
      </w:r>
      <w:r w:rsidRPr="003A4AA6">
        <w:rPr>
          <w:rFonts w:ascii="Arial" w:eastAsia="Times New Roman" w:hAnsi="Arial" w:cs="Arial"/>
          <w:bCs/>
          <w:sz w:val="26"/>
          <w:szCs w:val="26"/>
        </w:rPr>
        <w:br/>
        <w:t>14 декември 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(Директива МИС 2) (OB, L 333 от 27 декември 2022 г.).“;</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в) създава се т. 2а: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„2а. „Национална стратегия за киберсигурност“ e съгласувана рамка на държавата, съдържаща стратегически цели и приоритети в областта на киберсигурността и управленските методи за постигането им.“;</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г) точка 3 се изменя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 „Действия при инцидент“ са всякакви действия и процедури, имащи за цел предотвратяването, установяването, анализа, ограничаването или реагирането на инцидент и възстановяването от него.“;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д) създава се т. 4а: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„4а. „Система за имена на домейни” или „DNS” е йерархична разпределена система за именуване, която позволява идентифициране на интернет услуги и ресурси, позволявайки на устройствата на крайните ползватели да използват интернет маршрутизация и услуги за свързване, за да достигнат до тези услуги и ресурси.“;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е) точка 5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 „Доставчик на DNS услуги“ е субект, предоставящ:</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а) публично достъпни рекурсивни услуги за преобразуване на имена на домейни за крайни интернет ползватели, или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б) услуги за овластено преобразуване на имена на домейни за използване от трета страна с изключение на базови сървъри за имена.“;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ж) точка 9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„9. „Ситуация, близка до инцидент“ е събитие, което е могло да засегне отрицателно наличността, автентичността, цялостността или поверителността на съхранявани, пренасяни или обработвани данни или на услугите, предлагани или достъпни чрез мрежови и информационни системи, чието случване (чиято активност е била предодвратена) е било успешно предотвратено или което не се е осъществило.“;</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з) точка 11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 „Киберзаплаха“ е всяко потенциално обстоятелство, събитие или действие, което може да навреди, наруши или по друг начин да окаже неблагоприятно въздействие върху мрежите и информационните системи, върху ползвателите на такива мрежи и системи и други лица.“;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и) създава се т. 11а: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„11а. „Значителна киберзаплаха“ е киберзаплаха, за която въз основа на техническите ѝ характеристики може да се предположи, че има потенциал да окаже сериозно въздействие върху мрежовите и информационните системи на даден субект или върху ползвателите на услугите на субекта, като причини значителни материални или нематериални вреди.“;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к) създава се т. 12а: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„12а. „Инцидент“ е събитие, което засяга отрицателно наличността, автентичността, цялостността или поверителността на съхранявани, пренасяни или обработвани данни или на услугите, предлагани или достъпни чрез мрежови и информационни системи.“;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л) създава се т. 15а: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„15а. „Мащабен киберинцидент“ е инцидент, който причинява степен на смущение, надхвърляща способността на държавата  да </w:t>
      </w:r>
      <w:r w:rsidRPr="003A4AA6">
        <w:rPr>
          <w:rFonts w:ascii="Arial" w:eastAsia="Times New Roman" w:hAnsi="Arial" w:cs="Arial"/>
          <w:bCs/>
          <w:sz w:val="26"/>
          <w:szCs w:val="26"/>
        </w:rPr>
        <w:lastRenderedPageBreak/>
        <w:t>реагира на него, или който има значително въздействие върху най-малко две държави членки.“;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м) точка 19 се изменя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„19. „Компютърна услуга „в облак“ е цифрова услуга, която дава възможност за администриране при поискване и широк отдалечен достъп до променлив по мащаб и еластичен набор от компютърни ресурси, които могат да бъдат ползвани съвместно, включително когато тези ресурси са разпределени на няколко места.“;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н) в т. 21 думите „мрежова и информационна сигурност“ се заменят с „киберсигурност“;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о) точка 22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„22. „Мрежата на националните екипи за реагиране при инциденти с компютърната сигурност“ е мрежата по смисъла на чл. 15 от Директива (ЕС) 2022/2555 на Европейския парламент и на Съвета от </w:t>
      </w:r>
      <w:r w:rsidRPr="003A4AA6">
        <w:rPr>
          <w:rFonts w:ascii="Arial" w:eastAsia="Times New Roman" w:hAnsi="Arial" w:cs="Arial"/>
          <w:bCs/>
          <w:sz w:val="26"/>
          <w:szCs w:val="26"/>
        </w:rPr>
        <w:br/>
        <w:t>14 декември 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(Директива МИС 2).“;</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п) създават се т. 27а-27в:</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„27а. „ИКТ продукт“ е ИКТ продукт съгласно определението в член 2, точка 12 от Регламент (ЕС) 2019/881.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27б. „ИКТ услуга“ е ИКТ услуга съгласно определението в член 2, точка 13 от Регламент (ЕС) 2019/881.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27в. „ИКТ процес“ е ИКТ процес съгласно определението в член 2, точка 14 от Регламент (ЕС) 2019/881.“;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р) точка 28 се изменя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„28. „Представител“ е установено в Съюза физическо или юридическо лице, изрично определено да действа от името на доставчик на DNS услуги, регистър на имена на домейни от първо ниво, субект, предоставящ услуги за регистрация на имена на домейни, доставчик на компютърни услуги „в облак“, доставчик на услуги на център за данни, доставчик на мрежи за предоставяне на съдържание, доставчик на управлявани услуги, доставчик на управлявани услуги за сигурност или доставчик на онлайн места за търговия, на онлайн търсачки или на платформи на услуги за социални мрежи, което не е установено в Съюза, и към което, по отношение на задълженията на даден субект съгласно </w:t>
      </w:r>
      <w:r w:rsidRPr="003A4AA6">
        <w:rPr>
          <w:rFonts w:ascii="Arial" w:eastAsia="Times New Roman" w:hAnsi="Arial" w:cs="Arial"/>
          <w:bCs/>
          <w:sz w:val="26"/>
          <w:szCs w:val="26"/>
        </w:rPr>
        <w:lastRenderedPageBreak/>
        <w:t>настоящата директива, компетентен орган или ЕРИКС може да се обръща вместо към самия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с) точка 29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„29. „Регистър на имена на домейни от първо ниво“ е субект, на който е поверен конкретен домейн от първо ниво и който е отговорен за администрирането на този домейн, включително за регистрацията на имена на домейни на нива под домейна от първо ниво и техническото функциониране на този домейн, включително функционирането на неговите сървъри за имена, поддръжката на неговите бази данни и разпределението на файловете на зоните на домейна от първо ниво в сървърите за имена, независимо дали която и да е от тези операции се извършва от субекта или е възложена на външни изпълнители, като обаче се изключват ситуациите, при които имената на домейни от първо ниво са използвани от регистър единствено за собствено ползване.“;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т) създава се т. 29а: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„29а. „Субект, предоставящ услуги за регистрация на имена на домейни“ е регистратор или агент, действащ от името на регистратори, като например доставчик или препродавач на услуги за поверителност или прокси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у) точка 30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„30. „Риск“ е потенциалната загуба или потенциалното смущение в резултат на даден инцидент и трябва да се изразява като комбинация от мащаба на загубата или смущението и вероятността от настъпване на инцидента.“;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ф) създават се т. 31а-31г:</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„31а. „Удостоверителна услуга“ е удостоверителна услуга съгласно определението в член 3, точка 16 от Регламент (ЕС) </w:t>
      </w:r>
      <w:r w:rsidRPr="003A4AA6">
        <w:rPr>
          <w:rFonts w:ascii="Arial" w:eastAsia="Times New Roman" w:hAnsi="Arial" w:cs="Arial"/>
          <w:bCs/>
          <w:sz w:val="26"/>
          <w:szCs w:val="26"/>
        </w:rPr>
        <w:br/>
        <w:t>№ 910/2014.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31б. „Доставчик на удостоверителна услуга“ е доставчик на удостоверителна услуга съгласно определението в член 3, точка 19 от Регламент (ЕС) № 910/2014.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31в. „Квалифицирана удостоверителна услуга“ е квалифицирана удостоверителна услуга съгласно определението в </w:t>
      </w:r>
      <w:r w:rsidRPr="003A4AA6">
        <w:rPr>
          <w:rFonts w:ascii="Arial" w:eastAsia="Times New Roman" w:hAnsi="Arial" w:cs="Arial"/>
          <w:bCs/>
          <w:sz w:val="26"/>
          <w:szCs w:val="26"/>
        </w:rPr>
        <w:br/>
        <w:t>член 3, точка 17 от Регламент (ЕС) № 910/2014.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31г. „Доставчик на квалифицирана удостоверителна услуга“ е доставчик на квалифицирана удостоверителна услуга съгласно определението в член 3, точка 20 от Регламент (ЕС) № 910/2014.“;</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х) създава се т. 32а: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„32а. „Стандарт“ е стандарт съгласно определението в член 2, точка 1 от Регламент (ЕС) № 1025/2012 на Европейския парламент и на Съвета.“;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ц) точка 34 се изменя така: </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„34. „Уязвимост“ е слабост, предразположеност или недостатък на ИКТ продукти или ИКТ услуги, които могат да бъдат използвани при киберзаплаха.“;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ч) точка 36 се изменя така: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„36. „Цифрова инфраструктура“ е инфраструктурата, която включва категориите, посочени в Приложение № 1, т. 8.“;</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ш) създават се т. 37-61:</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„37. „Услуга на център за данни“ е услуга, включваща конструкции или групи конструкции, предназначени за централизирано разполагане, свързване и експлоатация на ИТ и мрежово оборудване, предоставяща услуги за съхранение, обработване и пренос на данни, заедно с всички съоръжения и инфраструктури за електроразпределение и контрол на околната среда.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38. „Мрежа за доставяне на съдържание“ е мрежа от географски разпределени сървъри с цел да се осигури висока степен на наличност, достъпност или бързо доставяне на цифрово съдържание и услуги на интернет потребителите от страна на доставчиците на съдържание 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39. „Платформа на услуги за социална мрежа“ е платформа, позволяваща на крайните ползватели да се свързват, споделят, откриват и общуват помежду си посредством множество устройства, по-специално чрез чатове, публикации, видеоклипове и препоръки.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40. „Обществена електронна съобщителна мрежа“ е обществена електронна съобщителна мрежа по смисъла на § 1, т. 39 от Допълнителните разпоредби на Закона за електронните съобщения.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41. „Електронна съобщителна услуга“ е електронна съобщителна услуга по смисъла на § 1, т. 17 от Допълнителните разпоредби на Закона за електронните съобщения.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42. „Субект“ е всяко физическо или юридическо лице, създадено и признато за такова съгласно националното право в своето място на установяване, което може, като действа от свое име, да упражнява права и да бъде обект на задължения.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43. „Доставчик на управлявани услуги“ е субект, който предоставя услуги, свързани с инсталирането, управлението, експлоатацията или поддръжката на ИКТ продукти, мрежи, инфраструктура, приложения или всякакви други мрежови и информационни системи, чрез оказване на помощ или активно администриране или в помещенията на клиентите, или от разстояние.</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44. „Доставчик на управлявани услуги за сигурност“ е доставчик на управлявани услуги, който извършва или предоставя помощ за дейности, свързани с управлението на риска в областта на киберсигурността.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45. „Разузнавателни сведения за заплахи“ е информация, която е обобщена, обработена, анализирана, разтълкувана или обогатена, за да се осигури необходимият контекст с оглед на вземането на решения и за да се създадат условия за адекватно и достатъчно разбиране с оглед на ограничаването на последствията от инцидент с ИКТ или от киберзаплаха, включително техническите белези на дадена кибератака, отговорните за нея лица и техния начин на действие и мотивация.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46. „Уязвимо място“ е слабост, тенденция или недостатък на актив, система, процес или контролна функция, които могат да бъдат използвани.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47. „Тестване за проникване (TLPT)“ е симулиране на тактиката, техниките и процедурите на реални източници на заплаха, за които се счита, че представляват истинска киберзаплаха. </w:t>
      </w:r>
      <w:r w:rsidRPr="003A4AA6">
        <w:rPr>
          <w:rFonts w:ascii="Arial" w:eastAsia="Times New Roman" w:hAnsi="Arial" w:cs="Arial"/>
          <w:bCs/>
          <w:caps/>
          <w:sz w:val="26"/>
          <w:szCs w:val="26"/>
        </w:rPr>
        <w:t>т</w:t>
      </w:r>
      <w:r w:rsidRPr="003A4AA6">
        <w:rPr>
          <w:rFonts w:ascii="Arial" w:eastAsia="Times New Roman" w:hAnsi="Arial" w:cs="Arial"/>
          <w:bCs/>
          <w:sz w:val="26"/>
          <w:szCs w:val="26"/>
        </w:rPr>
        <w:t>ази симулация представлява контролиран, специално разработен и опиращ се на разузнавателни сведения (червен екип) тест на критичните оперативни производствени системи на финансовия субект.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 xml:space="preserve">48. „Риск в областта на ИКТ, пораждан от трета страна“ е риск в областта на ИКТ, който може да възникне за финансов субект във връзка с използваните от него услуги в областта на ИКТ, предоставяни от трета страна доставчик на такива услуги или от нейни поддоставчици, </w:t>
      </w:r>
      <w:r w:rsidRPr="003A4AA6">
        <w:rPr>
          <w:rFonts w:ascii="Arial" w:eastAsia="Times New Roman" w:hAnsi="Arial" w:cs="Arial"/>
          <w:bCs/>
          <w:sz w:val="26"/>
          <w:szCs w:val="26"/>
        </w:rPr>
        <w:lastRenderedPageBreak/>
        <w:t>включително чрез споразумения за възлагане на дейности на външни изпълнители.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49. „Трета страна - доставчик на услуги в областта на ИКТ“ е предприятие, което предоставя услуги в областта на ИКТ.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50. „Вътрешногрупов доставчик на услуги в областта на ИКТ“ е предприятие, което е част от финансова група и предоставя предимно услуги в областта на ИКТ на финансови субекти от същата група или на финансови субекти, които са част от една и съща институционална защитна схема, включително на техните предприятия майки, дъщерни предприятия, клонове или други субекти, намиращи се в обща собственост или под общ контрол.</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51. „Услуги в областта на ИКТ“ са цифрови услуги и услуги за данни, предоставяни непрекъснато чрез системите на ИКТ на един или повече вътрешни или външни ползватели, включително хардуер като услуга и хардуерни услуги, което включва техническа поддръжка чрез актуализации на софтуер или фърмуер от доставчика на хардуер и изключва традиционните аналогови телефонни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52. „Критична или важна функция“ е функция, чието смущение би намалило съществено финансовите резултати на даден финансов субект или стабилността или непрекъснатостта на неговите услуги и дейности, или функция, чието прекъсване, неизправност или срив би намалило съществено възможността на даден финансов субект да продължи да изпълнява условията и задълженията, свързани с неговия лиценз, или останалите си задължения съгласно приложимото право в областта на финансовите услуги.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53. „Трета страна - критичен доставчик на услуги в областта на ИКТ“ е трета страна, която е доставчик на услуги в областта на ИКТ, определен като имащ критично значение в съответствие с чл. 27з.</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54. „Трета страна - доставчик на услуги в областта на ИКТ, установен в трета държава“ е трета страна - доставчик на услуги в областта на ИКТ, който е установено в трета държава юридическо лице, което е сключило договорно споразумение с финансов субект за предоставяне на услуги в областта на ИКТ.</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55. „Дъщерно предприятие“ е дъщерно предприятие по смисъла на член 2, точка 10 и член 22 от Директива 2013/34/ЕС.</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lastRenderedPageBreak/>
        <w:t>56. „Основни стопански дейности“ са дейностите по смисъла на § 1, т. 44 от Допълнителните разпоредби на Закона за възстановяване и преструктуриране на кредитни институции и инвестиционни посредници.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57. „Значителен инцидент“ е инцидент, който е причинил или е в състояние да причини сериозно оперативно смущение в услугите или финансова загуба за засегнатия субект, или е засегнал, или е в състояние да засегне други физически или юридически лица, причинявайки значителни материални или нематериални вреди.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58. „Oсновното място на установяване“ на субектите по чл. 27а, ал. 1, т. 2 е в държавата членка, в която преимуществено се вземат решенията относно мерките за управление на риска в областта на киберсигурността. Ако такава държава членка не може да бъде определена или ако такива решения не се вземат в Съюза, се счита, че основното място на установяване се намира в държавата членка, в която се извършват операциите в областта на киберсигурността. Ако такава държава членка не може да бъде определена, за основно място на установяване се счита държавата членка, в която съответният субект има място на установяване с най-големия брой служители в Съюза.</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59. „Защита на обществения интерес“ е защита на достойнството на гражданите, справедливостта и гражданските права и свободи, признати от правовия ред, както и гарантиране на сигурността, отбраната и обществения ред на страната, както и осигуряване на условия за ефективно използване на ограничените ресурси и стимулиране на ефективната конкуренция.</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60. „Информационни активи“ са всички обекти и субекти, които участват пряко или косвено в дейностите, попадащи в обхвата на този закон (информационни и комуникационни системи с прилежащия им хардуер, софтуер и документация, поддържащите ги системи (електрозахранващи, климатизиращи и др.), оперативни процеси/дейности, служители и външни организации).</w:t>
      </w:r>
    </w:p>
    <w:p w:rsidR="003A4AA6" w:rsidRPr="003A4AA6" w:rsidRDefault="003A4AA6" w:rsidP="003A4AA6">
      <w:pPr>
        <w:shd w:val="clear" w:color="auto" w:fill="FFFFFF"/>
        <w:spacing w:before="120" w:after="0" w:line="288" w:lineRule="auto"/>
        <w:ind w:firstLine="1134"/>
        <w:jc w:val="both"/>
        <w:rPr>
          <w:rFonts w:ascii="Arial" w:eastAsia="Times New Roman" w:hAnsi="Arial" w:cs="Arial"/>
          <w:bCs/>
          <w:sz w:val="26"/>
          <w:szCs w:val="26"/>
        </w:rPr>
      </w:pPr>
      <w:r w:rsidRPr="003A4AA6">
        <w:rPr>
          <w:rFonts w:ascii="Arial" w:eastAsia="Times New Roman" w:hAnsi="Arial" w:cs="Arial"/>
          <w:bCs/>
          <w:sz w:val="26"/>
          <w:szCs w:val="26"/>
        </w:rPr>
        <w:t>61. „Сигурност на мрежовите и информационните системи“ е способността на мрежовите и информационните системи да издържат - при дадено равнище на увереност - на всяко събитие, което може да засегне отрицателно наличността, автентичността, целостта или поверителността на съхранявани, пренасяни или обработвани данни или на свързаните с тях услуги, предлагани от тези мрежови и информационни системи или достъпни чрез тях.”</w:t>
      </w:r>
    </w:p>
    <w:p w:rsidR="003A4AA6" w:rsidRPr="003A4AA6" w:rsidRDefault="003A4AA6" w:rsidP="003A4AA6">
      <w:pPr>
        <w:shd w:val="clear" w:color="auto" w:fill="FFFFFF"/>
        <w:spacing w:before="120" w:after="0" w:line="240" w:lineRule="auto"/>
        <w:ind w:firstLine="1134"/>
        <w:jc w:val="both"/>
        <w:rPr>
          <w:rFonts w:ascii="Arial" w:eastAsia="Times New Roman" w:hAnsi="Arial" w:cs="Arial"/>
          <w:b/>
          <w:bCs/>
          <w:sz w:val="26"/>
          <w:szCs w:val="26"/>
        </w:rPr>
      </w:pPr>
    </w:p>
    <w:p w:rsidR="003A4AA6" w:rsidRPr="003A4AA6" w:rsidRDefault="003A4AA6" w:rsidP="003A4AA6">
      <w:pPr>
        <w:shd w:val="clear" w:color="auto" w:fill="FFFFFF"/>
        <w:spacing w:before="120" w:after="0" w:line="240" w:lineRule="auto"/>
        <w:ind w:firstLine="1134"/>
        <w:jc w:val="both"/>
        <w:rPr>
          <w:rFonts w:ascii="Arial" w:eastAsia="Times New Roman" w:hAnsi="Arial" w:cs="Arial"/>
          <w:b/>
          <w:bCs/>
          <w:sz w:val="26"/>
          <w:szCs w:val="26"/>
        </w:rPr>
      </w:pPr>
    </w:p>
    <w:p w:rsidR="003A4AA6" w:rsidRPr="003A4AA6" w:rsidRDefault="003A4AA6" w:rsidP="003A4AA6">
      <w:pPr>
        <w:shd w:val="clear" w:color="auto" w:fill="FFFFFF"/>
        <w:spacing w:before="120" w:after="0" w:line="240" w:lineRule="auto"/>
        <w:ind w:firstLine="1134"/>
        <w:jc w:val="both"/>
        <w:rPr>
          <w:rFonts w:ascii="Arial" w:eastAsia="Times New Roman" w:hAnsi="Arial" w:cs="Arial"/>
          <w:b/>
          <w:bCs/>
          <w:sz w:val="26"/>
          <w:szCs w:val="26"/>
        </w:rPr>
      </w:pPr>
    </w:p>
    <w:p w:rsidR="003A4AA6" w:rsidRPr="003A4AA6" w:rsidRDefault="003A4AA6" w:rsidP="003A4AA6">
      <w:pPr>
        <w:shd w:val="clear" w:color="auto" w:fill="FFFFFF"/>
        <w:spacing w:before="120" w:after="0" w:line="240" w:lineRule="auto"/>
        <w:ind w:firstLine="1134"/>
        <w:jc w:val="both"/>
        <w:rPr>
          <w:rFonts w:ascii="Arial" w:eastAsia="Times New Roman" w:hAnsi="Arial" w:cs="Arial"/>
          <w:b/>
          <w:bCs/>
          <w:sz w:val="26"/>
          <w:szCs w:val="26"/>
        </w:rPr>
      </w:pPr>
    </w:p>
    <w:p w:rsidR="003A4AA6" w:rsidRPr="003A4AA6" w:rsidRDefault="003A4AA6" w:rsidP="003A4AA6">
      <w:pPr>
        <w:shd w:val="clear" w:color="auto" w:fill="FFFFFF"/>
        <w:spacing w:before="120" w:after="0" w:line="240" w:lineRule="auto"/>
        <w:ind w:firstLine="1134"/>
        <w:jc w:val="both"/>
        <w:rPr>
          <w:rFonts w:ascii="Arial" w:eastAsia="Times New Roman" w:hAnsi="Arial" w:cs="Arial"/>
          <w:bCs/>
          <w:sz w:val="26"/>
          <w:szCs w:val="26"/>
          <w:lang w:val="en-US"/>
        </w:rPr>
      </w:pPr>
      <w:r w:rsidRPr="003A4AA6">
        <w:rPr>
          <w:rFonts w:ascii="Arial" w:eastAsia="Times New Roman" w:hAnsi="Arial" w:cs="Arial"/>
          <w:b/>
          <w:bCs/>
          <w:sz w:val="26"/>
          <w:szCs w:val="26"/>
        </w:rPr>
        <w:t>§ 34.</w:t>
      </w:r>
      <w:r w:rsidRPr="003A4AA6">
        <w:rPr>
          <w:rFonts w:ascii="Arial" w:eastAsia="Times New Roman" w:hAnsi="Arial" w:cs="Arial"/>
          <w:bCs/>
          <w:sz w:val="26"/>
          <w:szCs w:val="26"/>
        </w:rPr>
        <w:t xml:space="preserve"> Приложенията към чл. 4, т. 2 се изменят така:</w:t>
      </w:r>
    </w:p>
    <w:p w:rsidR="003A4AA6" w:rsidRPr="003A4AA6" w:rsidRDefault="003A4AA6" w:rsidP="003A4AA6">
      <w:pPr>
        <w:shd w:val="clear" w:color="auto" w:fill="FFFFFF"/>
        <w:spacing w:before="120" w:after="0" w:line="240" w:lineRule="auto"/>
        <w:ind w:firstLine="1134"/>
        <w:jc w:val="both"/>
        <w:rPr>
          <w:rFonts w:ascii="Arial" w:eastAsia="Times New Roman" w:hAnsi="Arial" w:cs="Arial"/>
          <w:sz w:val="26"/>
          <w:szCs w:val="26"/>
          <w:shd w:val="clear" w:color="auto" w:fill="FFFFFF"/>
          <w:lang w:val="en-US"/>
        </w:rPr>
      </w:pPr>
    </w:p>
    <w:p w:rsidR="003A4AA6" w:rsidRPr="003A4AA6" w:rsidRDefault="003A4AA6" w:rsidP="003A4AA6">
      <w:pPr>
        <w:shd w:val="clear" w:color="auto" w:fill="FFFFFF"/>
        <w:spacing w:after="0" w:line="240" w:lineRule="auto"/>
        <w:jc w:val="right"/>
        <w:rPr>
          <w:rFonts w:ascii="Times New Roman" w:eastAsia="Times New Roman" w:hAnsi="Times New Roman"/>
          <w:bCs/>
          <w:sz w:val="24"/>
          <w:szCs w:val="24"/>
        </w:rPr>
      </w:pPr>
      <w:r w:rsidRPr="003A4AA6">
        <w:rPr>
          <w:rFonts w:ascii="Times New Roman" w:eastAsia="Times New Roman" w:hAnsi="Times New Roman"/>
          <w:bCs/>
          <w:sz w:val="24"/>
          <w:szCs w:val="24"/>
        </w:rPr>
        <w:t xml:space="preserve">Приложение </w:t>
      </w:r>
      <w:r w:rsidRPr="003A4AA6">
        <w:rPr>
          <w:rFonts w:ascii="Times New Roman" w:eastAsia="Times New Roman" w:hAnsi="Times New Roman"/>
          <w:bCs/>
          <w:sz w:val="24"/>
          <w:szCs w:val="24"/>
          <w:lang w:val="en-GB"/>
        </w:rPr>
        <w:t>I</w:t>
      </w:r>
    </w:p>
    <w:p w:rsidR="003A4AA6" w:rsidRPr="003A4AA6" w:rsidRDefault="003A4AA6" w:rsidP="003A4AA6">
      <w:pPr>
        <w:shd w:val="clear" w:color="auto" w:fill="FFFFFF"/>
        <w:spacing w:after="0" w:line="240" w:lineRule="auto"/>
        <w:jc w:val="right"/>
        <w:rPr>
          <w:rFonts w:ascii="Times New Roman" w:eastAsia="Times New Roman" w:hAnsi="Times New Roman"/>
          <w:bCs/>
          <w:sz w:val="24"/>
          <w:szCs w:val="24"/>
        </w:rPr>
      </w:pPr>
      <w:r w:rsidRPr="003A4AA6">
        <w:rPr>
          <w:rFonts w:ascii="Times New Roman" w:eastAsia="Times New Roman" w:hAnsi="Times New Roman"/>
          <w:bCs/>
          <w:sz w:val="24"/>
          <w:szCs w:val="24"/>
        </w:rPr>
        <w:t>към чл. 4, т. 2</w:t>
      </w:r>
    </w:p>
    <w:p w:rsidR="003A4AA6" w:rsidRPr="003A4AA6" w:rsidRDefault="003A4AA6" w:rsidP="003A4AA6">
      <w:pPr>
        <w:shd w:val="clear" w:color="auto" w:fill="FFFFFF"/>
        <w:spacing w:after="0" w:line="240" w:lineRule="auto"/>
        <w:jc w:val="right"/>
        <w:rPr>
          <w:rFonts w:ascii="Times New Roman" w:eastAsia="Times New Roman" w:hAnsi="Times New Roman"/>
          <w:bCs/>
          <w:sz w:val="24"/>
          <w:szCs w:val="24"/>
        </w:rPr>
      </w:pPr>
    </w:p>
    <w:p w:rsidR="003A4AA6" w:rsidRPr="003A4AA6" w:rsidRDefault="003A4AA6" w:rsidP="003A4AA6">
      <w:pPr>
        <w:shd w:val="clear" w:color="auto" w:fill="FFFFFF"/>
        <w:spacing w:after="0" w:line="240" w:lineRule="auto"/>
        <w:jc w:val="center"/>
        <w:rPr>
          <w:rFonts w:ascii="Times New Roman" w:eastAsia="Times New Roman" w:hAnsi="Times New Roman"/>
          <w:bCs/>
          <w:sz w:val="24"/>
          <w:szCs w:val="24"/>
        </w:rPr>
      </w:pPr>
      <w:r w:rsidRPr="003A4AA6">
        <w:rPr>
          <w:rFonts w:ascii="Times New Roman" w:eastAsia="Times New Roman" w:hAnsi="Times New Roman"/>
          <w:bCs/>
          <w:sz w:val="24"/>
          <w:szCs w:val="24"/>
        </w:rPr>
        <w:t>Списък на секторите и подсекторите</w:t>
      </w:r>
    </w:p>
    <w:p w:rsidR="003A4AA6" w:rsidRPr="003A4AA6" w:rsidRDefault="003A4AA6" w:rsidP="003A4AA6">
      <w:pPr>
        <w:shd w:val="clear" w:color="auto" w:fill="FFFFFF"/>
        <w:spacing w:after="0" w:line="240" w:lineRule="auto"/>
        <w:jc w:val="center"/>
        <w:rPr>
          <w:rFonts w:ascii="Times New Roman" w:eastAsia="Times New Roman" w:hAnsi="Times New Roman"/>
          <w:b/>
          <w:bCs/>
          <w:sz w:val="24"/>
          <w:szCs w:val="24"/>
        </w:rPr>
      </w:pPr>
    </w:p>
    <w:tbl>
      <w:tblPr>
        <w:tblW w:w="6079" w:type="pct"/>
        <w:tblInd w:w="-10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1923"/>
        <w:gridCol w:w="1920"/>
        <w:gridCol w:w="7206"/>
      </w:tblGrid>
      <w:tr w:rsidR="003A4AA6" w:rsidRPr="003A4AA6" w:rsidTr="004D33C4">
        <w:tc>
          <w:tcPr>
            <w:tcW w:w="870" w:type="pct"/>
            <w:tcBorders>
              <w:top w:val="single" w:sz="6" w:space="0" w:color="000000"/>
              <w:bottom w:val="single" w:sz="6" w:space="0" w:color="000000"/>
              <w:right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Сектор</w:t>
            </w: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Подсектор</w:t>
            </w: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Субект</w:t>
            </w:r>
          </w:p>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p>
        </w:tc>
      </w:tr>
      <w:tr w:rsidR="003A4AA6" w:rsidRPr="003A4AA6" w:rsidTr="004D33C4">
        <w:tc>
          <w:tcPr>
            <w:tcW w:w="870" w:type="pct"/>
            <w:vMerge w:val="restar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54"/>
              <w:gridCol w:w="1654"/>
            </w:tblGrid>
            <w:tr w:rsidR="003A4AA6" w:rsidRPr="003A4AA6" w:rsidTr="004D33C4">
              <w:tc>
                <w:tcPr>
                  <w:tcW w:w="6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1.</w:t>
                  </w:r>
                </w:p>
              </w:tc>
              <w:tc>
                <w:tcPr>
                  <w:tcW w:w="43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Енергетика</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9"/>
              <w:gridCol w:w="1616"/>
            </w:tblGrid>
            <w:tr w:rsidR="003A4AA6" w:rsidRPr="003A4AA6" w:rsidTr="004D33C4">
              <w:tc>
                <w:tcPr>
                  <w:tcW w:w="27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а)</w:t>
                  </w:r>
                </w:p>
              </w:tc>
              <w:tc>
                <w:tcPr>
                  <w:tcW w:w="154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Електроенер-гия</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6988" w:type="dxa"/>
              <w:tblLayout w:type="fixed"/>
              <w:tblCellMar>
                <w:left w:w="0" w:type="dxa"/>
                <w:right w:w="0" w:type="dxa"/>
              </w:tblCellMar>
              <w:tblLook w:val="00A0" w:firstRow="1" w:lastRow="0" w:firstColumn="1" w:lastColumn="0" w:noHBand="0" w:noVBand="0"/>
            </w:tblPr>
            <w:tblGrid>
              <w:gridCol w:w="20"/>
              <w:gridCol w:w="6968"/>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6968" w:type="dxa"/>
                </w:tcPr>
                <w:p w:rsidR="003A4AA6" w:rsidRPr="003A4AA6" w:rsidRDefault="003A4AA6" w:rsidP="003A4AA6">
                  <w:pPr>
                    <w:spacing w:before="120" w:after="0" w:line="240" w:lineRule="auto"/>
                    <w:ind w:left="41" w:right="142"/>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„Енергийно предприятие” по смисъла на § 1, т. 24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 xml:space="preserve">опълнителните разпоредби на Закона за енергетиката </w:t>
                  </w:r>
                </w:p>
                <w:p w:rsidR="003A4AA6" w:rsidRPr="003A4AA6" w:rsidRDefault="003A4AA6" w:rsidP="003A4AA6">
                  <w:pPr>
                    <w:spacing w:before="120" w:after="0" w:line="240" w:lineRule="auto"/>
                    <w:ind w:right="142"/>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„Доставка” по смисъла на § 1, т. 16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42"/>
                    <w:jc w:val="both"/>
                    <w:rPr>
                      <w:rFonts w:ascii="Times New Roman" w:eastAsia="Times New Roman" w:hAnsi="Times New Roman"/>
                      <w:sz w:val="24"/>
                      <w:szCs w:val="24"/>
                    </w:rPr>
                  </w:pPr>
                  <w:r w:rsidRPr="003A4AA6">
                    <w:rPr>
                      <w:rFonts w:ascii="Times New Roman" w:eastAsia="Times New Roman" w:hAnsi="Times New Roman"/>
                      <w:sz w:val="24"/>
                      <w:szCs w:val="24"/>
                    </w:rPr>
                    <w:t>(Електроенергийни предприятия съгласно определението в член 2, точка 57 от Директива (ЕС) 2019/944 на Европейския парламент и на Съвета</w:t>
                  </w:r>
                  <w:hyperlink r:id="rId15" w:anchor="ntr1-L_2022333BG.01014301-E0001"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които осъществяват „доставките“, посочени в член 2, точка 12 от същата директива)</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42"/>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„Оператор на разпределителна мрежа” по смисъла на § 1, т. 34б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42"/>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„Оператор на съоръжение за втечнен природен газ” по смисъла на § 1, т. 34в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42"/>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„Оператор на съоръжение за съхранение” по смисъла на § 1, </w:t>
                  </w:r>
                  <w:r w:rsidRPr="003A4AA6">
                    <w:rPr>
                      <w:rFonts w:ascii="Times New Roman" w:eastAsia="Times New Roman" w:hAnsi="Times New Roman"/>
                      <w:sz w:val="24"/>
                      <w:szCs w:val="24"/>
                    </w:rPr>
                    <w:br/>
                    <w:t xml:space="preserve">т. 34г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42"/>
                    <w:jc w:val="both"/>
                    <w:rPr>
                      <w:rFonts w:ascii="Times New Roman" w:eastAsia="Times New Roman" w:hAnsi="Times New Roman"/>
                      <w:sz w:val="24"/>
                      <w:szCs w:val="24"/>
                    </w:rPr>
                  </w:pPr>
                </w:p>
                <w:p w:rsidR="003A4AA6" w:rsidRPr="003A4AA6" w:rsidRDefault="003A4AA6" w:rsidP="003A4AA6">
                  <w:pPr>
                    <w:spacing w:before="120" w:after="0" w:line="240" w:lineRule="auto"/>
                    <w:ind w:right="142"/>
                    <w:jc w:val="both"/>
                    <w:rPr>
                      <w:rFonts w:ascii="Times New Roman" w:eastAsia="Times New Roman" w:hAnsi="Times New Roman"/>
                      <w:sz w:val="24"/>
                    </w:rPr>
                  </w:pPr>
                  <w:r w:rsidRPr="003A4AA6">
                    <w:rPr>
                      <w:rFonts w:ascii="Times New Roman" w:eastAsia="Times New Roman" w:hAnsi="Times New Roman"/>
                    </w:rPr>
                    <w:t>(Оператори на разпределителни системи съгласно определението в член 2, точка 29 от Директива (ЕС) 2019/944)</w:t>
                  </w:r>
                </w:p>
                <w:p w:rsidR="003A4AA6" w:rsidRPr="003A4AA6" w:rsidRDefault="003A4AA6" w:rsidP="003A4AA6">
                  <w:pPr>
                    <w:spacing w:before="120" w:after="0" w:line="240" w:lineRule="auto"/>
                    <w:jc w:val="both"/>
                    <w:rPr>
                      <w:rFonts w:ascii="Times New Roman" w:eastAsia="Times New Roman" w:hAnsi="Times New Roman"/>
                      <w:sz w:val="24"/>
                      <w:szCs w:val="24"/>
                    </w:rPr>
                  </w:pP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6988" w:type="dxa"/>
              <w:tblLayout w:type="fixed"/>
              <w:tblCellMar>
                <w:left w:w="0" w:type="dxa"/>
                <w:right w:w="0" w:type="dxa"/>
              </w:tblCellMar>
              <w:tblLook w:val="00A0" w:firstRow="1" w:lastRow="0" w:firstColumn="1" w:lastColumn="0" w:noHBand="0" w:noVBand="0"/>
            </w:tblPr>
            <w:tblGrid>
              <w:gridCol w:w="20"/>
              <w:gridCol w:w="6968"/>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6968"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 „Оператор на преносна мрежа“ по смисъла на § 1, т. 34а от </w:t>
                  </w:r>
                  <w:r w:rsidRPr="003A4AA6">
                    <w:rPr>
                      <w:rFonts w:ascii="Times New Roman" w:eastAsia="Times New Roman" w:hAnsi="Times New Roman"/>
                      <w:sz w:val="24"/>
                      <w:szCs w:val="24"/>
                    </w:rPr>
                    <w:br/>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преносни системи съгласно определението в член 2, точка 35 от Директива (ЕС) 2019/944</w:t>
                  </w:r>
                </w:p>
                <w:p w:rsidR="003A4AA6" w:rsidRPr="003A4AA6" w:rsidRDefault="003A4AA6" w:rsidP="003A4AA6">
                  <w:pPr>
                    <w:spacing w:before="120" w:after="0" w:line="240" w:lineRule="auto"/>
                    <w:jc w:val="both"/>
                    <w:rPr>
                      <w:rFonts w:ascii="Times New Roman" w:eastAsia="Times New Roman" w:hAnsi="Times New Roman"/>
                      <w:sz w:val="24"/>
                      <w:szCs w:val="24"/>
                    </w:rPr>
                  </w:pP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(Производители съгласно определението в член 2, точка 38 от Директива (ЕС) 2019/944</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Номинирани оператори на пазара на електроенергия съгласно определението в член 2, точка 8 от Регламент (ЕС) 2019/943 на Европейския парламент и на Съвета</w:t>
                  </w:r>
                  <w:hyperlink r:id="rId16" w:anchor="ntr2-L_2022333BG.01014301-E0002"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vanish/>
                <w:sz w:val="24"/>
                <w:szCs w:val="24"/>
              </w:rPr>
            </w:pPr>
          </w:p>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lastRenderedPageBreak/>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Участници на пазара съгласно определението в член 2, точка 25 от Регламент (ЕС) 2019/943, предоставящи услуги за агрегиране, оптимизация на потреблението или съхраняване на енергия съгласно определението в член 2, точки 18, 20 и 59 от Директива (ЕС) 2019/944</w:t>
                  </w:r>
                </w:p>
              </w:tc>
            </w:tr>
          </w:tbl>
          <w:p w:rsidR="003A4AA6" w:rsidRPr="003A4AA6" w:rsidRDefault="003A4AA6" w:rsidP="003A4AA6">
            <w:pPr>
              <w:spacing w:after="0" w:line="240" w:lineRule="auto"/>
              <w:rPr>
                <w:rFonts w:ascii="Times New Roman" w:eastAsia="Times New Roman" w:hAnsi="Times New Roman"/>
                <w:vanish/>
                <w:sz w:val="24"/>
                <w:szCs w:val="24"/>
              </w:rPr>
            </w:pPr>
          </w:p>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зарядна точка, отговарящи за управлението и експлоатацията на зарядна точка, която предоставя услуга за зареждане с електроенергия на крайни ползватели, включително от името и за сметка на доставчик на услуги за мобилност)</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tbl>
            <w:tblPr>
              <w:tblW w:w="4614" w:type="pct"/>
              <w:tblLayout w:type="fixed"/>
              <w:tblCellMar>
                <w:left w:w="0" w:type="dxa"/>
                <w:right w:w="0" w:type="dxa"/>
              </w:tblCellMar>
              <w:tblLook w:val="00A0" w:firstRow="1" w:lastRow="0" w:firstColumn="1" w:lastColumn="0" w:noHBand="0" w:noVBand="0"/>
            </w:tblPr>
            <w:tblGrid>
              <w:gridCol w:w="274"/>
              <w:gridCol w:w="1484"/>
            </w:tblGrid>
            <w:tr w:rsidR="003A4AA6" w:rsidRPr="003A4AA6" w:rsidTr="004D33C4">
              <w:trPr>
                <w:trHeight w:val="909"/>
              </w:trPr>
              <w:tc>
                <w:tcPr>
                  <w:tcW w:w="28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б)</w:t>
                  </w:r>
                </w:p>
              </w:tc>
              <w:tc>
                <w:tcPr>
                  <w:tcW w:w="1535"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Районно отопление и охлаждане</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1"/>
              <w:gridCol w:w="7010"/>
            </w:tblGrid>
            <w:tr w:rsidR="003A4AA6" w:rsidRPr="003A4AA6" w:rsidTr="004D33C4">
              <w:tc>
                <w:tcPr>
                  <w:tcW w:w="131"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060"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районни отоплителни системи или район-</w:t>
                  </w:r>
                  <w:r w:rsidRPr="003A4AA6">
                    <w:rPr>
                      <w:rFonts w:ascii="Times New Roman" w:eastAsia="Times New Roman" w:hAnsi="Times New Roman"/>
                      <w:sz w:val="24"/>
                      <w:szCs w:val="24"/>
                    </w:rPr>
                    <w:br/>
                    <w:t>ни охладителни системи съгласно определението в член 2, точка 19 от Директива (ЕС) 2018/2001 на Европейския парламент и на Съвета</w:t>
                  </w:r>
                  <w:hyperlink r:id="rId17" w:anchor="ntr3-L_2022333BG.01014301-E0003"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3</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503"/>
              <w:gridCol w:w="1402"/>
            </w:tblGrid>
            <w:tr w:rsidR="003A4AA6" w:rsidRPr="003A4AA6" w:rsidTr="004D33C4">
              <w:tc>
                <w:tcPr>
                  <w:tcW w:w="12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w:t>
                  </w:r>
                </w:p>
              </w:tc>
              <w:tc>
                <w:tcPr>
                  <w:tcW w:w="35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Нефт</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1"/>
              <w:gridCol w:w="7010"/>
            </w:tblGrid>
            <w:tr w:rsidR="003A4AA6" w:rsidRPr="003A4AA6" w:rsidTr="004D33C4">
              <w:tc>
                <w:tcPr>
                  <w:tcW w:w="131"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060" w:type="dxa"/>
                </w:tcPr>
                <w:p w:rsidR="003A4AA6" w:rsidRPr="003A4AA6" w:rsidRDefault="003A4AA6" w:rsidP="003A4AA6">
                  <w:pPr>
                    <w:spacing w:before="120" w:after="0" w:line="240" w:lineRule="auto"/>
                    <w:jc w:val="both"/>
                    <w:rPr>
                      <w:rFonts w:ascii="Times New Roman" w:eastAsia="Times New Roman" w:hAnsi="Times New Roman"/>
                      <w:sz w:val="24"/>
                      <w:szCs w:val="24"/>
                      <w:lang w:val="en-GB"/>
                    </w:rPr>
                  </w:pPr>
                  <w:r w:rsidRPr="003A4AA6">
                    <w:rPr>
                      <w:rFonts w:ascii="Times New Roman" w:eastAsia="Times New Roman" w:hAnsi="Times New Roman"/>
                      <w:sz w:val="24"/>
                      <w:szCs w:val="24"/>
                      <w:lang w:val="en-GB"/>
                    </w:rPr>
                    <w:t>(</w:t>
                  </w:r>
                  <w:r w:rsidRPr="003A4AA6">
                    <w:rPr>
                      <w:rFonts w:ascii="Times New Roman" w:eastAsia="Times New Roman" w:hAnsi="Times New Roman"/>
                      <w:sz w:val="24"/>
                      <w:szCs w:val="24"/>
                    </w:rPr>
                    <w:t>Оператори на нефтопроводи</w:t>
                  </w:r>
                  <w:r w:rsidRPr="003A4AA6">
                    <w:rPr>
                      <w:rFonts w:ascii="Times New Roman" w:eastAsia="Times New Roman" w:hAnsi="Times New Roman"/>
                      <w:sz w:val="24"/>
                      <w:szCs w:val="24"/>
                      <w:lang w:val="en-GB"/>
                    </w:rPr>
                    <w:t>)</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съоръжения за добив, рафиниране и преработ-</w:t>
                  </w:r>
                  <w:r w:rsidRPr="003A4AA6">
                    <w:rPr>
                      <w:rFonts w:ascii="Times New Roman" w:eastAsia="Times New Roman" w:hAnsi="Times New Roman"/>
                      <w:sz w:val="24"/>
                      <w:szCs w:val="24"/>
                    </w:rPr>
                    <w:br/>
                    <w:t>ка, съхранение и пренос на нефт)</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1"/>
              <w:gridCol w:w="7010"/>
            </w:tblGrid>
            <w:tr w:rsidR="003A4AA6" w:rsidRPr="003A4AA6" w:rsidTr="004D33C4">
              <w:tc>
                <w:tcPr>
                  <w:tcW w:w="131"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060"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(Централни структури за управление на запасите съгласно определението в член 2, буква е) от Директива 2009/119/ЕО на Съвета</w:t>
                  </w:r>
                  <w:hyperlink r:id="rId18" w:anchor="ntr4-L_2022333BG.01014301-E0004"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4</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5"/>
              <w:gridCol w:w="1620"/>
            </w:tblGrid>
            <w:tr w:rsidR="003A4AA6" w:rsidRPr="003A4AA6" w:rsidTr="004D33C4">
              <w:tc>
                <w:tcPr>
                  <w:tcW w:w="7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г)</w:t>
                  </w:r>
                </w:p>
              </w:tc>
              <w:tc>
                <w:tcPr>
                  <w:tcW w:w="40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Природен газ</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 „Краен снабдител“ по смисъла на § 1, т. 28а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за доставка съгласно определението в член 2, точка 8 от Директива 2009/73/ЕО на Европейския парламент и на Съвета</w:t>
                  </w:r>
                  <w:hyperlink r:id="rId19" w:anchor="ntr5-L_2022333BG.01014301-E0005"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5</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„Оператор на разпределителна мрежа“ по смисъла на § 1, т. 34б от допълнителните разпоредби на Закона за енергетиката</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газоразпределителни системи съгласно определението в член 2, точка 6 от Директива 2009/73/ЕО)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–„Оператор на преносна мрежа“ по смисъла на § 1, т. 34а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газопреносни системи съгласно определението в член 2, точка 4 от Директива 2009/73/ЕО)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after="0" w:line="240" w:lineRule="auto"/>
              <w:ind w:right="126"/>
              <w:rPr>
                <w:rFonts w:ascii="Times New Roman" w:eastAsia="Times New Roman" w:hAnsi="Times New Roman"/>
                <w:sz w:val="24"/>
                <w:szCs w:val="24"/>
              </w:rPr>
            </w:pPr>
            <w:r w:rsidRPr="003A4AA6">
              <w:rPr>
                <w:rFonts w:ascii="Times New Roman" w:eastAsia="Times New Roman" w:hAnsi="Times New Roman"/>
                <w:sz w:val="24"/>
                <w:szCs w:val="24"/>
              </w:rPr>
              <w:t xml:space="preserve">-„Оператор на съоръжение за съхранение“ по смисъла на § 1, т. 34г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системи за съхранение съгласно определението в член 2, точка 10 от Директива 2009/73/ЕО)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1"/>
              <w:gridCol w:w="7010"/>
            </w:tblGrid>
            <w:tr w:rsidR="003A4AA6" w:rsidRPr="003A4AA6" w:rsidTr="004D33C4">
              <w:tc>
                <w:tcPr>
                  <w:tcW w:w="13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5060"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„Оператор на съоръжение за втечнен природен газ“ по смисъла на § 1, т. 34в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системи за ВПГ съгласно определението в член 2, точка 12 от Директива 2009/73/ЕО)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 „Производител“ по смисъла на § 1, т. 46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енергетиката</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(Предприятия за природен газ съгласно определението в член 2, </w:t>
                  </w:r>
                  <w:r w:rsidRPr="003A4AA6">
                    <w:rPr>
                      <w:rFonts w:ascii="Times New Roman" w:eastAsia="Times New Roman" w:hAnsi="Times New Roman"/>
                      <w:sz w:val="24"/>
                      <w:szCs w:val="24"/>
                    </w:rPr>
                    <w:lastRenderedPageBreak/>
                    <w:t>точка 1 от Директива 2009/73/ЕО)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31"/>
              <w:gridCol w:w="6960"/>
            </w:tblGrid>
            <w:tr w:rsidR="003A4AA6" w:rsidRPr="003A4AA6" w:rsidTr="004D33C4">
              <w:tc>
                <w:tcPr>
                  <w:tcW w:w="265"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096"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съоръжения за рафиниране и преработка на природен газ)</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56"/>
              <w:gridCol w:w="1549"/>
            </w:tblGrid>
            <w:tr w:rsidR="003A4AA6" w:rsidRPr="003A4AA6" w:rsidTr="004D33C4">
              <w:tc>
                <w:tcPr>
                  <w:tcW w:w="9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w:t>
                  </w:r>
                </w:p>
              </w:tc>
              <w:tc>
                <w:tcPr>
                  <w:tcW w:w="39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Водород</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13"/>
              <w:gridCol w:w="6978"/>
            </w:tblGrid>
            <w:tr w:rsidR="003A4AA6" w:rsidRPr="003A4AA6" w:rsidTr="004D33C4">
              <w:tc>
                <w:tcPr>
                  <w:tcW w:w="244"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17"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в областта на производството, съхранението и преноса на водород)</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val="restar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73"/>
              <w:gridCol w:w="1635"/>
            </w:tblGrid>
            <w:tr w:rsidR="003A4AA6" w:rsidRPr="003A4AA6" w:rsidTr="004D33C4">
              <w:tc>
                <w:tcPr>
                  <w:tcW w:w="7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2.</w:t>
                  </w:r>
                </w:p>
              </w:tc>
              <w:tc>
                <w:tcPr>
                  <w:tcW w:w="43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Транспорт</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9"/>
              <w:gridCol w:w="1616"/>
            </w:tblGrid>
            <w:tr w:rsidR="003A4AA6" w:rsidRPr="003A4AA6" w:rsidTr="004D33C4">
              <w:tc>
                <w:tcPr>
                  <w:tcW w:w="7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а)</w:t>
                  </w:r>
                </w:p>
              </w:tc>
              <w:tc>
                <w:tcPr>
                  <w:tcW w:w="40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Въздушен</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(Въздушни превозвачи съгласно определението в член 3, точка 4 от Регламент (ЕО) № 300/2008, използвани за търговски цели)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„Летищна администрация“ по смисъла на § 3, т. 15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гражданското въздухоплаване</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–”Летищен оператор“ по смисъла на § 3, т. 16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w:t>
                  </w:r>
                  <w:r w:rsidRPr="003A4AA6">
                    <w:rPr>
                      <w:rFonts w:ascii="Times New Roman" w:eastAsia="Times New Roman" w:hAnsi="Times New Roman"/>
                      <w:sz w:val="24"/>
                      <w:szCs w:val="24"/>
                    </w:rPr>
                    <w:br/>
                    <w:t>те разпоредби на Закона за гражданското въздухоплаване</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 „Летище“ по смисъла на § 3, т. 13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w:t>
                  </w:r>
                  <w:r w:rsidRPr="003A4AA6">
                    <w:rPr>
                      <w:rFonts w:ascii="Times New Roman" w:eastAsia="Times New Roman" w:hAnsi="Times New Roman"/>
                      <w:sz w:val="24"/>
                      <w:szCs w:val="24"/>
                    </w:rPr>
                    <w:br/>
                    <w:t>те разпоредби на Закона за гражданското въздухоплаване</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(Управляващи летища органи съгласно определението в член 2, точка 2 от Директива № 2009/12/ЕО на Европейския парламент и на Съвета</w:t>
                  </w:r>
                  <w:hyperlink r:id="rId20" w:anchor="ntr6-L_2022333BG.01014301-E0006"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6</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летища съгласно определението в член 2, точка 1 от същата директива, включително основните летища, изброени в раздел 2 от приложение II към Регламент (ЕС) № 1315/2013 на Европейския парламент и на Съвета</w:t>
                  </w:r>
                  <w:hyperlink r:id="rId21" w:anchor="ntr7-L_2022333BG.01014301-E0007"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7</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и субекти, експлоатиращи спомагателни инсталации, намиращи се на летищата)</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after="0" w:line="240" w:lineRule="auto"/>
              <w:ind w:right="126"/>
              <w:rPr>
                <w:rFonts w:ascii="Times New Roman" w:eastAsia="Times New Roman" w:hAnsi="Times New Roman"/>
                <w:sz w:val="24"/>
                <w:szCs w:val="24"/>
              </w:rPr>
            </w:pPr>
            <w:r w:rsidRPr="003A4AA6">
              <w:rPr>
                <w:rFonts w:ascii="Times New Roman" w:eastAsia="Times New Roman" w:hAnsi="Times New Roman"/>
                <w:sz w:val="24"/>
                <w:szCs w:val="24"/>
              </w:rPr>
              <w:t xml:space="preserve">– „Управление на въздушното движение“ по смисъла на § 3, т. 44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гражданското въздухоплаване</w:t>
            </w:r>
          </w:p>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по контрола на управлението на въздушното движение, осъществяващи обслужване по контрол на въздушното движение (КВД) съгласно определението в член 2, точка 1 от Регламент (ЕО) № 549/2004 на Европейския парламент и на Съвета</w:t>
                  </w:r>
                  <w:hyperlink r:id="rId22" w:anchor="ntr8-L_2022333BG.01014301-E0008"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8</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50"/>
              <w:gridCol w:w="1655"/>
            </w:tblGrid>
            <w:tr w:rsidR="003A4AA6" w:rsidRPr="003A4AA6" w:rsidTr="004D33C4">
              <w:tc>
                <w:tcPr>
                  <w:tcW w:w="6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б)</w:t>
                  </w:r>
                </w:p>
              </w:tc>
              <w:tc>
                <w:tcPr>
                  <w:tcW w:w="41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Железопътен</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„Управител на железопътна инфраструктура“ по смисъла на § 1, т. 2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железопътния транспорт</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(Управители на инфраструктура съгласно определението в член 3, точка 2 от Директива 2012/34/ЕС на Европейския парламент и на Съвета</w:t>
                  </w:r>
                  <w:hyperlink r:id="rId23" w:anchor="ntr9-L_2022333BG.01014301-E0009"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9</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–„Железопътно предприятие“ по смисъла на чл. 48 от Закона за железопътния транспорт</w:t>
            </w:r>
          </w:p>
          <w:p w:rsidR="003A4AA6" w:rsidRPr="003A4AA6" w:rsidRDefault="003A4AA6" w:rsidP="003A4AA6">
            <w:pPr>
              <w:spacing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 „Оператор на обслужващо съоръжение“ по смисъла на § 1, т. 51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железопътния транспорт</w:t>
            </w:r>
          </w:p>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(Железопътни предприятия, съгласно определението в член 3, точка 1 от Директива 2012/34/ЕС, включително оператори на обслужващи съоръжения, посочени в член 3, точка 12 от същата директива)</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444"/>
              <w:gridCol w:w="1461"/>
            </w:tblGrid>
            <w:tr w:rsidR="003A4AA6" w:rsidRPr="003A4AA6" w:rsidTr="004D33C4">
              <w:tc>
                <w:tcPr>
                  <w:tcW w:w="11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w:t>
                  </w:r>
                </w:p>
              </w:tc>
              <w:tc>
                <w:tcPr>
                  <w:tcW w:w="36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Воден</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„Компания“ по смисъла на § 1, т. 12 от допълнителни-</w:t>
                  </w:r>
                  <w:r w:rsidRPr="003A4AA6">
                    <w:rPr>
                      <w:rFonts w:ascii="Times New Roman" w:eastAsia="Times New Roman" w:hAnsi="Times New Roman"/>
                      <w:sz w:val="24"/>
                      <w:szCs w:val="24"/>
                    </w:rPr>
                    <w:br/>
                    <w:t>те разпоредби на Наредбата за условията и реда за постига-</w:t>
                  </w:r>
                  <w:r w:rsidRPr="003A4AA6">
                    <w:rPr>
                      <w:rFonts w:ascii="Times New Roman" w:eastAsia="Times New Roman" w:hAnsi="Times New Roman"/>
                      <w:sz w:val="24"/>
                      <w:szCs w:val="24"/>
                    </w:rPr>
                    <w:br/>
                    <w:t>не сигурността на корабите, пристанищата и пристанищни-</w:t>
                  </w:r>
                  <w:r w:rsidRPr="003A4AA6">
                    <w:rPr>
                      <w:rFonts w:ascii="Times New Roman" w:eastAsia="Times New Roman" w:hAnsi="Times New Roman"/>
                      <w:sz w:val="24"/>
                      <w:szCs w:val="24"/>
                    </w:rPr>
                    <w:br/>
                  </w:r>
                  <w:r w:rsidRPr="003A4AA6">
                    <w:rPr>
                      <w:rFonts w:ascii="Times New Roman" w:eastAsia="Times New Roman" w:hAnsi="Times New Roman"/>
                      <w:sz w:val="24"/>
                      <w:szCs w:val="24"/>
                    </w:rPr>
                    <w:lastRenderedPageBreak/>
                    <w:t>те райони (ДВ, бр. 99 от 2014 г.)</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(Дружества за вътрешен, морски и крайбрежен пътнически и товарен воден транспорт съгласно определението за морски транспорт в приложение I към Регламент (ЕО) № 725/2004 на Европейския парламент и на Съвета</w:t>
                  </w:r>
                  <w:hyperlink r:id="rId24" w:anchor="ntr10-L_2022333BG.01014301-E0010"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10</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с изключение на отделните кораби, експлоатирани от тези предприятия)</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„Пристанище“ по смисъла на чл. 92, ал. 1 от Закона за морските пространства, вътрешните водни пътища и пристанищата на Република България</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 Член 117, ал. 1 и чл. 117а, ал. 1, 2, 3 и 4 от Закона за морските пространства, вътрешните водни пътища и пристанищата на Република България</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(Управителни органи на пристанищата съгласно определението в член 3, точка 1 от Директива 2005/65/ЕО на Европейския парламент и на Съвета</w:t>
                  </w:r>
                  <w:hyperlink r:id="rId25" w:anchor="ntr11-L_2022333BG.01014301-E0011"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11</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включително техните пристанищни съоръжения съгласно определението в член 2, точка 11 от Регламент (ЕО) № 725/2004, и субекти, извършващи строителни работи и експлоатиращи оборудване на територията на пристанищата)</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–Член 244а, ал. 1 и 2 от Кодекса на търговското корабоплаване</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–Член 115м, ал. 1, т. 12, 13, 14 и 15 от Закона за морските пространства, вътрешните водни пътища и пристанищата на Република България</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служби по морския трафик (СМТ) съгласно определението в член 3, буква „о” от Директива 2002/59/ЕО на Европейския парламент и на Съвета</w:t>
                  </w:r>
                  <w:hyperlink r:id="rId26" w:anchor="ntr12-L_2022333BG.01014301-E0012"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12</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18"/>
              <w:gridCol w:w="1687"/>
            </w:tblGrid>
            <w:tr w:rsidR="003A4AA6" w:rsidRPr="003A4AA6" w:rsidTr="004D33C4">
              <w:tc>
                <w:tcPr>
                  <w:tcW w:w="5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г)</w:t>
                  </w:r>
                </w:p>
              </w:tc>
              <w:tc>
                <w:tcPr>
                  <w:tcW w:w="42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Автомобилен</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1"/>
              <w:gridCol w:w="7170"/>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6769"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(Пътни органи съгласно определението в член 2, точка 12 от Делегиран регламент (ЕС) 2015/962 на Комисията</w:t>
                  </w:r>
                  <w:hyperlink r:id="rId27" w:anchor="ntr13-L_2022333BG.01014301-E0013"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13</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които отговарят за контрола на управлението на движението, с изключение на публичните субекти, за които управлението на трафика или експлоатацията на интелигентни транспортни системи са несъществена част от общата им дейност)</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 „Интелигентни транспортни системи“ по смисъла на § 1, т. 40 от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опълнителните разпоредби на Закона за автомобилните превози</w:t>
                  </w:r>
                </w:p>
                <w:p w:rsidR="003A4AA6" w:rsidRPr="003A4AA6" w:rsidRDefault="003A4AA6" w:rsidP="003A4AA6">
                  <w:pPr>
                    <w:spacing w:after="0" w:line="240" w:lineRule="auto"/>
                    <w:ind w:right="126"/>
                    <w:jc w:val="both"/>
                    <w:rPr>
                      <w:rFonts w:ascii="Times New Roman" w:eastAsia="Times New Roman" w:hAnsi="Times New Roman"/>
                      <w:sz w:val="24"/>
                      <w:szCs w:val="24"/>
                    </w:rPr>
                  </w:pP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интелигентни транспортни системи съгласно определението в член 4, точка 1 от Директива 2010/40/ЕС на Европейския парламент и на Съвета</w:t>
                  </w:r>
                  <w:hyperlink r:id="rId28" w:anchor="ntr14-L_2022333BG.01014301-E0014"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14</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79"/>
              <w:gridCol w:w="1529"/>
            </w:tblGrid>
            <w:tr w:rsidR="003A4AA6" w:rsidRPr="003A4AA6" w:rsidTr="004D33C4">
              <w:tc>
                <w:tcPr>
                  <w:tcW w:w="10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3.</w:t>
                  </w:r>
                </w:p>
              </w:tc>
              <w:tc>
                <w:tcPr>
                  <w:tcW w:w="40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Банков сектор</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126"/>
              <w:rPr>
                <w:rFonts w:ascii="Times New Roman" w:eastAsia="Times New Roman" w:hAnsi="Times New Roman"/>
                <w:sz w:val="24"/>
                <w:szCs w:val="24"/>
              </w:rPr>
            </w:pPr>
            <w:r w:rsidRPr="003A4AA6">
              <w:rPr>
                <w:rFonts w:ascii="Times New Roman" w:eastAsia="Times New Roman" w:hAnsi="Times New Roman"/>
                <w:sz w:val="24"/>
                <w:szCs w:val="24"/>
              </w:rPr>
              <w:t>(Кредитни институции съгласно определението в член 4, точка 1 от Регламент (ЕС) № 575/2013 на Европейския парламент и на Съвета</w:t>
            </w:r>
            <w:hyperlink r:id="rId29" w:anchor="ntr15-L_2022333BG.01014301-E0015"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15</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w:t>
            </w:r>
          </w:p>
        </w:tc>
      </w:tr>
      <w:tr w:rsidR="003A4AA6" w:rsidRPr="003A4AA6" w:rsidTr="004D33C4">
        <w:tc>
          <w:tcPr>
            <w:tcW w:w="870" w:type="pct"/>
            <w:vMerge w:val="restar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2"/>
              <w:gridCol w:w="1726"/>
            </w:tblGrid>
            <w:tr w:rsidR="003A4AA6" w:rsidRPr="003A4AA6" w:rsidTr="004D33C4">
              <w:tc>
                <w:tcPr>
                  <w:tcW w:w="4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4.</w:t>
                  </w:r>
                </w:p>
              </w:tc>
              <w:tc>
                <w:tcPr>
                  <w:tcW w:w="455"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Инфраструкту-ри на финан-совия пазар</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—Закона за пазарите на финансови инструменти</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(Оператори на места на търговия съгласно определението в член 4, точка 24 от Директива 2014/65/ЕС на Европейския парламент и на Съвета</w:t>
                  </w:r>
                  <w:hyperlink r:id="rId30" w:anchor="ntr16-L_2022333BG.01014301-E0016"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16</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8"/>
              <w:gridCol w:w="7163"/>
            </w:tblGrid>
            <w:tr w:rsidR="003A4AA6" w:rsidRPr="003A4AA6" w:rsidTr="004D33C4">
              <w:tc>
                <w:tcPr>
                  <w:tcW w:w="2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517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(Централни контрагенти (ЦК) съгласно определението в член 2, точка 1 от Регламент (ЕС) № 648/2012 на Европейския парламент и на Съвета</w:t>
                  </w:r>
                  <w:hyperlink r:id="rId31" w:anchor="ntr17-L_2022333BG.01014301-E0017"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17</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val="restart"/>
            <w:tcBorders>
              <w:top w:val="single" w:sz="6" w:space="0" w:color="000000"/>
              <w:bottom w:val="single" w:sz="6" w:space="0" w:color="000000"/>
              <w:right w:val="single" w:sz="6" w:space="0" w:color="000000"/>
            </w:tcBorders>
          </w:tcPr>
          <w:tbl>
            <w:tblPr>
              <w:tblW w:w="2265" w:type="dxa"/>
              <w:tblLayout w:type="fixed"/>
              <w:tblCellMar>
                <w:left w:w="0" w:type="dxa"/>
                <w:right w:w="0" w:type="dxa"/>
              </w:tblCellMar>
              <w:tblLook w:val="00A0" w:firstRow="1" w:lastRow="0" w:firstColumn="1" w:lastColumn="0" w:noHBand="0" w:noVBand="0"/>
            </w:tblPr>
            <w:tblGrid>
              <w:gridCol w:w="280"/>
              <w:gridCol w:w="1985"/>
            </w:tblGrid>
            <w:tr w:rsidR="003A4AA6" w:rsidRPr="003A4AA6" w:rsidTr="004D33C4">
              <w:tc>
                <w:tcPr>
                  <w:tcW w:w="28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5.</w:t>
                  </w:r>
                </w:p>
              </w:tc>
              <w:tc>
                <w:tcPr>
                  <w:tcW w:w="198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Здравеопазване</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1"/>
              <w:gridCol w:w="7010"/>
            </w:tblGrid>
            <w:tr w:rsidR="003A4AA6" w:rsidRPr="003A4AA6" w:rsidTr="004D33C4">
              <w:tc>
                <w:tcPr>
                  <w:tcW w:w="13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506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Закона за лечебните заведения</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здравно обслужване съгласно определението в член 3, буква „ж” от Директива 2011/24/ЕС на Европейския парламент и на Съвета</w:t>
                  </w:r>
                  <w:hyperlink r:id="rId32" w:anchor="ntr18-L_2022333BG.01014301-E0018"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18</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(Референтни лаборатории на ЕС съгласно определението в член 15 от Регламент (ЕС) 2022/2371 на Европейския парламент и на Съвета</w:t>
                  </w:r>
                  <w:hyperlink r:id="rId33" w:anchor="ntr19-L_2022333BG.01014301-E0019"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19</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(Субекти, извършващи научноизследователска и развойна дейност в областта на лекарствените продукти, съгласно определението в член 1, точка 2 от Директива 2001/83/ЕО на Европейския парламент и на Съвета</w:t>
                  </w:r>
                  <w:hyperlink r:id="rId34" w:anchor="ntr20-L_2022333BG.01014301-E0020"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20</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vanish/>
                <w:sz w:val="24"/>
                <w:szCs w:val="24"/>
              </w:rPr>
            </w:pPr>
          </w:p>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(Субекти, произвеждащи основни фармацевтични продукти и препарати, съгласно определението в раздел В, разделение 21 на NACE Rev. 2)</w:t>
                  </w:r>
                </w:p>
              </w:tc>
            </w:tr>
          </w:tbl>
          <w:p w:rsidR="003A4AA6" w:rsidRPr="003A4AA6" w:rsidRDefault="003A4AA6" w:rsidP="003A4AA6">
            <w:pPr>
              <w:spacing w:after="0" w:line="240" w:lineRule="auto"/>
              <w:rPr>
                <w:rFonts w:ascii="Times New Roman" w:eastAsia="Times New Roman" w:hAnsi="Times New Roman"/>
                <w:vanish/>
                <w:sz w:val="24"/>
                <w:szCs w:val="24"/>
              </w:rPr>
            </w:pPr>
          </w:p>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(Субекти, произвеждащи медицински изделия, които се считат за критично важни при извънредни ситуации в областта на общественото здраве („списък на критично важните медицински изделия при извънредни ситуации в областта на общественото здраве“), съгласно определението в член 22 от Регламент (ЕС) 2022/123 на Европейския парламент и на Съвета</w:t>
                  </w:r>
                  <w:hyperlink r:id="rId35" w:anchor="ntr21-L_2022333BG.01014301-E0021"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21</w:t>
                    </w:r>
                    <w:r w:rsidRPr="003A4AA6">
                      <w:rPr>
                        <w:rFonts w:ascii="Times New Roman" w:eastAsia="Times New Roman" w:hAnsi="Times New Roman"/>
                        <w:sz w:val="24"/>
                        <w:szCs w:val="24"/>
                      </w:rPr>
                      <w:t>)</w:t>
                    </w:r>
                  </w:hyperlink>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26"/>
              <w:gridCol w:w="1582"/>
            </w:tblGrid>
            <w:tr w:rsidR="003A4AA6" w:rsidRPr="003A4AA6" w:rsidTr="004D33C4">
              <w:tc>
                <w:tcPr>
                  <w:tcW w:w="8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6.</w:t>
                  </w:r>
                </w:p>
              </w:tc>
              <w:tc>
                <w:tcPr>
                  <w:tcW w:w="41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Питейна вода</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—Допълнителните разпоредби на Наредба № 9 от 2001 г. за качеството на водата, предназначена за питейно-битови цели </w:t>
            </w:r>
            <w:r w:rsidRPr="003A4AA6">
              <w:rPr>
                <w:rFonts w:ascii="Times New Roman" w:eastAsia="Times New Roman" w:hAnsi="Times New Roman"/>
                <w:sz w:val="24"/>
                <w:szCs w:val="24"/>
              </w:rPr>
              <w:br/>
              <w:t>(ДВ, бр. 30 от 2001 г.)</w:t>
            </w:r>
          </w:p>
          <w:p w:rsidR="003A4AA6" w:rsidRPr="003A4AA6" w:rsidRDefault="003A4AA6" w:rsidP="003A4AA6">
            <w:pPr>
              <w:spacing w:before="60" w:after="6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и дистрибутори на води, предназначени за консумация от човека, съгласно определението в член 2, точка 1, буква „а” от Директива (ЕС) 2020/2184 на Европейския парламент и на Съвета</w:t>
            </w:r>
            <w:hyperlink r:id="rId36" w:anchor="ntr22-L_2022333BG.01014301-E0022"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22</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xml:space="preserve"> с изключение на дистрибуторите, за които дистрибуцията на вода за консумация от човека е несъществена част от общата им дейност по дистрибуция на други стоки и продукти)</w:t>
            </w:r>
          </w:p>
        </w:tc>
      </w:tr>
      <w:tr w:rsidR="003A4AA6" w:rsidRPr="003A4AA6" w:rsidTr="004D33C4">
        <w:tc>
          <w:tcPr>
            <w:tcW w:w="870" w:type="pc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62"/>
              <w:gridCol w:w="1646"/>
            </w:tblGrid>
            <w:tr w:rsidR="003A4AA6" w:rsidRPr="003A4AA6" w:rsidTr="004D33C4">
              <w:tc>
                <w:tcPr>
                  <w:tcW w:w="6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7.</w:t>
                  </w:r>
                </w:p>
              </w:tc>
              <w:tc>
                <w:tcPr>
                  <w:tcW w:w="43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Отпадъчни води</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Определенията за градски, битови и промишлени отпадъчни води съгласно член 2, точки 1, 2 и 3 от Директива 91/271/ЕИО на Съвета са транспонирани в </w:t>
            </w:r>
            <w:r w:rsidRPr="003A4AA6">
              <w:rPr>
                <w:rFonts w:ascii="Times New Roman" w:eastAsia="Times New Roman" w:hAnsi="Times New Roman"/>
                <w:caps/>
                <w:sz w:val="24"/>
                <w:szCs w:val="24"/>
              </w:rPr>
              <w:t>д</w:t>
            </w:r>
            <w:r w:rsidRPr="003A4AA6">
              <w:rPr>
                <w:rFonts w:ascii="Times New Roman" w:eastAsia="Times New Roman" w:hAnsi="Times New Roman"/>
                <w:sz w:val="24"/>
                <w:szCs w:val="24"/>
              </w:rPr>
              <w:t>опълнителната разпоредба на § 1, т. 24 („</w:t>
            </w:r>
            <w:r w:rsidRPr="003A4AA6">
              <w:rPr>
                <w:rFonts w:ascii="Times New Roman" w:eastAsia="Times New Roman" w:hAnsi="Times New Roman"/>
                <w:caps/>
                <w:sz w:val="24"/>
                <w:szCs w:val="24"/>
              </w:rPr>
              <w:t>о</w:t>
            </w:r>
            <w:r w:rsidRPr="003A4AA6">
              <w:rPr>
                <w:rFonts w:ascii="Times New Roman" w:eastAsia="Times New Roman" w:hAnsi="Times New Roman"/>
                <w:sz w:val="24"/>
                <w:szCs w:val="24"/>
              </w:rPr>
              <w:t>тпадъчни води от населени места“), т. 35 („</w:t>
            </w:r>
            <w:r w:rsidRPr="003A4AA6">
              <w:rPr>
                <w:rFonts w:ascii="Times New Roman" w:eastAsia="Times New Roman" w:hAnsi="Times New Roman"/>
                <w:caps/>
                <w:sz w:val="24"/>
                <w:szCs w:val="24"/>
              </w:rPr>
              <w:t>ф</w:t>
            </w:r>
            <w:r w:rsidRPr="003A4AA6">
              <w:rPr>
                <w:rFonts w:ascii="Times New Roman" w:eastAsia="Times New Roman" w:hAnsi="Times New Roman"/>
                <w:sz w:val="24"/>
                <w:szCs w:val="24"/>
              </w:rPr>
              <w:t>екално-битови отпадъчни води“) и т. 28 („</w:t>
            </w:r>
            <w:r w:rsidRPr="003A4AA6">
              <w:rPr>
                <w:rFonts w:ascii="Times New Roman" w:eastAsia="Times New Roman" w:hAnsi="Times New Roman"/>
                <w:caps/>
                <w:sz w:val="24"/>
                <w:szCs w:val="24"/>
              </w:rPr>
              <w:t>п</w:t>
            </w:r>
            <w:r w:rsidRPr="003A4AA6">
              <w:rPr>
                <w:rFonts w:ascii="Times New Roman" w:eastAsia="Times New Roman" w:hAnsi="Times New Roman"/>
                <w:sz w:val="24"/>
                <w:szCs w:val="24"/>
              </w:rPr>
              <w:t>роизводствени отпадъчни води“) от Наредба № 6 от 9.11.2000 г. за емисионни норми за допустимото съдържание на вредни и опасни вещества в отпадъчните води, зауствани във водни обекти, която е с отпаднало основание (поради отмяната на чл. 135, ал. 1, т. 12 на Закона за водите със Закона за изменение и допълнение на Закона за водите (обн., ДВ, бр. 58 от 31.07.2015 г.).</w:t>
            </w:r>
          </w:p>
          <w:p w:rsidR="003A4AA6" w:rsidRPr="003A4AA6" w:rsidRDefault="003A4AA6" w:rsidP="003A4AA6">
            <w:pPr>
              <w:spacing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Съгласно § 62, ал. 3 от </w:t>
            </w:r>
            <w:r w:rsidRPr="003A4AA6">
              <w:rPr>
                <w:rFonts w:ascii="Times New Roman" w:eastAsia="Times New Roman" w:hAnsi="Times New Roman"/>
                <w:caps/>
                <w:sz w:val="24"/>
                <w:szCs w:val="24"/>
              </w:rPr>
              <w:t>п</w:t>
            </w:r>
            <w:r w:rsidRPr="003A4AA6">
              <w:rPr>
                <w:rFonts w:ascii="Times New Roman" w:eastAsia="Times New Roman" w:hAnsi="Times New Roman"/>
                <w:sz w:val="24"/>
                <w:szCs w:val="24"/>
              </w:rPr>
              <w:t xml:space="preserve">реходните и заключителните разпоредби на Закона за изменение и допълнение на Закона за водите (обн., ДВ, </w:t>
            </w:r>
            <w:r w:rsidRPr="003A4AA6">
              <w:rPr>
                <w:rFonts w:ascii="Times New Roman" w:eastAsia="Times New Roman" w:hAnsi="Times New Roman"/>
                <w:sz w:val="24"/>
                <w:szCs w:val="24"/>
              </w:rPr>
              <w:lastRenderedPageBreak/>
              <w:t xml:space="preserve">бр. 58 от 31.07.2015 г.), до привеждането на </w:t>
            </w:r>
            <w:r w:rsidRPr="003A4AA6">
              <w:rPr>
                <w:rFonts w:ascii="Times New Roman" w:eastAsia="Times New Roman" w:hAnsi="Times New Roman"/>
                <w:caps/>
                <w:sz w:val="24"/>
                <w:szCs w:val="24"/>
              </w:rPr>
              <w:t>н</w:t>
            </w:r>
            <w:r w:rsidRPr="003A4AA6">
              <w:rPr>
                <w:rFonts w:ascii="Times New Roman" w:eastAsia="Times New Roman" w:hAnsi="Times New Roman"/>
                <w:sz w:val="24"/>
                <w:szCs w:val="24"/>
              </w:rPr>
              <w:t xml:space="preserve">аредбата по </w:t>
            </w:r>
            <w:r w:rsidRPr="003A4AA6">
              <w:rPr>
                <w:rFonts w:ascii="Times New Roman" w:eastAsia="Times New Roman" w:hAnsi="Times New Roman"/>
                <w:sz w:val="24"/>
                <w:szCs w:val="24"/>
              </w:rPr>
              <w:br/>
              <w:t>чл. 135, ал. 1, т. 13 в съответствие със Закона за водите се прилага отменената наредба по чл. 135, ал. 1, т. 12, доколкото не противоречи на този закон.</w:t>
            </w:r>
          </w:p>
          <w:p w:rsidR="003A4AA6" w:rsidRPr="003A4AA6" w:rsidRDefault="003A4AA6" w:rsidP="003A4AA6">
            <w:pPr>
              <w:spacing w:after="0" w:line="240" w:lineRule="auto"/>
              <w:ind w:right="126"/>
              <w:jc w:val="both"/>
              <w:rPr>
                <w:rFonts w:ascii="Times New Roman" w:eastAsia="Times New Roman" w:hAnsi="Times New Roman"/>
                <w:sz w:val="24"/>
                <w:szCs w:val="24"/>
              </w:rPr>
            </w:pPr>
          </w:p>
          <w:p w:rsidR="003A4AA6" w:rsidRPr="003A4AA6" w:rsidRDefault="003A4AA6" w:rsidP="003A4AA6">
            <w:pPr>
              <w:spacing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Допълнителните разпоредби на Наредба № 6 от 9.11.2000 г. за емисионни норми за допустимото съдържание на вредни и опасни вещества в отпадъчните води, зауствани във водни обекти (обн., ДВ, бр. 97 от 28.11.2000 г.) (т. 24, 28 и 35 от §1)</w:t>
            </w:r>
          </w:p>
          <w:p w:rsidR="003A4AA6" w:rsidRPr="003A4AA6" w:rsidRDefault="003A4AA6" w:rsidP="003A4AA6">
            <w:pPr>
              <w:spacing w:before="60" w:after="6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които събират, обезвреждат или пречистват градски, битови или промишлени отпадъчни води съгласно определението в член 2, точки от 1, 2 и 3 от Директива 91/271/ЕИО на Съвета</w:t>
            </w:r>
            <w:hyperlink r:id="rId37" w:anchor="ntr23-L_2022333BG.01014301-E0023"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23</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с изключение на предприятията, за които събирането, обезвреждането или пречистването на градски, битови или промишлени отпадъчни води е несъществена част от тяхната обща дейност)</w:t>
            </w:r>
          </w:p>
        </w:tc>
      </w:tr>
      <w:tr w:rsidR="003A4AA6" w:rsidRPr="003A4AA6" w:rsidTr="004D33C4">
        <w:tc>
          <w:tcPr>
            <w:tcW w:w="870" w:type="pct"/>
            <w:vMerge w:val="restar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186"/>
              <w:gridCol w:w="1722"/>
            </w:tblGrid>
            <w:tr w:rsidR="003A4AA6" w:rsidRPr="003A4AA6" w:rsidTr="004D33C4">
              <w:tc>
                <w:tcPr>
                  <w:tcW w:w="4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8.</w:t>
                  </w:r>
                </w:p>
              </w:tc>
              <w:tc>
                <w:tcPr>
                  <w:tcW w:w="45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Цифрова инфраструктура</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val="restar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84"/>
              <w:gridCol w:w="6807"/>
            </w:tblGrid>
            <w:tr w:rsidR="003A4AA6" w:rsidRPr="003A4AA6" w:rsidTr="004D33C4">
              <w:tc>
                <w:tcPr>
                  <w:tcW w:w="44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1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точки за обмен в интернет</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09"/>
              <w:gridCol w:w="698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121"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DNS услуги с изключение на оператори на коренови сървъри за имена</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41"/>
              <w:gridCol w:w="6850"/>
            </w:tblGrid>
            <w:tr w:rsidR="003A4AA6" w:rsidRPr="003A4AA6" w:rsidTr="004D33C4">
              <w:tc>
                <w:tcPr>
                  <w:tcW w:w="39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6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Регистри на имената на домейни от първо ниво</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60"/>
              <w:gridCol w:w="6831"/>
            </w:tblGrid>
            <w:tr w:rsidR="003A4AA6" w:rsidRPr="003A4AA6" w:rsidTr="004D33C4">
              <w:tc>
                <w:tcPr>
                  <w:tcW w:w="41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4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услуги за изчисления в облак</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67"/>
              <w:gridCol w:w="6824"/>
            </w:tblGrid>
            <w:tr w:rsidR="003A4AA6" w:rsidRPr="003A4AA6" w:rsidTr="004D33C4">
              <w:tc>
                <w:tcPr>
                  <w:tcW w:w="42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3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услуги на центрове за данни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29"/>
              <w:gridCol w:w="6862"/>
            </w:tblGrid>
            <w:tr w:rsidR="003A4AA6" w:rsidRPr="003A4AA6" w:rsidTr="004D33C4">
              <w:tc>
                <w:tcPr>
                  <w:tcW w:w="37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8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мрежи за доставка на съдържание</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402"/>
              <w:gridCol w:w="6789"/>
            </w:tblGrid>
            <w:tr w:rsidR="003A4AA6" w:rsidRPr="003A4AA6" w:rsidTr="004D33C4">
              <w:tc>
                <w:tcPr>
                  <w:tcW w:w="46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89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удостоверителни услуги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70"/>
              <w:gridCol w:w="6921"/>
            </w:tblGrid>
            <w:tr w:rsidR="003A4AA6" w:rsidRPr="003A4AA6" w:rsidTr="004D33C4">
              <w:tc>
                <w:tcPr>
                  <w:tcW w:w="31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05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обществени електронни съобщителни мрежи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869"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33"/>
              <w:gridCol w:w="6958"/>
            </w:tblGrid>
            <w:tr w:rsidR="003A4AA6" w:rsidRPr="003A4AA6" w:rsidTr="004D33C4">
              <w:tc>
                <w:tcPr>
                  <w:tcW w:w="26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8093" w:type="dxa"/>
                </w:tcPr>
                <w:p w:rsidR="003A4AA6" w:rsidRPr="003A4AA6" w:rsidRDefault="003A4AA6" w:rsidP="003A4AA6">
                  <w:pPr>
                    <w:spacing w:before="120" w:after="0" w:line="240" w:lineRule="auto"/>
                    <w:ind w:right="126"/>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обществено достъпни електронни съобщител-</w:t>
                  </w:r>
                  <w:r w:rsidRPr="003A4AA6">
                    <w:rPr>
                      <w:rFonts w:ascii="Times New Roman" w:eastAsia="Times New Roman" w:hAnsi="Times New Roman"/>
                      <w:sz w:val="24"/>
                      <w:szCs w:val="24"/>
                    </w:rPr>
                    <w:br/>
                    <w:t>ни услуги</w:t>
                  </w:r>
                </w:p>
                <w:p w:rsidR="003A4AA6" w:rsidRPr="003A4AA6" w:rsidRDefault="003A4AA6" w:rsidP="003A4AA6">
                  <w:pPr>
                    <w:spacing w:before="120" w:after="0" w:line="240" w:lineRule="auto"/>
                    <w:ind w:right="126"/>
                    <w:jc w:val="both"/>
                    <w:rPr>
                      <w:rFonts w:ascii="Times New Roman" w:eastAsia="Times New Roman" w:hAnsi="Times New Roman"/>
                      <w:sz w:val="24"/>
                      <w:szCs w:val="24"/>
                    </w:rPr>
                  </w:pP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tcBorders>
              <w:top w:val="single" w:sz="6" w:space="0" w:color="000000"/>
              <w:bottom w:val="single" w:sz="6" w:space="0" w:color="000000"/>
              <w:right w:val="single" w:sz="6" w:space="0" w:color="000000"/>
            </w:tcBorders>
          </w:tcPr>
          <w:tbl>
            <w:tblPr>
              <w:tblW w:w="4673" w:type="pct"/>
              <w:tblLayout w:type="fixed"/>
              <w:tblCellMar>
                <w:left w:w="0" w:type="dxa"/>
                <w:right w:w="0" w:type="dxa"/>
              </w:tblCellMar>
              <w:tblLook w:val="00A0" w:firstRow="1" w:lastRow="0" w:firstColumn="1" w:lastColumn="0" w:noHBand="0" w:noVBand="0"/>
            </w:tblPr>
            <w:tblGrid>
              <w:gridCol w:w="220"/>
              <w:gridCol w:w="1563"/>
            </w:tblGrid>
            <w:tr w:rsidR="003A4AA6" w:rsidRPr="003A4AA6" w:rsidTr="004D33C4">
              <w:tc>
                <w:tcPr>
                  <w:tcW w:w="22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9.</w:t>
                  </w:r>
                </w:p>
              </w:tc>
              <w:tc>
                <w:tcPr>
                  <w:tcW w:w="1615"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Управление на услуги в областта на ИКТ (между предприятия)</w:t>
                  </w: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449"/>
              <w:gridCol w:w="6742"/>
            </w:tblGrid>
            <w:tr w:rsidR="003A4AA6" w:rsidRPr="003A4AA6" w:rsidTr="004D33C4">
              <w:tc>
                <w:tcPr>
                  <w:tcW w:w="51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84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управлявани услуги</w:t>
                  </w:r>
                </w:p>
              </w:tc>
            </w:tr>
          </w:tbl>
          <w:p w:rsidR="003A4AA6" w:rsidRPr="003A4AA6" w:rsidRDefault="003A4AA6" w:rsidP="003A4AA6">
            <w:pPr>
              <w:spacing w:after="0" w:line="240" w:lineRule="auto"/>
              <w:rPr>
                <w:rFonts w:ascii="Times New Roman" w:eastAsia="Times New Roman" w:hAnsi="Times New Roman"/>
                <w:vanish/>
                <w:sz w:val="24"/>
                <w:szCs w:val="24"/>
              </w:rPr>
            </w:pPr>
          </w:p>
          <w:tbl>
            <w:tblPr>
              <w:tblW w:w="5000" w:type="pct"/>
              <w:tblLayout w:type="fixed"/>
              <w:tblCellMar>
                <w:left w:w="0" w:type="dxa"/>
                <w:right w:w="0" w:type="dxa"/>
              </w:tblCellMar>
              <w:tblLook w:val="00A0" w:firstRow="1" w:lastRow="0" w:firstColumn="1" w:lastColumn="0" w:noHBand="0" w:noVBand="0"/>
            </w:tblPr>
            <w:tblGrid>
              <w:gridCol w:w="333"/>
              <w:gridCol w:w="6858"/>
            </w:tblGrid>
            <w:tr w:rsidR="003A4AA6" w:rsidRPr="003A4AA6" w:rsidTr="004D33C4">
              <w:tc>
                <w:tcPr>
                  <w:tcW w:w="38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797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управлявани услуги за сигурност</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870" w:type="pc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41"/>
              <w:gridCol w:w="1567"/>
            </w:tblGrid>
            <w:tr w:rsidR="003A4AA6" w:rsidRPr="003A4AA6" w:rsidTr="004D33C4">
              <w:tc>
                <w:tcPr>
                  <w:tcW w:w="9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10.</w:t>
                  </w:r>
                </w:p>
              </w:tc>
              <w:tc>
                <w:tcPr>
                  <w:tcW w:w="41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Космическо пространство</w:t>
                  </w:r>
                </w:p>
              </w:tc>
            </w:tr>
            <w:tr w:rsidR="003A4AA6" w:rsidRPr="003A4AA6" w:rsidTr="004D33C4">
              <w:tc>
                <w:tcPr>
                  <w:tcW w:w="90"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413"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r>
          </w:tbl>
          <w:p w:rsidR="003A4AA6" w:rsidRPr="003A4AA6" w:rsidRDefault="003A4AA6" w:rsidP="003A4AA6">
            <w:pPr>
              <w:spacing w:after="0" w:line="240" w:lineRule="auto"/>
              <w:rPr>
                <w:rFonts w:ascii="Times New Roman" w:eastAsia="Times New Roman" w:hAnsi="Times New Roman"/>
                <w:sz w:val="24"/>
                <w:szCs w:val="24"/>
              </w:rPr>
            </w:pPr>
          </w:p>
        </w:tc>
        <w:tc>
          <w:tcPr>
            <w:tcW w:w="869"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262"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126"/>
              <w:rPr>
                <w:rFonts w:ascii="Times New Roman" w:eastAsia="Times New Roman" w:hAnsi="Times New Roman"/>
                <w:sz w:val="24"/>
                <w:szCs w:val="24"/>
              </w:rPr>
            </w:pPr>
            <w:r w:rsidRPr="003A4AA6">
              <w:rPr>
                <w:rFonts w:ascii="Times New Roman" w:eastAsia="Times New Roman" w:hAnsi="Times New Roman"/>
                <w:sz w:val="24"/>
                <w:szCs w:val="24"/>
              </w:rPr>
              <w:t>(Оператори на наземна инфраструктура, притежавани, управлявани и експлоатирани от държавите членки или от частни лица, които подпомагат предоставянето на космически услуги, с изключение на доставчиците на обществени електронни съобщителни мрежи)</w:t>
            </w:r>
          </w:p>
        </w:tc>
      </w:tr>
    </w:tbl>
    <w:p w:rsidR="003A4AA6" w:rsidRPr="003A4AA6" w:rsidRDefault="003A4AA6" w:rsidP="003A4AA6">
      <w:pPr>
        <w:spacing w:after="0" w:line="240" w:lineRule="auto"/>
        <w:rPr>
          <w:rFonts w:ascii="Times New Roman" w:eastAsia="Times New Roman" w:hAnsi="Times New Roman"/>
          <w:sz w:val="24"/>
          <w:szCs w:val="24"/>
        </w:rPr>
      </w:pPr>
    </w:p>
    <w:p w:rsidR="003A4AA6" w:rsidRPr="003A4AA6" w:rsidRDefault="003A4AA6" w:rsidP="003A4AA6">
      <w:pPr>
        <w:shd w:val="clear" w:color="auto" w:fill="FFFFFF"/>
        <w:spacing w:after="0" w:line="240" w:lineRule="auto"/>
        <w:jc w:val="right"/>
        <w:rPr>
          <w:rFonts w:ascii="Times New Roman" w:eastAsia="Times New Roman" w:hAnsi="Times New Roman"/>
          <w:bCs/>
          <w:sz w:val="24"/>
          <w:szCs w:val="24"/>
        </w:rPr>
      </w:pPr>
      <w:r w:rsidRPr="003A4AA6">
        <w:rPr>
          <w:rFonts w:ascii="Times New Roman" w:eastAsia="Times New Roman" w:hAnsi="Times New Roman"/>
          <w:bCs/>
          <w:sz w:val="24"/>
          <w:szCs w:val="24"/>
        </w:rPr>
        <w:t xml:space="preserve">Приложение </w:t>
      </w:r>
      <w:r w:rsidRPr="003A4AA6">
        <w:rPr>
          <w:rFonts w:ascii="Times New Roman" w:eastAsia="Times New Roman" w:hAnsi="Times New Roman"/>
          <w:bCs/>
          <w:sz w:val="24"/>
          <w:szCs w:val="24"/>
          <w:lang w:val="en-GB"/>
        </w:rPr>
        <w:t>II</w:t>
      </w:r>
    </w:p>
    <w:p w:rsidR="003A4AA6" w:rsidRPr="003A4AA6" w:rsidRDefault="003A4AA6" w:rsidP="003A4AA6">
      <w:pPr>
        <w:shd w:val="clear" w:color="auto" w:fill="FFFFFF"/>
        <w:spacing w:after="0" w:line="240" w:lineRule="auto"/>
        <w:jc w:val="right"/>
        <w:rPr>
          <w:rFonts w:ascii="Times New Roman" w:eastAsia="Times New Roman" w:hAnsi="Times New Roman"/>
          <w:bCs/>
          <w:sz w:val="24"/>
          <w:szCs w:val="24"/>
        </w:rPr>
      </w:pPr>
      <w:r w:rsidRPr="003A4AA6">
        <w:rPr>
          <w:rFonts w:ascii="Times New Roman" w:eastAsia="Times New Roman" w:hAnsi="Times New Roman"/>
          <w:bCs/>
          <w:sz w:val="24"/>
          <w:szCs w:val="24"/>
        </w:rPr>
        <w:t>към чл. 4, т. 2</w:t>
      </w:r>
    </w:p>
    <w:p w:rsidR="003A4AA6" w:rsidRPr="003A4AA6" w:rsidRDefault="003A4AA6" w:rsidP="003A4AA6">
      <w:pPr>
        <w:shd w:val="clear" w:color="auto" w:fill="FFFFFF"/>
        <w:spacing w:before="240" w:after="120" w:line="240" w:lineRule="auto"/>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ДРУГИ КРИТИЧНИ СЕКТОРИ</w:t>
      </w:r>
    </w:p>
    <w:p w:rsidR="003A4AA6" w:rsidRPr="003A4AA6" w:rsidRDefault="003A4AA6" w:rsidP="003A4AA6">
      <w:pPr>
        <w:shd w:val="clear" w:color="auto" w:fill="FFFFFF"/>
        <w:spacing w:before="240" w:after="120" w:line="240" w:lineRule="auto"/>
        <w:jc w:val="center"/>
        <w:rPr>
          <w:rFonts w:ascii="Times New Roman" w:eastAsia="Times New Roman" w:hAnsi="Times New Roman"/>
          <w:b/>
          <w:bCs/>
          <w:sz w:val="24"/>
          <w:szCs w:val="24"/>
        </w:rPr>
      </w:pPr>
    </w:p>
    <w:tbl>
      <w:tblPr>
        <w:tblW w:w="5661" w:type="pct"/>
        <w:tblInd w:w="-10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1920"/>
        <w:gridCol w:w="1922"/>
        <w:gridCol w:w="6447"/>
      </w:tblGrid>
      <w:tr w:rsidR="003A4AA6" w:rsidRPr="003A4AA6" w:rsidTr="004D33C4">
        <w:tc>
          <w:tcPr>
            <w:tcW w:w="933" w:type="pct"/>
            <w:tcBorders>
              <w:top w:val="single" w:sz="6" w:space="0" w:color="000000"/>
              <w:bottom w:val="single" w:sz="6" w:space="0" w:color="000000"/>
              <w:right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Сектор</w:t>
            </w: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Подсектор</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195"/>
              <w:jc w:val="center"/>
              <w:rPr>
                <w:rFonts w:ascii="Times New Roman" w:eastAsia="Times New Roman" w:hAnsi="Times New Roman"/>
                <w:b/>
                <w:bCs/>
                <w:sz w:val="24"/>
                <w:szCs w:val="24"/>
              </w:rPr>
            </w:pPr>
            <w:r w:rsidRPr="003A4AA6">
              <w:rPr>
                <w:rFonts w:ascii="Times New Roman" w:eastAsia="Times New Roman" w:hAnsi="Times New Roman"/>
                <w:b/>
                <w:bCs/>
                <w:sz w:val="24"/>
                <w:szCs w:val="24"/>
              </w:rPr>
              <w:t>Субекти</w:t>
            </w:r>
          </w:p>
        </w:tc>
      </w:tr>
      <w:tr w:rsidR="003A4AA6" w:rsidRPr="003A4AA6" w:rsidTr="004D33C4">
        <w:tc>
          <w:tcPr>
            <w:tcW w:w="933" w:type="pct"/>
            <w:tcBorders>
              <w:top w:val="single" w:sz="6" w:space="0" w:color="000000"/>
              <w:bottom w:val="single" w:sz="6" w:space="0" w:color="000000"/>
              <w:right w:val="single" w:sz="6" w:space="0" w:color="000000"/>
            </w:tcBorders>
          </w:tcPr>
          <w:tbl>
            <w:tblPr>
              <w:tblW w:w="1804" w:type="dxa"/>
              <w:tblLayout w:type="fixed"/>
              <w:tblCellMar>
                <w:left w:w="0" w:type="dxa"/>
                <w:right w:w="0" w:type="dxa"/>
              </w:tblCellMar>
              <w:tblLook w:val="00A0" w:firstRow="1" w:lastRow="0" w:firstColumn="1" w:lastColumn="0" w:noHBand="0" w:noVBand="0"/>
            </w:tblPr>
            <w:tblGrid>
              <w:gridCol w:w="208"/>
              <w:gridCol w:w="1596"/>
            </w:tblGrid>
            <w:tr w:rsidR="003A4AA6" w:rsidRPr="003A4AA6" w:rsidTr="004D33C4">
              <w:trPr>
                <w:trHeight w:val="586"/>
              </w:trPr>
              <w:tc>
                <w:tcPr>
                  <w:tcW w:w="20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lastRenderedPageBreak/>
                    <w:t>1.</w:t>
                  </w:r>
                </w:p>
              </w:tc>
              <w:tc>
                <w:tcPr>
                  <w:tcW w:w="159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Пощенски и куриерски услуги</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Закон за пощенските услуги</w:t>
            </w:r>
          </w:p>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пощенски услуги съгласно определението в член 2, точка 1а от Директива 97/67/ЕО, включително доставчици на куриерски услуги)</w:t>
            </w:r>
          </w:p>
        </w:tc>
      </w:tr>
      <w:tr w:rsidR="003A4AA6" w:rsidRPr="003A4AA6" w:rsidTr="004D33C4">
        <w:tc>
          <w:tcPr>
            <w:tcW w:w="933" w:type="pct"/>
            <w:tcBorders>
              <w:top w:val="single" w:sz="6" w:space="0" w:color="000000"/>
              <w:bottom w:val="single" w:sz="6" w:space="0" w:color="000000"/>
              <w:right w:val="single" w:sz="6" w:space="0" w:color="000000"/>
            </w:tcBorders>
          </w:tcPr>
          <w:tbl>
            <w:tblPr>
              <w:tblW w:w="4909" w:type="pct"/>
              <w:tblLayout w:type="fixed"/>
              <w:tblCellMar>
                <w:left w:w="0" w:type="dxa"/>
                <w:right w:w="0" w:type="dxa"/>
              </w:tblCellMar>
              <w:tblLook w:val="00A0" w:firstRow="1" w:lastRow="0" w:firstColumn="1" w:lastColumn="0" w:noHBand="0" w:noVBand="0"/>
            </w:tblPr>
            <w:tblGrid>
              <w:gridCol w:w="309"/>
              <w:gridCol w:w="1561"/>
            </w:tblGrid>
            <w:tr w:rsidR="003A4AA6" w:rsidRPr="003A4AA6" w:rsidTr="004D33C4">
              <w:trPr>
                <w:trHeight w:val="644"/>
              </w:trPr>
              <w:tc>
                <w:tcPr>
                  <w:tcW w:w="319"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2.</w:t>
                  </w:r>
                </w:p>
              </w:tc>
              <w:tc>
                <w:tcPr>
                  <w:tcW w:w="161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Управление на отпадъците</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 § 1, т. 46 от Допълнителните разпоредби на Закона за управление на отпадъците.</w:t>
            </w:r>
          </w:p>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sidDel="00E10CEE">
              <w:rPr>
                <w:rFonts w:ascii="Times New Roman" w:eastAsia="Times New Roman" w:hAnsi="Times New Roman"/>
                <w:sz w:val="24"/>
                <w:szCs w:val="24"/>
              </w:rPr>
              <w:t xml:space="preserve"> </w:t>
            </w:r>
            <w:r w:rsidRPr="003A4AA6">
              <w:rPr>
                <w:rFonts w:ascii="Times New Roman" w:eastAsia="Times New Roman" w:hAnsi="Times New Roman"/>
                <w:sz w:val="24"/>
                <w:szCs w:val="24"/>
              </w:rPr>
              <w:t>(Предприятия, извършващи управление на отпадъците съгласно определението в член 3, точка 9 от Директива 2008/98/ЕО на Европейския парламент и на Съвета</w:t>
            </w:r>
            <w:hyperlink r:id="rId38" w:anchor="ntr1-L_2022333BG.01014801-E0001"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1</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с изключение на предприятия, за които управлението на отпадъците не е основна икономическа дейност)</w:t>
            </w:r>
          </w:p>
        </w:tc>
      </w:tr>
      <w:tr w:rsidR="003A4AA6" w:rsidRPr="003A4AA6" w:rsidTr="004D33C4">
        <w:tc>
          <w:tcPr>
            <w:tcW w:w="933" w:type="pct"/>
            <w:tcBorders>
              <w:top w:val="single" w:sz="6" w:space="0" w:color="000000"/>
              <w:bottom w:val="single" w:sz="6" w:space="0" w:color="000000"/>
              <w:right w:val="single" w:sz="6" w:space="0" w:color="000000"/>
            </w:tcBorders>
          </w:tcPr>
          <w:tbl>
            <w:tblPr>
              <w:tblW w:w="1921" w:type="dxa"/>
              <w:tblLayout w:type="fixed"/>
              <w:tblCellMar>
                <w:left w:w="0" w:type="dxa"/>
                <w:right w:w="0" w:type="dxa"/>
              </w:tblCellMar>
              <w:tblLook w:val="00A0" w:firstRow="1" w:lastRow="0" w:firstColumn="1" w:lastColumn="0" w:noHBand="0" w:noVBand="0"/>
            </w:tblPr>
            <w:tblGrid>
              <w:gridCol w:w="316"/>
              <w:gridCol w:w="1605"/>
            </w:tblGrid>
            <w:tr w:rsidR="003A4AA6" w:rsidRPr="003A4AA6" w:rsidTr="004D33C4">
              <w:trPr>
                <w:trHeight w:val="1348"/>
              </w:trPr>
              <w:tc>
                <w:tcPr>
                  <w:tcW w:w="31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3.</w:t>
                  </w:r>
                </w:p>
              </w:tc>
              <w:tc>
                <w:tcPr>
                  <w:tcW w:w="160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Производство, изготвяне и дистрибуция на химикали</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Закон за защита от вредното въздействие на химичните вещества и смеси</w:t>
            </w:r>
          </w:p>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производство на вещества и дистрибуция на вещества или смеси съгласно определението в член 3, точки 9 и 14 от Регламент (ЕО) № 1907/2006 на Европейския парламент и на Съвета</w:t>
            </w:r>
            <w:hyperlink r:id="rId39" w:anchor="ntr2-L_2022333BG.01014801-E0002"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2</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xml:space="preserve">, и предприятия, извършващи производство на изделия, посочени в член 3, точка 3 от същия </w:t>
            </w:r>
            <w:r w:rsidRPr="003A4AA6">
              <w:rPr>
                <w:rFonts w:ascii="Times New Roman" w:eastAsia="Times New Roman" w:hAnsi="Times New Roman"/>
                <w:caps/>
                <w:sz w:val="24"/>
                <w:szCs w:val="24"/>
              </w:rPr>
              <w:t>р</w:t>
            </w:r>
            <w:r w:rsidRPr="003A4AA6">
              <w:rPr>
                <w:rFonts w:ascii="Times New Roman" w:eastAsia="Times New Roman" w:hAnsi="Times New Roman"/>
                <w:sz w:val="24"/>
                <w:szCs w:val="24"/>
              </w:rPr>
              <w:t>егламент, от вещества или смеси)</w:t>
            </w:r>
          </w:p>
        </w:tc>
      </w:tr>
      <w:tr w:rsidR="003A4AA6" w:rsidRPr="003A4AA6" w:rsidTr="004D33C4">
        <w:tc>
          <w:tcPr>
            <w:tcW w:w="933" w:type="pct"/>
            <w:tcBorders>
              <w:top w:val="single" w:sz="6" w:space="0" w:color="000000"/>
              <w:bottom w:val="single" w:sz="6" w:space="0" w:color="000000"/>
              <w:right w:val="single" w:sz="6" w:space="0" w:color="000000"/>
            </w:tcBorders>
          </w:tcPr>
          <w:tbl>
            <w:tblPr>
              <w:tblW w:w="2008" w:type="dxa"/>
              <w:tblLayout w:type="fixed"/>
              <w:tblCellMar>
                <w:left w:w="0" w:type="dxa"/>
                <w:right w:w="0" w:type="dxa"/>
              </w:tblCellMar>
              <w:tblLook w:val="00A0" w:firstRow="1" w:lastRow="0" w:firstColumn="1" w:lastColumn="0" w:noHBand="0" w:noVBand="0"/>
            </w:tblPr>
            <w:tblGrid>
              <w:gridCol w:w="266"/>
              <w:gridCol w:w="1742"/>
            </w:tblGrid>
            <w:tr w:rsidR="003A4AA6" w:rsidRPr="003A4AA6" w:rsidTr="004D33C4">
              <w:trPr>
                <w:trHeight w:val="1176"/>
              </w:trPr>
              <w:tc>
                <w:tcPr>
                  <w:tcW w:w="26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4.</w:t>
                  </w:r>
                </w:p>
              </w:tc>
              <w:tc>
                <w:tcPr>
                  <w:tcW w:w="174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Производство, преработка и разпространение на храни</w:t>
                  </w:r>
                </w:p>
              </w:tc>
            </w:tr>
            <w:tr w:rsidR="003A4AA6" w:rsidRPr="003A4AA6" w:rsidTr="004D33C4">
              <w:trPr>
                <w:trHeight w:val="328"/>
              </w:trPr>
              <w:tc>
                <w:tcPr>
                  <w:tcW w:w="266"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c>
                <w:tcPr>
                  <w:tcW w:w="1742" w:type="dxa"/>
                </w:tcPr>
                <w:p w:rsidR="003A4AA6" w:rsidRPr="003A4AA6" w:rsidRDefault="003A4AA6" w:rsidP="003A4AA6">
                  <w:pPr>
                    <w:spacing w:before="120" w:after="0" w:line="240" w:lineRule="auto"/>
                    <w:jc w:val="both"/>
                    <w:rPr>
                      <w:rFonts w:ascii="Times New Roman" w:eastAsia="Times New Roman" w:hAnsi="Times New Roman"/>
                      <w:sz w:val="24"/>
                      <w:szCs w:val="24"/>
                    </w:rPr>
                  </w:pP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w:t>
            </w:r>
            <w:r w:rsidRPr="003A4AA6">
              <w:rPr>
                <w:rFonts w:ascii="Times New Roman" w:eastAsia="Times New Roman" w:hAnsi="Times New Roman"/>
                <w:caps/>
                <w:sz w:val="24"/>
                <w:szCs w:val="24"/>
              </w:rPr>
              <w:t>п</w:t>
            </w:r>
            <w:r w:rsidRPr="003A4AA6">
              <w:rPr>
                <w:rFonts w:ascii="Times New Roman" w:eastAsia="Times New Roman" w:hAnsi="Times New Roman"/>
                <w:sz w:val="24"/>
                <w:szCs w:val="24"/>
              </w:rPr>
              <w:t>редприятие за производство на храни“ е всяко предприятие със или без стопанска цел, обществено или частно, което извършва някоя от дейностите, свързани с който и да било етап на производство, преработка и разпространение на храни;</w:t>
            </w:r>
          </w:p>
          <w:p w:rsidR="003A4AA6" w:rsidRPr="003A4AA6" w:rsidRDefault="003A4AA6" w:rsidP="003A4AA6">
            <w:pPr>
              <w:spacing w:before="60" w:after="60" w:line="240" w:lineRule="auto"/>
              <w:rPr>
                <w:rFonts w:ascii="Times New Roman" w:eastAsia="Times New Roman" w:hAnsi="Times New Roman"/>
                <w:sz w:val="24"/>
                <w:szCs w:val="24"/>
              </w:rPr>
            </w:pPr>
          </w:p>
          <w:p w:rsidR="003A4AA6" w:rsidRPr="003A4AA6" w:rsidRDefault="003A4AA6" w:rsidP="003A4AA6">
            <w:pPr>
              <w:spacing w:before="60" w:after="60" w:line="240" w:lineRule="auto"/>
              <w:rPr>
                <w:rFonts w:ascii="Times New Roman" w:eastAsia="Times New Roman" w:hAnsi="Times New Roman"/>
                <w:smallCaps/>
                <w:sz w:val="24"/>
                <w:szCs w:val="24"/>
              </w:rPr>
            </w:pPr>
            <w:r w:rsidRPr="003A4AA6">
              <w:rPr>
                <w:rFonts w:ascii="Times New Roman" w:eastAsia="Times New Roman" w:hAnsi="Times New Roman"/>
                <w:smallCaps/>
                <w:sz w:val="24"/>
                <w:szCs w:val="24"/>
              </w:rPr>
              <w:t>Преходни и заключителни разпоредби</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към </w:t>
            </w:r>
            <w:r w:rsidRPr="003A4AA6">
              <w:rPr>
                <w:rFonts w:ascii="Times New Roman" w:eastAsia="Times New Roman" w:hAnsi="Times New Roman"/>
                <w:caps/>
                <w:sz w:val="24"/>
                <w:szCs w:val="24"/>
              </w:rPr>
              <w:t>з</w:t>
            </w:r>
            <w:r w:rsidRPr="003A4AA6">
              <w:rPr>
                <w:rFonts w:ascii="Times New Roman" w:eastAsia="Times New Roman" w:hAnsi="Times New Roman"/>
                <w:sz w:val="24"/>
                <w:szCs w:val="24"/>
              </w:rPr>
              <w:t xml:space="preserve">акона за изменение и допълнение на </w:t>
            </w:r>
            <w:r w:rsidRPr="003A4AA6">
              <w:rPr>
                <w:rFonts w:ascii="Times New Roman" w:eastAsia="Times New Roman" w:hAnsi="Times New Roman"/>
                <w:caps/>
                <w:sz w:val="24"/>
                <w:szCs w:val="24"/>
              </w:rPr>
              <w:t>з</w:t>
            </w:r>
            <w:r w:rsidRPr="003A4AA6">
              <w:rPr>
                <w:rFonts w:ascii="Times New Roman" w:eastAsia="Times New Roman" w:hAnsi="Times New Roman"/>
                <w:sz w:val="24"/>
                <w:szCs w:val="24"/>
              </w:rPr>
              <w:t>акона за храните</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56. В едномесечен срок от влизането в сила на този закон Министерството на икономиката предоставя регистъра на предприятията за производство на храни и документацията към него на органите по чл. 12, ал. 2.</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(Предприятия за производство на храни съгласно определението в член 3, точка 2 от Регламент (ЕО) № 178/2002 на Европейския парламент и на Съвета</w:t>
            </w:r>
            <w:hyperlink r:id="rId40" w:anchor="ntr3-L_2022333BG.01014801-E0003"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3</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които се занимават с дистрибуция на едро и индустриално производство и преработване)</w:t>
            </w:r>
          </w:p>
        </w:tc>
      </w:tr>
      <w:tr w:rsidR="003A4AA6" w:rsidRPr="003A4AA6" w:rsidTr="004D33C4">
        <w:tc>
          <w:tcPr>
            <w:tcW w:w="933" w:type="pct"/>
            <w:vMerge w:val="restar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12"/>
              <w:gridCol w:w="1693"/>
            </w:tblGrid>
            <w:tr w:rsidR="003A4AA6" w:rsidRPr="003A4AA6" w:rsidTr="004D33C4">
              <w:tc>
                <w:tcPr>
                  <w:tcW w:w="21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5.</w:t>
                  </w:r>
                </w:p>
              </w:tc>
              <w:tc>
                <w:tcPr>
                  <w:tcW w:w="171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Производство</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556" w:type="pct"/>
              <w:tblLayout w:type="fixed"/>
              <w:tblCellMar>
                <w:left w:w="0" w:type="dxa"/>
                <w:right w:w="0" w:type="dxa"/>
              </w:tblCellMar>
              <w:tblLook w:val="00A0" w:firstRow="1" w:lastRow="0" w:firstColumn="1" w:lastColumn="0" w:noHBand="0" w:noVBand="0"/>
            </w:tblPr>
            <w:tblGrid>
              <w:gridCol w:w="246"/>
              <w:gridCol w:w="1492"/>
            </w:tblGrid>
            <w:tr w:rsidR="003A4AA6" w:rsidRPr="003A4AA6" w:rsidTr="004D33C4">
              <w:trPr>
                <w:trHeight w:val="2212"/>
              </w:trPr>
              <w:tc>
                <w:tcPr>
                  <w:tcW w:w="25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а)</w:t>
                  </w:r>
                </w:p>
              </w:tc>
              <w:tc>
                <w:tcPr>
                  <w:tcW w:w="154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медицински изделия и медицински изделия за инвитро диагностика</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 Закон за медицинските изделия </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Чл. 2. (1) В зависимост от предназначеното от производителя действие медицинските изделия се разделят на:</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1. инвитро диагностични медицински изделия;</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2. активни имплантируеми медицински изделия;</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3. медицински изделия, различни от посочените в т. 1 и 2.</w:t>
            </w:r>
          </w:p>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(Субекти, произвеждащи медицински изделия съгласно определението в член 2, точка 1 от Регламент (ЕС) 2017/745 на Европейския парламент и на Съвета</w:t>
            </w:r>
            <w:hyperlink r:id="rId41" w:anchor="ntr4-L_2022333BG.01014801-E0004"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4</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xml:space="preserve">, и субекти, произвеждащи медицински изделия за инвитро диагностика </w:t>
            </w:r>
            <w:r w:rsidRPr="003A4AA6">
              <w:rPr>
                <w:rFonts w:ascii="Times New Roman" w:eastAsia="Times New Roman" w:hAnsi="Times New Roman"/>
                <w:sz w:val="24"/>
                <w:szCs w:val="24"/>
              </w:rPr>
              <w:lastRenderedPageBreak/>
              <w:t>съгласно определението в член 2, точка 2 от Регламент (ЕС) 2017/746 на Европейския парламент и на Съвета</w:t>
            </w:r>
            <w:hyperlink r:id="rId42" w:anchor="ntr5-L_2022333BG.01014801-E0005" w:history="1">
              <w:r w:rsidRPr="003A4AA6">
                <w:rPr>
                  <w:rFonts w:ascii="Times New Roman" w:eastAsia="Times New Roman" w:hAnsi="Times New Roman"/>
                  <w:sz w:val="24"/>
                  <w:szCs w:val="24"/>
                </w:rPr>
                <w:t> (</w:t>
              </w:r>
              <w:r w:rsidRPr="003A4AA6">
                <w:rPr>
                  <w:rFonts w:ascii="Times New Roman" w:eastAsia="Times New Roman" w:hAnsi="Times New Roman"/>
                  <w:sz w:val="24"/>
                  <w:szCs w:val="24"/>
                  <w:vertAlign w:val="superscript"/>
                </w:rPr>
                <w:t>5</w:t>
              </w:r>
              <w:r w:rsidRPr="003A4AA6">
                <w:rPr>
                  <w:rFonts w:ascii="Times New Roman" w:eastAsia="Times New Roman" w:hAnsi="Times New Roman"/>
                  <w:sz w:val="24"/>
                  <w:szCs w:val="24"/>
                </w:rPr>
                <w:t>)</w:t>
              </w:r>
            </w:hyperlink>
            <w:r w:rsidRPr="003A4AA6">
              <w:rPr>
                <w:rFonts w:ascii="Times New Roman" w:eastAsia="Times New Roman" w:hAnsi="Times New Roman"/>
                <w:sz w:val="24"/>
                <w:szCs w:val="24"/>
              </w:rPr>
              <w:t>, с изключение на субектите, произвеждащи медицински изделия съгласно определението в приложение I, точка 5, пето тире от настоящата директива)</w:t>
            </w: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792" w:type="pct"/>
              <w:tblLayout w:type="fixed"/>
              <w:tblCellMar>
                <w:left w:w="0" w:type="dxa"/>
                <w:right w:w="0" w:type="dxa"/>
              </w:tblCellMar>
              <w:tblLook w:val="00A0" w:firstRow="1" w:lastRow="0" w:firstColumn="1" w:lastColumn="0" w:noHBand="0" w:noVBand="0"/>
            </w:tblPr>
            <w:tblGrid>
              <w:gridCol w:w="259"/>
              <w:gridCol w:w="1569"/>
            </w:tblGrid>
            <w:tr w:rsidR="003A4AA6" w:rsidRPr="003A4AA6" w:rsidTr="004D33C4">
              <w:trPr>
                <w:trHeight w:val="1463"/>
              </w:trPr>
              <w:tc>
                <w:tcPr>
                  <w:tcW w:w="26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б)</w:t>
                  </w:r>
                </w:p>
              </w:tc>
              <w:tc>
                <w:tcPr>
                  <w:tcW w:w="1622"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компютри, електронни и оптични продукти</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240"/>
              <w:jc w:val="both"/>
              <w:rPr>
                <w:rFonts w:ascii="Times New Roman" w:eastAsia="Times New Roman" w:hAnsi="Times New Roman"/>
                <w:sz w:val="24"/>
                <w:szCs w:val="24"/>
              </w:rPr>
            </w:pPr>
            <w:r w:rsidRPr="003A4AA6">
              <w:rPr>
                <w:rFonts w:ascii="Times New Roman" w:eastAsia="Times New Roman" w:hAnsi="Times New Roman"/>
                <w:sz w:val="24"/>
                <w:szCs w:val="24"/>
              </w:rPr>
              <w:t>— Закон за административното регулиране на производството на оптични дискове и матрици</w:t>
            </w:r>
          </w:p>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някоя от икономическите дейности съгласно определението в раздел В, разделение 26 на NACE Rev. 2)</w:t>
            </w: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759" w:type="pct"/>
              <w:tblLayout w:type="fixed"/>
              <w:tblCellMar>
                <w:left w:w="0" w:type="dxa"/>
                <w:right w:w="0" w:type="dxa"/>
              </w:tblCellMar>
              <w:tblLook w:val="00A0" w:firstRow="1" w:lastRow="0" w:firstColumn="1" w:lastColumn="0" w:noHBand="0" w:noVBand="0"/>
            </w:tblPr>
            <w:tblGrid>
              <w:gridCol w:w="257"/>
              <w:gridCol w:w="1558"/>
            </w:tblGrid>
            <w:tr w:rsidR="003A4AA6" w:rsidRPr="003A4AA6" w:rsidTr="004D33C4">
              <w:trPr>
                <w:trHeight w:val="968"/>
              </w:trPr>
              <w:tc>
                <w:tcPr>
                  <w:tcW w:w="265"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в)</w:t>
                  </w:r>
                </w:p>
              </w:tc>
              <w:tc>
                <w:tcPr>
                  <w:tcW w:w="1611"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електрически съоръжения</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 xml:space="preserve">— сектор Производство на електрически съоръжения (код 27 по КИД-2008) </w:t>
            </w:r>
          </w:p>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Закон за енергетиката</w:t>
            </w:r>
          </w:p>
          <w:p w:rsidR="003A4AA6" w:rsidRPr="003A4AA6" w:rsidRDefault="003A4AA6" w:rsidP="003A4AA6">
            <w:pPr>
              <w:spacing w:before="60" w:after="60" w:line="240" w:lineRule="auto"/>
              <w:ind w:right="240"/>
              <w:jc w:val="both"/>
              <w:rPr>
                <w:rFonts w:ascii="Times New Roman" w:eastAsia="Times New Roman" w:hAnsi="Times New Roman"/>
                <w:sz w:val="24"/>
                <w:szCs w:val="24"/>
              </w:rPr>
            </w:pPr>
            <w:r w:rsidRPr="003A4AA6">
              <w:rPr>
                <w:rFonts w:ascii="Times New Roman" w:eastAsia="Times New Roman" w:hAnsi="Times New Roman"/>
                <w:sz w:val="24"/>
                <w:szCs w:val="24"/>
              </w:rPr>
              <w:t>Чл. 1. (Доп. - ДВ, бр. 74 от 2006 г., в сила от 08.09.2006 г.; изм. - ДВ, бр. 49 от 2007 г.; изм. - ДВ, бр. 54 от 2012 г., в сила от 17.07.2012 г.; доп. - ДВ, бр. 11 от 2023 г.) Този закон урежда обществените отношения, свързани с осъществяването на дейностите по производство, внос и износ, пренос, разпределение, съхранение на електрическа и топлинна енергия и природен газ, пренос на нефт и нефтопродукти по тръбопроводи, търговия с електрическа и топлинна енергия и природен газ, както и правомощията на държавните органи по определянето на енергийната политика, регулирането и контрола.</w:t>
            </w:r>
          </w:p>
          <w:p w:rsidR="003A4AA6" w:rsidRPr="003A4AA6" w:rsidRDefault="003A4AA6" w:rsidP="003A4AA6">
            <w:pPr>
              <w:spacing w:before="60" w:after="60" w:line="240" w:lineRule="auto"/>
              <w:ind w:right="240"/>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някоя от икономическите дейности съгласно определението в раздел В, разделение 27 на NACE Rev. 2)</w:t>
            </w: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734" w:type="pct"/>
              <w:tblLayout w:type="fixed"/>
              <w:tblCellMar>
                <w:left w:w="0" w:type="dxa"/>
                <w:right w:w="0" w:type="dxa"/>
              </w:tblCellMar>
              <w:tblLook w:val="00A0" w:firstRow="1" w:lastRow="0" w:firstColumn="1" w:lastColumn="0" w:noHBand="0" w:noVBand="0"/>
            </w:tblPr>
            <w:tblGrid>
              <w:gridCol w:w="256"/>
              <w:gridCol w:w="1550"/>
            </w:tblGrid>
            <w:tr w:rsidR="003A4AA6" w:rsidRPr="003A4AA6" w:rsidTr="004D33C4">
              <w:trPr>
                <w:trHeight w:val="1428"/>
              </w:trPr>
              <w:tc>
                <w:tcPr>
                  <w:tcW w:w="264"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г)</w:t>
                  </w:r>
                </w:p>
              </w:tc>
              <w:tc>
                <w:tcPr>
                  <w:tcW w:w="1602"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машини и оборудване, некласифици-рани другаде</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240"/>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някоя от икономическите дейности съгласно определението в раздел В, разделение 28 на NACE Rev. 2)</w:t>
            </w: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701" w:type="pct"/>
              <w:tblLayout w:type="fixed"/>
              <w:tblCellMar>
                <w:left w:w="0" w:type="dxa"/>
                <w:right w:w="0" w:type="dxa"/>
              </w:tblCellMar>
              <w:tblLook w:val="00A0" w:firstRow="1" w:lastRow="0" w:firstColumn="1" w:lastColumn="0" w:noHBand="0" w:noVBand="0"/>
            </w:tblPr>
            <w:tblGrid>
              <w:gridCol w:w="254"/>
              <w:gridCol w:w="1539"/>
            </w:tblGrid>
            <w:tr w:rsidR="003A4AA6" w:rsidRPr="003A4AA6" w:rsidTr="004D33C4">
              <w:trPr>
                <w:trHeight w:val="1553"/>
              </w:trPr>
              <w:tc>
                <w:tcPr>
                  <w:tcW w:w="26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w:t>
                  </w:r>
                </w:p>
              </w:tc>
              <w:tc>
                <w:tcPr>
                  <w:tcW w:w="1591"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моторни превозни средства, ремаркета и полуремаркета</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99"/>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някоя от икономическите дейности съгласно определението в раздел В, разделение 29 на NACE Rev. 2)</w:t>
            </w: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tbl>
            <w:tblPr>
              <w:tblW w:w="4437" w:type="pct"/>
              <w:tblLayout w:type="fixed"/>
              <w:tblCellMar>
                <w:left w:w="0" w:type="dxa"/>
                <w:right w:w="0" w:type="dxa"/>
              </w:tblCellMar>
              <w:tblLook w:val="00A0" w:firstRow="1" w:lastRow="0" w:firstColumn="1" w:lastColumn="0" w:noHBand="0" w:noVBand="0"/>
            </w:tblPr>
            <w:tblGrid>
              <w:gridCol w:w="239"/>
              <w:gridCol w:w="1453"/>
            </w:tblGrid>
            <w:tr w:rsidR="003A4AA6" w:rsidRPr="003A4AA6" w:rsidTr="004D33C4">
              <w:trPr>
                <w:trHeight w:val="1128"/>
              </w:trPr>
              <w:tc>
                <w:tcPr>
                  <w:tcW w:w="247"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е)</w:t>
                  </w:r>
                </w:p>
              </w:tc>
              <w:tc>
                <w:tcPr>
                  <w:tcW w:w="1502" w:type="dxa"/>
                </w:tcPr>
                <w:p w:rsidR="003A4AA6" w:rsidRPr="003A4AA6" w:rsidRDefault="003A4AA6" w:rsidP="003A4AA6">
                  <w:pPr>
                    <w:spacing w:before="120" w:after="0" w:line="240" w:lineRule="auto"/>
                    <w:rPr>
                      <w:rFonts w:ascii="Times New Roman" w:eastAsia="Times New Roman" w:hAnsi="Times New Roman"/>
                      <w:sz w:val="24"/>
                      <w:szCs w:val="24"/>
                    </w:rPr>
                  </w:pPr>
                  <w:r w:rsidRPr="003A4AA6">
                    <w:rPr>
                      <w:rFonts w:ascii="Times New Roman" w:eastAsia="Times New Roman" w:hAnsi="Times New Roman"/>
                      <w:sz w:val="24"/>
                      <w:szCs w:val="24"/>
                    </w:rPr>
                    <w:t>Производство на друго транспортно оборудване</w:t>
                  </w:r>
                </w:p>
              </w:tc>
            </w:tr>
          </w:tbl>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ind w:right="240"/>
              <w:jc w:val="both"/>
              <w:rPr>
                <w:rFonts w:ascii="Times New Roman" w:eastAsia="Times New Roman" w:hAnsi="Times New Roman"/>
                <w:sz w:val="24"/>
                <w:szCs w:val="24"/>
              </w:rPr>
            </w:pPr>
            <w:r w:rsidRPr="003A4AA6">
              <w:rPr>
                <w:rFonts w:ascii="Times New Roman" w:eastAsia="Times New Roman" w:hAnsi="Times New Roman"/>
                <w:sz w:val="24"/>
                <w:szCs w:val="24"/>
              </w:rPr>
              <w:t>(Предприятия, извършващи някоя от икономическите дейности съгласно определението в раздел В, разделение 30 на NACE Rev. 2)</w:t>
            </w:r>
          </w:p>
        </w:tc>
      </w:tr>
      <w:tr w:rsidR="003A4AA6" w:rsidRPr="003A4AA6" w:rsidTr="004D33C4">
        <w:tc>
          <w:tcPr>
            <w:tcW w:w="933" w:type="pct"/>
            <w:vMerge w:val="restart"/>
            <w:tcBorders>
              <w:top w:val="single" w:sz="6" w:space="0" w:color="000000"/>
              <w:bottom w:val="single" w:sz="6" w:space="0" w:color="000000"/>
              <w:right w:val="single" w:sz="6" w:space="0" w:color="000000"/>
            </w:tcBorders>
          </w:tcPr>
          <w:tbl>
            <w:tblPr>
              <w:tblW w:w="4822" w:type="pct"/>
              <w:tblLayout w:type="fixed"/>
              <w:tblCellMar>
                <w:left w:w="0" w:type="dxa"/>
                <w:right w:w="0" w:type="dxa"/>
              </w:tblCellMar>
              <w:tblLook w:val="00A0" w:firstRow="1" w:lastRow="0" w:firstColumn="1" w:lastColumn="0" w:noHBand="0" w:noVBand="0"/>
            </w:tblPr>
            <w:tblGrid>
              <w:gridCol w:w="303"/>
              <w:gridCol w:w="1534"/>
            </w:tblGrid>
            <w:tr w:rsidR="003A4AA6" w:rsidRPr="003A4AA6" w:rsidTr="004D33C4">
              <w:trPr>
                <w:trHeight w:val="749"/>
              </w:trPr>
              <w:tc>
                <w:tcPr>
                  <w:tcW w:w="313"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6.</w:t>
                  </w:r>
                </w:p>
              </w:tc>
              <w:tc>
                <w:tcPr>
                  <w:tcW w:w="158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цифрови услуги</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vMerge w:val="restar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w:t>
            </w:r>
          </w:p>
        </w:tc>
        <w:tc>
          <w:tcPr>
            <w:tcW w:w="3133"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49"/>
              <w:gridCol w:w="6083"/>
            </w:tblGrid>
            <w:tr w:rsidR="003A4AA6" w:rsidRPr="003A4AA6" w:rsidTr="004D33C4">
              <w:tc>
                <w:tcPr>
                  <w:tcW w:w="32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560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онлайн места за търговия</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436"/>
              <w:gridCol w:w="5996"/>
            </w:tblGrid>
            <w:tr w:rsidR="003A4AA6" w:rsidRPr="003A4AA6" w:rsidTr="004D33C4">
              <w:tc>
                <w:tcPr>
                  <w:tcW w:w="402"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5526"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онлайн търсачки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933" w:type="pct"/>
            <w:vMerge/>
            <w:tcBorders>
              <w:top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934" w:type="pct"/>
            <w:vMerge/>
            <w:tcBorders>
              <w:top w:val="single" w:sz="6" w:space="0" w:color="000000"/>
              <w:left w:val="single" w:sz="6" w:space="0" w:color="000000"/>
              <w:bottom w:val="single" w:sz="6" w:space="0" w:color="000000"/>
              <w:right w:val="single" w:sz="6" w:space="0" w:color="000000"/>
            </w:tcBorders>
            <w:vAlign w:val="center"/>
          </w:tcPr>
          <w:p w:rsidR="003A4AA6" w:rsidRPr="003A4AA6" w:rsidRDefault="003A4AA6" w:rsidP="003A4AA6">
            <w:pPr>
              <w:spacing w:after="0" w:line="240" w:lineRule="auto"/>
              <w:rPr>
                <w:rFonts w:ascii="Times New Roman" w:eastAsia="Times New Roman" w:hAnsi="Times New Roman"/>
                <w:sz w:val="24"/>
                <w:szCs w:val="24"/>
              </w:rPr>
            </w:pPr>
          </w:p>
        </w:tc>
        <w:tc>
          <w:tcPr>
            <w:tcW w:w="3133" w:type="pct"/>
            <w:tcBorders>
              <w:top w:val="single" w:sz="6" w:space="0" w:color="000000"/>
              <w:left w:val="single" w:sz="6" w:space="0" w:color="000000"/>
              <w:bottom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260"/>
              <w:gridCol w:w="6172"/>
            </w:tblGrid>
            <w:tr w:rsidR="003A4AA6" w:rsidRPr="003A4AA6" w:rsidTr="004D33C4">
              <w:tc>
                <w:tcPr>
                  <w:tcW w:w="240"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w:t>
                  </w:r>
                </w:p>
              </w:tc>
              <w:tc>
                <w:tcPr>
                  <w:tcW w:w="568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Доставчици на платформи на услуги за социални мрежи</w:t>
                  </w:r>
                </w:p>
              </w:tc>
            </w:tr>
          </w:tbl>
          <w:p w:rsidR="003A4AA6" w:rsidRPr="003A4AA6" w:rsidRDefault="003A4AA6" w:rsidP="003A4AA6">
            <w:pPr>
              <w:spacing w:after="0" w:line="240" w:lineRule="auto"/>
              <w:rPr>
                <w:rFonts w:ascii="Times New Roman" w:eastAsia="Times New Roman" w:hAnsi="Times New Roman"/>
                <w:sz w:val="24"/>
                <w:szCs w:val="24"/>
              </w:rPr>
            </w:pPr>
          </w:p>
        </w:tc>
      </w:tr>
      <w:tr w:rsidR="003A4AA6" w:rsidRPr="003A4AA6" w:rsidTr="004D33C4">
        <w:tc>
          <w:tcPr>
            <w:tcW w:w="933" w:type="pct"/>
            <w:tcBorders>
              <w:top w:val="single" w:sz="6" w:space="0" w:color="000000"/>
              <w:bottom w:val="single" w:sz="6" w:space="0" w:color="000000"/>
              <w:right w:val="single" w:sz="6" w:space="0" w:color="000000"/>
            </w:tcBorders>
          </w:tcPr>
          <w:tbl>
            <w:tblPr>
              <w:tblW w:w="5000" w:type="pct"/>
              <w:tblLayout w:type="fixed"/>
              <w:tblCellMar>
                <w:left w:w="0" w:type="dxa"/>
                <w:right w:w="0" w:type="dxa"/>
              </w:tblCellMar>
              <w:tblLook w:val="00A0" w:firstRow="1" w:lastRow="0" w:firstColumn="1" w:lastColumn="0" w:noHBand="0" w:noVBand="0"/>
            </w:tblPr>
            <w:tblGrid>
              <w:gridCol w:w="314"/>
              <w:gridCol w:w="1591"/>
            </w:tblGrid>
            <w:tr w:rsidR="003A4AA6" w:rsidRPr="003A4AA6" w:rsidTr="004D33C4">
              <w:tc>
                <w:tcPr>
                  <w:tcW w:w="27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7.</w:t>
                  </w:r>
                </w:p>
              </w:tc>
              <w:tc>
                <w:tcPr>
                  <w:tcW w:w="1408" w:type="dxa"/>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t xml:space="preserve">Научни </w:t>
                  </w:r>
                  <w:r w:rsidRPr="003A4AA6">
                    <w:rPr>
                      <w:rFonts w:ascii="Times New Roman" w:eastAsia="Times New Roman" w:hAnsi="Times New Roman"/>
                      <w:sz w:val="24"/>
                      <w:szCs w:val="24"/>
                    </w:rPr>
                    <w:lastRenderedPageBreak/>
                    <w:t>изследвания</w:t>
                  </w:r>
                </w:p>
              </w:tc>
            </w:tr>
          </w:tbl>
          <w:p w:rsidR="003A4AA6" w:rsidRPr="003A4AA6" w:rsidRDefault="003A4AA6" w:rsidP="003A4AA6">
            <w:pPr>
              <w:spacing w:after="0" w:line="240" w:lineRule="auto"/>
              <w:rPr>
                <w:rFonts w:ascii="Times New Roman" w:eastAsia="Times New Roman" w:hAnsi="Times New Roman"/>
                <w:sz w:val="24"/>
                <w:szCs w:val="24"/>
              </w:rPr>
            </w:pPr>
          </w:p>
        </w:tc>
        <w:tc>
          <w:tcPr>
            <w:tcW w:w="934" w:type="pct"/>
            <w:tcBorders>
              <w:top w:val="single" w:sz="6" w:space="0" w:color="000000"/>
              <w:left w:val="single" w:sz="6" w:space="0" w:color="000000"/>
              <w:bottom w:val="single" w:sz="6" w:space="0" w:color="000000"/>
              <w:right w:val="single" w:sz="6" w:space="0" w:color="000000"/>
            </w:tcBorders>
          </w:tcPr>
          <w:p w:rsidR="003A4AA6" w:rsidRPr="003A4AA6" w:rsidRDefault="003A4AA6" w:rsidP="003A4AA6">
            <w:pPr>
              <w:spacing w:before="120" w:after="0" w:line="240" w:lineRule="auto"/>
              <w:jc w:val="both"/>
              <w:rPr>
                <w:rFonts w:ascii="Times New Roman" w:eastAsia="Times New Roman" w:hAnsi="Times New Roman"/>
                <w:sz w:val="24"/>
                <w:szCs w:val="24"/>
              </w:rPr>
            </w:pPr>
            <w:r w:rsidRPr="003A4AA6">
              <w:rPr>
                <w:rFonts w:ascii="Times New Roman" w:eastAsia="Times New Roman" w:hAnsi="Times New Roman"/>
                <w:sz w:val="24"/>
                <w:szCs w:val="24"/>
              </w:rPr>
              <w:lastRenderedPageBreak/>
              <w:t> </w:t>
            </w:r>
          </w:p>
        </w:tc>
        <w:tc>
          <w:tcPr>
            <w:tcW w:w="3133" w:type="pct"/>
            <w:tcBorders>
              <w:top w:val="single" w:sz="6" w:space="0" w:color="000000"/>
              <w:left w:val="single" w:sz="6" w:space="0" w:color="000000"/>
              <w:bottom w:val="single" w:sz="6" w:space="0" w:color="000000"/>
            </w:tcBorders>
          </w:tcPr>
          <w:p w:rsidR="003A4AA6" w:rsidRPr="003A4AA6" w:rsidRDefault="003A4AA6" w:rsidP="003A4AA6">
            <w:pPr>
              <w:spacing w:before="60" w:after="60" w:line="240" w:lineRule="auto"/>
              <w:rPr>
                <w:rFonts w:ascii="Times New Roman" w:eastAsia="Times New Roman" w:hAnsi="Times New Roman"/>
                <w:sz w:val="24"/>
                <w:szCs w:val="24"/>
              </w:rPr>
            </w:pPr>
            <w:r w:rsidRPr="003A4AA6">
              <w:rPr>
                <w:rFonts w:ascii="Times New Roman" w:eastAsia="Times New Roman" w:hAnsi="Times New Roman"/>
                <w:sz w:val="24"/>
                <w:szCs w:val="24"/>
              </w:rPr>
              <w:t>(Научноизследователски организации)</w:t>
            </w:r>
          </w:p>
        </w:tc>
      </w:tr>
    </w:tbl>
    <w:p w:rsidR="003A4AA6" w:rsidRPr="003A4AA6" w:rsidRDefault="003A4AA6" w:rsidP="003A4AA6">
      <w:pPr>
        <w:shd w:val="clear" w:color="auto" w:fill="FFFFFF"/>
        <w:spacing w:after="0" w:line="240" w:lineRule="auto"/>
        <w:ind w:left="7920" w:right="-239" w:firstLine="709"/>
        <w:jc w:val="both"/>
        <w:rPr>
          <w:rFonts w:ascii="Times New Roman" w:eastAsia="Times New Roman" w:hAnsi="Times New Roman"/>
          <w:sz w:val="24"/>
          <w:szCs w:val="24"/>
          <w:shd w:val="clear" w:color="auto" w:fill="FFFFFF"/>
        </w:rPr>
      </w:pPr>
      <w:r w:rsidRPr="003A4AA6">
        <w:rPr>
          <w:rFonts w:ascii="Times New Roman" w:eastAsia="Times New Roman" w:hAnsi="Times New Roman"/>
          <w:sz w:val="24"/>
          <w:szCs w:val="24"/>
          <w:shd w:val="clear" w:color="auto" w:fill="FFFFFF"/>
        </w:rPr>
        <w:t xml:space="preserve">      „</w:t>
      </w:r>
    </w:p>
    <w:p w:rsidR="003A4AA6" w:rsidRPr="003A4AA6" w:rsidRDefault="003A4AA6" w:rsidP="003A4AA6">
      <w:pPr>
        <w:shd w:val="clear" w:color="auto" w:fill="FFFFFF"/>
        <w:spacing w:after="0" w:line="240" w:lineRule="auto"/>
        <w:ind w:firstLine="709"/>
        <w:jc w:val="both"/>
        <w:rPr>
          <w:rFonts w:ascii="Times New Roman" w:eastAsia="Times New Roman" w:hAnsi="Times New Roman"/>
          <w:sz w:val="24"/>
          <w:szCs w:val="24"/>
          <w:shd w:val="clear" w:color="auto" w:fill="FFFFFF"/>
        </w:rPr>
      </w:pPr>
    </w:p>
    <w:p w:rsidR="003A4AA6" w:rsidRPr="003A4AA6" w:rsidRDefault="003A4AA6" w:rsidP="003A4AA6">
      <w:pPr>
        <w:shd w:val="clear" w:color="auto" w:fill="FFFFFF"/>
        <w:spacing w:after="0" w:line="240" w:lineRule="auto"/>
        <w:ind w:firstLine="709"/>
        <w:jc w:val="both"/>
        <w:rPr>
          <w:rFonts w:ascii="Times New Roman" w:eastAsia="Times New Roman" w:hAnsi="Times New Roman"/>
          <w:sz w:val="24"/>
          <w:szCs w:val="24"/>
          <w:shd w:val="clear" w:color="auto" w:fill="FFFFFF"/>
        </w:rPr>
      </w:pPr>
    </w:p>
    <w:p w:rsidR="003A4AA6" w:rsidRPr="003A4AA6" w:rsidRDefault="003A4AA6" w:rsidP="003A4AA6">
      <w:pPr>
        <w:shd w:val="clear" w:color="auto" w:fill="FFFFFF"/>
        <w:spacing w:after="0" w:line="240" w:lineRule="auto"/>
        <w:jc w:val="center"/>
        <w:rPr>
          <w:rFonts w:ascii="NewSaturionCyr" w:eastAsia="Times New Roman" w:hAnsi="NewSaturionCyr"/>
          <w:b/>
          <w:sz w:val="24"/>
          <w:szCs w:val="24"/>
          <w:shd w:val="clear" w:color="auto" w:fill="FFFFFF"/>
        </w:rPr>
      </w:pPr>
      <w:r w:rsidRPr="003A4AA6">
        <w:rPr>
          <w:rFonts w:ascii="NewSaturionCyr" w:eastAsia="Times New Roman" w:hAnsi="NewSaturionCyr"/>
          <w:b/>
          <w:sz w:val="24"/>
          <w:szCs w:val="24"/>
          <w:shd w:val="clear" w:color="auto" w:fill="FFFFFF"/>
        </w:rPr>
        <w:t xml:space="preserve">ПРЕХОДНИ И ЗАКЛЮЧИТЕЛНИ РАЗПОРЕДБИ </w:t>
      </w:r>
    </w:p>
    <w:p w:rsidR="003A4AA6" w:rsidRPr="003A4AA6" w:rsidRDefault="003A4AA6" w:rsidP="003A4AA6">
      <w:pPr>
        <w:shd w:val="clear" w:color="auto" w:fill="FFFFFF"/>
        <w:spacing w:after="0" w:line="240" w:lineRule="auto"/>
        <w:jc w:val="center"/>
        <w:rPr>
          <w:rFonts w:ascii="NewSaturionCyr" w:eastAsia="Times New Roman" w:hAnsi="NewSaturionCyr"/>
          <w:b/>
          <w:sz w:val="8"/>
          <w:szCs w:val="8"/>
          <w:shd w:val="clear" w:color="auto" w:fill="FFFFFF"/>
        </w:rPr>
      </w:pPr>
    </w:p>
    <w:p w:rsidR="003A4AA6" w:rsidRPr="003A4AA6" w:rsidRDefault="003A4AA6" w:rsidP="003A4AA6">
      <w:pPr>
        <w:spacing w:before="12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35.</w:t>
      </w:r>
      <w:r w:rsidRPr="003A4AA6">
        <w:rPr>
          <w:rFonts w:ascii="Arial" w:eastAsia="Times New Roman" w:hAnsi="Arial" w:cs="Arial"/>
          <w:sz w:val="26"/>
          <w:szCs w:val="26"/>
          <w:shd w:val="clear" w:color="auto" w:fill="FFFFFF"/>
        </w:rPr>
        <w:t xml:space="preserve"> До 17 януари 2025 г. националните компетентни органи предоставят информацията по чл. 6 на министъра на електронното управление.</w:t>
      </w:r>
    </w:p>
    <w:p w:rsidR="003A4AA6" w:rsidRPr="003A4AA6" w:rsidRDefault="003A4AA6" w:rsidP="003A4AA6">
      <w:pPr>
        <w:spacing w:before="12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36.</w:t>
      </w:r>
      <w:r w:rsidRPr="003A4AA6">
        <w:rPr>
          <w:rFonts w:ascii="Arial" w:eastAsia="Times New Roman" w:hAnsi="Arial" w:cs="Arial"/>
          <w:sz w:val="26"/>
          <w:szCs w:val="26"/>
          <w:shd w:val="clear" w:color="auto" w:fill="FFFFFF"/>
        </w:rPr>
        <w:t xml:space="preserve"> До 17 април 2025 г. и на всеки две години Националното единно звено за контакт изпраща списък на съществените и важните субекти, както и на субекти, предоставящи услуги за регистрация на имена на домейни на Европейската комисия.</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37.</w:t>
      </w:r>
      <w:r w:rsidRPr="003A4AA6">
        <w:rPr>
          <w:rFonts w:ascii="Arial" w:eastAsia="Times New Roman" w:hAnsi="Arial" w:cs="Arial"/>
          <w:sz w:val="26"/>
          <w:szCs w:val="26"/>
          <w:shd w:val="clear" w:color="auto" w:fill="FFFFFF"/>
        </w:rPr>
        <w:t xml:space="preserve"> Министърът на електронното управление уведомява Европейската комисия за приетата </w:t>
      </w:r>
      <w:r w:rsidRPr="003A4AA6">
        <w:rPr>
          <w:rFonts w:ascii="Arial" w:eastAsia="Times New Roman" w:hAnsi="Arial" w:cs="Arial"/>
          <w:caps/>
          <w:sz w:val="26"/>
          <w:szCs w:val="26"/>
          <w:shd w:val="clear" w:color="auto" w:fill="FFFFFF"/>
        </w:rPr>
        <w:t>н</w:t>
      </w:r>
      <w:r w:rsidRPr="003A4AA6">
        <w:rPr>
          <w:rFonts w:ascii="Arial" w:eastAsia="Times New Roman" w:hAnsi="Arial" w:cs="Arial"/>
          <w:sz w:val="26"/>
          <w:szCs w:val="26"/>
          <w:shd w:val="clear" w:color="auto" w:fill="FFFFFF"/>
        </w:rPr>
        <w:t xml:space="preserve">ационална стратегия за киберсигурност в рамките на три месеца от приемането й. </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38.</w:t>
      </w:r>
      <w:r w:rsidRPr="003A4AA6">
        <w:rPr>
          <w:rFonts w:ascii="Arial" w:eastAsia="Times New Roman" w:hAnsi="Arial" w:cs="Arial"/>
          <w:sz w:val="26"/>
          <w:szCs w:val="26"/>
          <w:shd w:val="clear" w:color="auto" w:fill="FFFFFF"/>
        </w:rPr>
        <w:t xml:space="preserve"> В срок три месеца от определянето или създаването на орган за управление на киберкризи министърът на електронното управление уведомява Европейската комисия.</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39.</w:t>
      </w:r>
      <w:r w:rsidRPr="003A4AA6">
        <w:rPr>
          <w:rFonts w:ascii="Arial" w:eastAsia="Times New Roman" w:hAnsi="Arial" w:cs="Arial"/>
          <w:sz w:val="26"/>
          <w:szCs w:val="26"/>
          <w:shd w:val="clear" w:color="auto" w:fill="FFFFFF"/>
        </w:rPr>
        <w:t xml:space="preserve"> Най-късно до 17 януари 2025 г. министърът на електронното управление нотифицира на Европейската комисия административнонаказателните разпоредби на този закон, както и последващите изменения в тях.</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40.</w:t>
      </w:r>
      <w:r w:rsidRPr="003A4AA6">
        <w:rPr>
          <w:rFonts w:ascii="Arial" w:eastAsia="Times New Roman" w:hAnsi="Arial" w:cs="Arial"/>
          <w:sz w:val="26"/>
          <w:szCs w:val="26"/>
          <w:shd w:val="clear" w:color="auto" w:fill="FFFFFF"/>
        </w:rPr>
        <w:t xml:space="preserve"> Министерският съвет: </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1. В срок до три месеца от влизането в сила на закона определя с решение административните органи по чл. 16, ал. 1 и приема методиката по чл. 16, ал. 3, т. 8.</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2. В срок до 8 месеца от влизането в сила на закона привежда наредбата по чл. 3, ал. 2 в съответствие с него.</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41.</w:t>
      </w:r>
      <w:r w:rsidRPr="003A4AA6">
        <w:rPr>
          <w:rFonts w:ascii="Arial" w:eastAsia="Times New Roman" w:hAnsi="Arial" w:cs="Arial"/>
          <w:sz w:val="26"/>
          <w:szCs w:val="26"/>
          <w:shd w:val="clear" w:color="auto" w:fill="FFFFFF"/>
        </w:rPr>
        <w:t xml:space="preserve"> Националните компетентни органи по чл. 16, ал. 1 в срок до 5 месеца от приемането на решението по § 40, т. 1 определят съществените и важните субекти и уведомяват министъра на електронното управление за това. </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42.</w:t>
      </w:r>
      <w:r w:rsidRPr="003A4AA6">
        <w:rPr>
          <w:rFonts w:ascii="Arial" w:eastAsia="Times New Roman" w:hAnsi="Arial" w:cs="Arial"/>
          <w:sz w:val="26"/>
          <w:szCs w:val="26"/>
          <w:shd w:val="clear" w:color="auto" w:fill="FFFFFF"/>
        </w:rPr>
        <w:t xml:space="preserve"> Министърът на енергетиката изгражда, поддържа и развива център за киберсигурност за нуждите на държавните предприятия в сектор „Енергетика“.</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43.</w:t>
      </w:r>
      <w:r w:rsidRPr="003A4AA6">
        <w:rPr>
          <w:rFonts w:ascii="Arial" w:eastAsia="Times New Roman" w:hAnsi="Arial" w:cs="Arial"/>
          <w:sz w:val="26"/>
          <w:szCs w:val="26"/>
          <w:shd w:val="clear" w:color="auto" w:fill="FFFFFF"/>
        </w:rPr>
        <w:t xml:space="preserve"> В Закона за електронните съобщения (обн., ДВ, бр. 41 от 2007 г.; изм. и доп., бр. 109 от 2007 г., бр. 36, 43 и 69 от 2008 г., бр. 17, 35, 37 и 42 от 2009 г.; Решение № 3 на Конституционния съд от 2009 г. – </w:t>
      </w:r>
      <w:r w:rsidRPr="003A4AA6">
        <w:rPr>
          <w:rFonts w:ascii="Arial" w:eastAsia="Times New Roman" w:hAnsi="Arial" w:cs="Arial"/>
          <w:sz w:val="26"/>
          <w:szCs w:val="26"/>
          <w:shd w:val="clear" w:color="auto" w:fill="FFFFFF"/>
        </w:rPr>
        <w:br/>
      </w:r>
      <w:r w:rsidRPr="003A4AA6">
        <w:rPr>
          <w:rFonts w:ascii="Arial" w:eastAsia="Times New Roman" w:hAnsi="Arial" w:cs="Arial"/>
          <w:sz w:val="26"/>
          <w:szCs w:val="26"/>
          <w:shd w:val="clear" w:color="auto" w:fill="FFFFFF"/>
        </w:rPr>
        <w:lastRenderedPageBreak/>
        <w:t xml:space="preserve">бр. 45 от 2009 г.; изм. и доп., бр. 82, 89 и 93 от 2009 г., бр. 12, 17, 27 и 97 от 2010 г., бр. 105 от 2011 г., бр. 38, 44 и 82 от 2012 г., бр. 15, 27, 28, 52, 66 и 70 от 2013 г., бр. 11, 53, 61 и 98 от 2014 г., бр. 14 от 2015 г.; Решение № 2 на Конституционния съд от 2015 г. – бр. 23 от 2015 г.; изм. и доп., </w:t>
      </w:r>
      <w:r w:rsidRPr="003A4AA6">
        <w:rPr>
          <w:rFonts w:ascii="Arial" w:eastAsia="Times New Roman" w:hAnsi="Arial" w:cs="Arial"/>
          <w:sz w:val="26"/>
          <w:szCs w:val="26"/>
          <w:shd w:val="clear" w:color="auto" w:fill="FFFFFF"/>
        </w:rPr>
        <w:br/>
        <w:t xml:space="preserve">бр. 24, 29, 61 и 79 от 2015 г., бр. 50, 95, 97 и 103 от 2016 г., бр. 58, 85 и 101 от 2017 г., бр. 7, 21, 28 и 77, 94 от 2018 г., бр. 17, 47, 74, 94 и 100 от 2019 г., бр. 28, 51, 62 и 69 от 2020 г.; Решение № 15 на Конституционния съд от 2020 г. – бр. 101 от 2020 г.; изм. и доп., бр. 105 от 2020 г., бр. 20 от 2021 г., бр. 22 и 32 от 2022 г., бр. 58 и 84 от 2023 г. и бр. 41 и 70 от </w:t>
      </w:r>
      <w:r w:rsidRPr="003A4AA6">
        <w:rPr>
          <w:rFonts w:ascii="Arial" w:eastAsia="Times New Roman" w:hAnsi="Arial" w:cs="Arial"/>
          <w:sz w:val="26"/>
          <w:szCs w:val="26"/>
          <w:shd w:val="clear" w:color="auto" w:fill="FFFFFF"/>
        </w:rPr>
        <w:br/>
        <w:t>2024 г.) се правят следните изменения и допълнения:</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1. В чл. 21 се създава ал. 6:</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„(6) Комисията е национален компетентен орган за субектите по чл. 4, т. 3, букви „а“ и „б“ и Приложение II, т. 1 от Закона за киберсигурност.“</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2. В чл. 30, ал. 1, т. 22 думите „като при необходимост си съдейства с компетентните органи по чл. 244а, ал. 3“ и запетаята пред тях се заличават.</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3. В чл. 73, ал. 4, т. 2, буква „г“ думите „глава петнадесета, раздел I“ се заменят със „Закона за киберсигурност“.</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4. В глава петнадесета:</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а) в наименованието думите „Сигурност на електронните съобщителни мрежи и услуги“ и запетаята след тях се заличават;</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sz w:val="26"/>
          <w:szCs w:val="26"/>
          <w:shd w:val="clear" w:color="auto" w:fill="FFFFFF"/>
        </w:rPr>
        <w:t>б) раздел I се отменя.</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44.</w:t>
      </w:r>
      <w:r w:rsidRPr="003A4AA6">
        <w:rPr>
          <w:rFonts w:ascii="Arial" w:eastAsia="Times New Roman" w:hAnsi="Arial" w:cs="Arial"/>
          <w:sz w:val="26"/>
          <w:szCs w:val="26"/>
          <w:shd w:val="clear" w:color="auto" w:fill="FFFFFF"/>
        </w:rPr>
        <w:t xml:space="preserve"> В Закона за електронното управление (обн., ДВ, бр. 46 от 2007 г.; изм. и доп., бр. 82 от 2009 г., бр. 20 от 2013 г., бр. 40 от 2014 г., бр. 13, 38, 50, 62 и 98 от 2016 г., бр. 88 и 94 от 2018 г., бр. 94 и 102 от 2019 г., бр. 69 и 85 от 2020 г., бр. 15 от 2022 г. и бр. 66 и 80 от 2023 г.), в </w:t>
      </w:r>
      <w:r w:rsidRPr="003A4AA6">
        <w:rPr>
          <w:rFonts w:ascii="Arial" w:eastAsia="Times New Roman" w:hAnsi="Arial" w:cs="Arial"/>
          <w:sz w:val="26"/>
          <w:szCs w:val="26"/>
          <w:shd w:val="clear" w:color="auto" w:fill="FFFFFF"/>
        </w:rPr>
        <w:br/>
        <w:t xml:space="preserve">§ 1, т. 42 от Допълнителните разпоредби думите „в компютърната сигурност“ се заменят със „с компютърната сигурност“, а думите </w:t>
      </w:r>
      <w:r w:rsidRPr="003A4AA6">
        <w:rPr>
          <w:rFonts w:ascii="Arial" w:eastAsia="Times New Roman" w:hAnsi="Arial" w:cs="Arial"/>
          <w:sz w:val="26"/>
          <w:szCs w:val="26"/>
          <w:shd w:val="clear" w:color="auto" w:fill="FFFFFF"/>
        </w:rPr>
        <w:br/>
        <w:t xml:space="preserve">„на чл. 17“ се заменят с „на чл. 19“. </w:t>
      </w:r>
    </w:p>
    <w:p w:rsidR="003A4AA6" w:rsidRPr="003A4AA6" w:rsidRDefault="003A4AA6" w:rsidP="003A4AA6">
      <w:pPr>
        <w:spacing w:before="80" w:after="0" w:line="288" w:lineRule="auto"/>
        <w:ind w:firstLine="1134"/>
        <w:jc w:val="both"/>
        <w:rPr>
          <w:rFonts w:ascii="Arial" w:eastAsia="Times New Roman" w:hAnsi="Arial" w:cs="Arial"/>
          <w:sz w:val="26"/>
          <w:szCs w:val="26"/>
          <w:shd w:val="clear" w:color="auto" w:fill="FFFFFF"/>
        </w:rPr>
      </w:pPr>
      <w:r w:rsidRPr="003A4AA6">
        <w:rPr>
          <w:rFonts w:ascii="Arial" w:eastAsia="Times New Roman" w:hAnsi="Arial" w:cs="Arial"/>
          <w:b/>
          <w:sz w:val="26"/>
          <w:szCs w:val="26"/>
          <w:shd w:val="clear" w:color="auto" w:fill="FFFFFF"/>
        </w:rPr>
        <w:t>§ 45.</w:t>
      </w:r>
      <w:r w:rsidRPr="003A4AA6">
        <w:rPr>
          <w:rFonts w:ascii="Arial" w:eastAsia="Times New Roman" w:hAnsi="Arial" w:cs="Arial"/>
          <w:sz w:val="26"/>
          <w:szCs w:val="26"/>
          <w:shd w:val="clear" w:color="auto" w:fill="FFFFFF"/>
        </w:rPr>
        <w:t xml:space="preserve"> До влизането в сила на наредбата по чл. 3, ал. 3 се прилагат Правилата за минимални изисквания на сигурност на обществените електронни съобщителни мрежи и услуги и методи за управление на риска за тяхната сигурност на Комисията за регулиране на съобщенията (Правилата). </w:t>
      </w:r>
    </w:p>
    <w:p w:rsidR="003A4AA6" w:rsidRPr="003A4AA6" w:rsidRDefault="003A4AA6" w:rsidP="003A4AA6">
      <w:pPr>
        <w:spacing w:before="120" w:after="0" w:line="288" w:lineRule="auto"/>
        <w:ind w:firstLine="1134"/>
        <w:jc w:val="both"/>
        <w:rPr>
          <w:rFonts w:ascii="Arial" w:eastAsia="Times New Roman" w:hAnsi="Arial" w:cs="Arial"/>
          <w:sz w:val="26"/>
          <w:szCs w:val="26"/>
        </w:rPr>
      </w:pPr>
    </w:p>
    <w:p w:rsidR="003A4AA6" w:rsidRPr="003A4AA6" w:rsidRDefault="003A4AA6" w:rsidP="003A4AA6">
      <w:pPr>
        <w:spacing w:before="120" w:after="0" w:line="288" w:lineRule="auto"/>
        <w:ind w:firstLine="1134"/>
        <w:jc w:val="both"/>
        <w:rPr>
          <w:rFonts w:ascii="Arial" w:eastAsia="Times New Roman" w:hAnsi="Arial" w:cs="Arial"/>
          <w:b/>
          <w:sz w:val="26"/>
          <w:szCs w:val="26"/>
          <w:lang w:val="en-US"/>
        </w:rPr>
      </w:pPr>
      <w:r w:rsidRPr="003A4AA6">
        <w:rPr>
          <w:rFonts w:ascii="Arial" w:eastAsia="Times New Roman" w:hAnsi="Arial" w:cs="Arial"/>
          <w:sz w:val="26"/>
          <w:szCs w:val="26"/>
        </w:rPr>
        <w:lastRenderedPageBreak/>
        <w:t xml:space="preserve">Законът е приет от </w:t>
      </w:r>
      <w:r w:rsidRPr="003A4AA6">
        <w:rPr>
          <w:rFonts w:ascii="Arial" w:eastAsia="Times New Roman" w:hAnsi="Arial" w:cs="Arial"/>
          <w:sz w:val="26"/>
          <w:szCs w:val="26"/>
          <w:lang w:val="en-US"/>
        </w:rPr>
        <w:t>51-ото</w:t>
      </w:r>
      <w:r w:rsidRPr="003A4AA6">
        <w:rPr>
          <w:rFonts w:ascii="Arial" w:eastAsia="Times New Roman" w:hAnsi="Arial" w:cs="Arial"/>
          <w:sz w:val="26"/>
          <w:szCs w:val="26"/>
        </w:rPr>
        <w:t xml:space="preserve"> Народно събрание на ……………………. 2024 г. и е подпечатан с официалния печат на Народното събрание.</w:t>
      </w:r>
    </w:p>
    <w:p w:rsidR="003A4AA6" w:rsidRPr="003A4AA6" w:rsidRDefault="003A4AA6" w:rsidP="003A4AA6">
      <w:pPr>
        <w:spacing w:after="0" w:line="240" w:lineRule="auto"/>
        <w:jc w:val="both"/>
        <w:rPr>
          <w:rFonts w:ascii="NewSaturionCyr" w:eastAsia="Times New Roman" w:hAnsi="NewSaturionCyr"/>
          <w:b/>
          <w:sz w:val="26"/>
          <w:szCs w:val="20"/>
        </w:rPr>
      </w:pPr>
    </w:p>
    <w:p w:rsidR="003A4AA6" w:rsidRPr="003A4AA6" w:rsidRDefault="003A4AA6" w:rsidP="003A4AA6">
      <w:pPr>
        <w:spacing w:after="0" w:line="240" w:lineRule="auto"/>
        <w:jc w:val="both"/>
        <w:rPr>
          <w:rFonts w:ascii="NewSaturionCyr" w:eastAsia="Times New Roman" w:hAnsi="NewSaturionCyr"/>
          <w:b/>
          <w:sz w:val="26"/>
          <w:szCs w:val="20"/>
        </w:rPr>
      </w:pPr>
    </w:p>
    <w:p w:rsidR="003A4AA6" w:rsidRPr="003A4AA6" w:rsidRDefault="003A4AA6" w:rsidP="003A4AA6">
      <w:pPr>
        <w:spacing w:after="0" w:line="240" w:lineRule="auto"/>
        <w:ind w:firstLine="1134"/>
        <w:jc w:val="both"/>
        <w:rPr>
          <w:rFonts w:ascii="Times New Roman" w:eastAsia="Times New Roman" w:hAnsi="Times New Roman"/>
          <w:b/>
          <w:sz w:val="26"/>
          <w:szCs w:val="20"/>
        </w:rPr>
      </w:pPr>
      <w:r w:rsidRPr="003A4AA6">
        <w:rPr>
          <w:rFonts w:ascii="Times New Roman" w:eastAsia="Times New Roman" w:hAnsi="Times New Roman"/>
          <w:b/>
          <w:sz w:val="26"/>
          <w:szCs w:val="20"/>
        </w:rPr>
        <w:t>ПРЕДСЕДАТЕЛ НА</w:t>
      </w:r>
    </w:p>
    <w:p w:rsidR="003A4AA6" w:rsidRPr="003A4AA6" w:rsidRDefault="003A4AA6" w:rsidP="003A4AA6">
      <w:pPr>
        <w:spacing w:after="0" w:line="240" w:lineRule="auto"/>
        <w:ind w:firstLine="1134"/>
        <w:jc w:val="both"/>
        <w:rPr>
          <w:rFonts w:ascii="Times New Roman" w:eastAsia="Times New Roman" w:hAnsi="Times New Roman"/>
          <w:b/>
          <w:sz w:val="26"/>
          <w:szCs w:val="20"/>
        </w:rPr>
      </w:pPr>
      <w:r w:rsidRPr="003A4AA6">
        <w:rPr>
          <w:rFonts w:ascii="Times New Roman" w:eastAsia="Times New Roman" w:hAnsi="Times New Roman"/>
          <w:b/>
          <w:sz w:val="26"/>
          <w:szCs w:val="20"/>
        </w:rPr>
        <w:t>НАРОДНОТО СЪБРАНИЕ:</w:t>
      </w:r>
    </w:p>
    <w:p w:rsidR="003A4AA6" w:rsidRPr="003A4AA6" w:rsidRDefault="003A4AA6" w:rsidP="003A4AA6">
      <w:pPr>
        <w:spacing w:after="0" w:line="240" w:lineRule="auto"/>
        <w:ind w:firstLine="1134"/>
        <w:jc w:val="both"/>
        <w:rPr>
          <w:rFonts w:ascii="Times New Roman" w:eastAsia="Times New Roman" w:hAnsi="Times New Roman"/>
          <w:b/>
          <w:sz w:val="16"/>
          <w:szCs w:val="16"/>
        </w:rPr>
      </w:pPr>
    </w:p>
    <w:p w:rsidR="003A4AA6" w:rsidRPr="003A4AA6" w:rsidRDefault="003A4AA6" w:rsidP="003A4AA6">
      <w:pPr>
        <w:spacing w:after="0" w:line="240" w:lineRule="auto"/>
        <w:ind w:left="3600" w:firstLine="1134"/>
        <w:jc w:val="both"/>
        <w:rPr>
          <w:rFonts w:ascii="Times New Roman" w:eastAsia="Times New Roman" w:hAnsi="Times New Roman"/>
          <w:b/>
          <w:sz w:val="26"/>
          <w:szCs w:val="20"/>
        </w:rPr>
      </w:pPr>
      <w:r w:rsidRPr="003A4AA6">
        <w:rPr>
          <w:rFonts w:ascii="Times New Roman" w:eastAsia="Times New Roman" w:hAnsi="Times New Roman"/>
          <w:b/>
          <w:sz w:val="26"/>
          <w:szCs w:val="20"/>
        </w:rPr>
        <w:t>Наталия Киселова</w:t>
      </w: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Default="003A4AA6" w:rsidP="006705EC">
      <w:pPr>
        <w:tabs>
          <w:tab w:val="left" w:pos="1790"/>
        </w:tabs>
        <w:jc w:val="right"/>
        <w:rPr>
          <w:sz w:val="26"/>
          <w:szCs w:val="26"/>
        </w:rPr>
      </w:pPr>
    </w:p>
    <w:p w:rsidR="003A4AA6" w:rsidRPr="003A4AA6" w:rsidRDefault="003A4AA6" w:rsidP="003A4AA6">
      <w:pPr>
        <w:spacing w:after="0" w:line="240" w:lineRule="auto"/>
        <w:jc w:val="center"/>
        <w:rPr>
          <w:rFonts w:ascii="Times New Roman" w:eastAsia="Times New Roman" w:hAnsi="Times New Roman"/>
          <w:b/>
          <w:sz w:val="28"/>
          <w:szCs w:val="28"/>
        </w:rPr>
      </w:pPr>
    </w:p>
    <w:p w:rsidR="003A4AA6" w:rsidRPr="003A4AA6" w:rsidRDefault="003A4AA6" w:rsidP="003A4AA6">
      <w:pPr>
        <w:spacing w:after="0" w:line="240" w:lineRule="auto"/>
        <w:jc w:val="center"/>
        <w:rPr>
          <w:rFonts w:ascii="NewSaturionCyr" w:eastAsia="Times New Roman" w:hAnsi="NewSaturionCyr"/>
          <w:b/>
          <w:sz w:val="28"/>
          <w:szCs w:val="28"/>
        </w:rPr>
      </w:pPr>
      <w:r w:rsidRPr="003A4AA6">
        <w:rPr>
          <w:rFonts w:ascii="NewSaturionCyr" w:eastAsia="Times New Roman" w:hAnsi="NewSaturionCyr"/>
          <w:b/>
          <w:sz w:val="28"/>
          <w:szCs w:val="28"/>
        </w:rPr>
        <w:t>М  О  Т  И  В  И</w:t>
      </w:r>
    </w:p>
    <w:p w:rsidR="003A4AA6" w:rsidRPr="003A4AA6" w:rsidRDefault="003A4AA6" w:rsidP="003A4AA6">
      <w:pPr>
        <w:spacing w:after="0" w:line="240" w:lineRule="auto"/>
        <w:jc w:val="center"/>
        <w:rPr>
          <w:rFonts w:ascii="Times New Roman" w:eastAsia="Times New Roman" w:hAnsi="Times New Roman"/>
          <w:b/>
          <w:sz w:val="28"/>
          <w:szCs w:val="28"/>
        </w:rPr>
      </w:pPr>
    </w:p>
    <w:p w:rsidR="003A4AA6" w:rsidRPr="003A4AA6" w:rsidRDefault="003A4AA6" w:rsidP="003A4AA6">
      <w:pPr>
        <w:spacing w:after="0" w:line="288" w:lineRule="auto"/>
        <w:jc w:val="center"/>
        <w:rPr>
          <w:rFonts w:ascii="Arial" w:eastAsia="Times New Roman" w:hAnsi="Arial" w:cs="Arial"/>
          <w:b/>
          <w:sz w:val="26"/>
          <w:szCs w:val="26"/>
        </w:rPr>
      </w:pPr>
      <w:r w:rsidRPr="003A4AA6">
        <w:rPr>
          <w:rFonts w:ascii="Arial" w:eastAsia="Times New Roman" w:hAnsi="Arial" w:cs="Arial"/>
          <w:b/>
          <w:sz w:val="26"/>
          <w:szCs w:val="26"/>
        </w:rPr>
        <w:t>към проекта на Закон за изменение и допълнение на Закона за киберсигурност</w:t>
      </w:r>
    </w:p>
    <w:p w:rsidR="003A4AA6" w:rsidRPr="003A4AA6" w:rsidRDefault="003A4AA6" w:rsidP="003A4AA6">
      <w:pPr>
        <w:spacing w:after="0" w:line="288" w:lineRule="auto"/>
        <w:jc w:val="center"/>
        <w:rPr>
          <w:rFonts w:ascii="Arial" w:eastAsia="Times New Roman" w:hAnsi="Arial" w:cs="Arial"/>
          <w:b/>
          <w:sz w:val="26"/>
          <w:szCs w:val="26"/>
        </w:rPr>
      </w:pPr>
    </w:p>
    <w:p w:rsidR="003A4AA6" w:rsidRPr="003A4AA6" w:rsidRDefault="003A4AA6" w:rsidP="003A4AA6">
      <w:pPr>
        <w:spacing w:after="0" w:line="288" w:lineRule="auto"/>
        <w:jc w:val="center"/>
        <w:rPr>
          <w:rFonts w:ascii="Arial" w:eastAsia="Times New Roman" w:hAnsi="Arial" w:cs="Arial"/>
          <w:b/>
          <w:sz w:val="26"/>
          <w:szCs w:val="26"/>
        </w:rPr>
      </w:pPr>
    </w:p>
    <w:p w:rsidR="003A4AA6" w:rsidRPr="003A4AA6" w:rsidRDefault="003A4AA6" w:rsidP="003A4AA6">
      <w:pPr>
        <w:spacing w:after="0" w:line="360" w:lineRule="auto"/>
        <w:ind w:firstLine="1089"/>
        <w:jc w:val="both"/>
        <w:rPr>
          <w:rFonts w:ascii="Arial" w:eastAsia="Times New Roman" w:hAnsi="Arial" w:cs="Arial"/>
          <w:sz w:val="28"/>
          <w:szCs w:val="28"/>
        </w:rPr>
      </w:pPr>
      <w:r w:rsidRPr="003A4AA6">
        <w:rPr>
          <w:rFonts w:ascii="Arial" w:eastAsia="Times New Roman" w:hAnsi="Arial" w:cs="Arial"/>
          <w:sz w:val="28"/>
          <w:szCs w:val="28"/>
        </w:rPr>
        <w:t>Законопроектът (ЗИД на ЗКС) е изготвен в изпълнение на ангажиментите на Република България като държава - член на Европейския съюз, която следва да въведе в националното си законодателство до 17 октомври 2024 г. разпоредби и да създаде организация за изпълнението на Директива (ЕС) 2022/2555 на Европейския парламент и на Съвета от 14 декември 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(ОВ, L 333, 27.12.2022г.), наричана по-нататък „Директивата МИС 2”.</w:t>
      </w:r>
    </w:p>
    <w:p w:rsidR="003A4AA6" w:rsidRPr="003A4AA6" w:rsidRDefault="003A4AA6" w:rsidP="003A4AA6">
      <w:pPr>
        <w:spacing w:after="0" w:line="360" w:lineRule="auto"/>
        <w:ind w:firstLine="1089"/>
        <w:jc w:val="both"/>
        <w:rPr>
          <w:rFonts w:ascii="Arial" w:eastAsia="Times New Roman" w:hAnsi="Arial" w:cs="Arial"/>
          <w:sz w:val="28"/>
          <w:szCs w:val="28"/>
        </w:rPr>
      </w:pPr>
      <w:r w:rsidRPr="003A4AA6">
        <w:rPr>
          <w:rFonts w:ascii="Arial" w:eastAsia="Times New Roman" w:hAnsi="Arial" w:cs="Arial"/>
          <w:sz w:val="28"/>
          <w:szCs w:val="28"/>
        </w:rPr>
        <w:t xml:space="preserve">Директивата (ЕС) 2016/1148, транспонирана в българското законодателство чрез </w:t>
      </w:r>
      <w:r w:rsidRPr="003A4AA6">
        <w:rPr>
          <w:rFonts w:ascii="Arial" w:eastAsia="Times New Roman" w:hAnsi="Arial" w:cs="Arial"/>
          <w:caps/>
          <w:sz w:val="28"/>
          <w:szCs w:val="28"/>
        </w:rPr>
        <w:t>з</w:t>
      </w:r>
      <w:r w:rsidRPr="003A4AA6">
        <w:rPr>
          <w:rFonts w:ascii="Arial" w:eastAsia="Times New Roman" w:hAnsi="Arial" w:cs="Arial"/>
          <w:sz w:val="28"/>
          <w:szCs w:val="28"/>
        </w:rPr>
        <w:t>акона за киберсигурност, е първото всеобхватно законодателство в областта на мрежовата и информационна сигурност на ниво ЕС и предоставя хармонизирана правна основа за борба с киберинцидентите в целия ЕС. В България до приемането на Директива (ЕС) 2016/1148 нямаше съществуващ единен принцип на взаимодействие при киберинциденти и инциденти в мрежовата и информационната сигурност (МИС), както и цялостна система за взаимодействие на междуинституционално ниво и между държави - членки на ЕС, при случаи на инцидент с трансгранично значение и измерение.</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Директивата осигури завършването на националните рамки относно сигурността на мрежовите и информационните системи чрез създаването на национални стратегии за сигурност на </w:t>
      </w:r>
      <w:r w:rsidRPr="003A4AA6">
        <w:rPr>
          <w:rFonts w:ascii="Arial" w:eastAsia="Times New Roman" w:hAnsi="Arial" w:cs="Arial"/>
          <w:sz w:val="28"/>
          <w:szCs w:val="28"/>
        </w:rPr>
        <w:lastRenderedPageBreak/>
        <w:t>мрежовите и информационните системи и създаването на национални способности.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Същият ефект/резултат се констатира и в България след приемането на </w:t>
      </w:r>
      <w:r w:rsidRPr="003A4AA6">
        <w:rPr>
          <w:rFonts w:ascii="Arial" w:eastAsia="Times New Roman" w:hAnsi="Arial" w:cs="Arial"/>
          <w:caps/>
          <w:sz w:val="28"/>
          <w:szCs w:val="28"/>
        </w:rPr>
        <w:t>з</w:t>
      </w:r>
      <w:r w:rsidRPr="003A4AA6">
        <w:rPr>
          <w:rFonts w:ascii="Arial" w:eastAsia="Times New Roman" w:hAnsi="Arial" w:cs="Arial"/>
          <w:sz w:val="28"/>
          <w:szCs w:val="28"/>
        </w:rPr>
        <w:t>акона за киберсигурност, както следва:</w:t>
      </w:r>
    </w:p>
    <w:p w:rsidR="003A4AA6" w:rsidRPr="003A4AA6" w:rsidRDefault="003A4AA6" w:rsidP="003A4AA6">
      <w:pPr>
        <w:widowControl w:val="0"/>
        <w:numPr>
          <w:ilvl w:val="0"/>
          <w:numId w:val="26"/>
        </w:numPr>
        <w:tabs>
          <w:tab w:val="left" w:pos="260"/>
        </w:tabs>
        <w:spacing w:after="0" w:line="360" w:lineRule="auto"/>
        <w:ind w:firstLine="1086"/>
        <w:jc w:val="both"/>
        <w:rPr>
          <w:rFonts w:ascii="Arial" w:eastAsia="Times New Roman" w:hAnsi="Arial" w:cs="Arial"/>
          <w:sz w:val="28"/>
          <w:szCs w:val="28"/>
        </w:rPr>
      </w:pPr>
      <w:bookmarkStart w:id="2" w:name="bookmark0"/>
      <w:bookmarkEnd w:id="2"/>
      <w:r w:rsidRPr="003A4AA6">
        <w:rPr>
          <w:rFonts w:ascii="Arial" w:eastAsia="Times New Roman" w:hAnsi="Arial" w:cs="Arial"/>
          <w:caps/>
          <w:sz w:val="28"/>
          <w:szCs w:val="28"/>
        </w:rPr>
        <w:t>с</w:t>
      </w:r>
      <w:r w:rsidRPr="003A4AA6">
        <w:rPr>
          <w:rFonts w:ascii="Arial" w:eastAsia="Times New Roman" w:hAnsi="Arial" w:cs="Arial"/>
          <w:sz w:val="28"/>
          <w:szCs w:val="28"/>
        </w:rPr>
        <w:t>ъздаде се организацията, управлението и контролът на киберсигурността, определиха се компетентните органи в областта на киберсигурността, както и техните функции и правомощия, регламентираха се дейностите по предприемане на необходимите мерки за постигане на високо общо ниво на сигурност на мрежите и информационните системи като един основен стълб на киберсигурността, така че да се подобри функционирането на вътрешния пазар.</w:t>
      </w:r>
    </w:p>
    <w:p w:rsidR="003A4AA6" w:rsidRPr="003A4AA6" w:rsidRDefault="003A4AA6" w:rsidP="003A4AA6">
      <w:pPr>
        <w:widowControl w:val="0"/>
        <w:numPr>
          <w:ilvl w:val="0"/>
          <w:numId w:val="26"/>
        </w:numPr>
        <w:tabs>
          <w:tab w:val="left" w:pos="260"/>
        </w:tabs>
        <w:spacing w:after="0" w:line="360" w:lineRule="auto"/>
        <w:ind w:firstLine="1086"/>
        <w:jc w:val="both"/>
        <w:rPr>
          <w:rFonts w:ascii="Arial" w:eastAsia="Times New Roman" w:hAnsi="Arial" w:cs="Arial"/>
          <w:sz w:val="28"/>
          <w:szCs w:val="28"/>
        </w:rPr>
      </w:pPr>
      <w:bookmarkStart w:id="3" w:name="bookmark1"/>
      <w:bookmarkEnd w:id="3"/>
      <w:r w:rsidRPr="003A4AA6">
        <w:rPr>
          <w:rFonts w:ascii="Arial" w:eastAsia="Times New Roman" w:hAnsi="Arial" w:cs="Arial"/>
          <w:caps/>
          <w:sz w:val="28"/>
          <w:szCs w:val="28"/>
        </w:rPr>
        <w:t>с</w:t>
      </w:r>
      <w:r w:rsidRPr="003A4AA6">
        <w:rPr>
          <w:rFonts w:ascii="Arial" w:eastAsia="Times New Roman" w:hAnsi="Arial" w:cs="Arial"/>
          <w:sz w:val="28"/>
          <w:szCs w:val="28"/>
        </w:rPr>
        <w:t>ъздаде се институционалната рамка в областта на киберсигурността, превенцията и противодействието на кибератаките, насочена към по-голяма ефективност и по-добра координация между съществуващите органи и звена в публичната администрация.</w:t>
      </w:r>
    </w:p>
    <w:p w:rsidR="003A4AA6" w:rsidRPr="003A4AA6" w:rsidRDefault="003A4AA6" w:rsidP="003A4AA6">
      <w:pPr>
        <w:widowControl w:val="0"/>
        <w:numPr>
          <w:ilvl w:val="0"/>
          <w:numId w:val="26"/>
        </w:numPr>
        <w:tabs>
          <w:tab w:val="left" w:pos="260"/>
        </w:tabs>
        <w:spacing w:after="0" w:line="360" w:lineRule="auto"/>
        <w:ind w:firstLine="1086"/>
        <w:jc w:val="both"/>
        <w:rPr>
          <w:rFonts w:ascii="Arial" w:eastAsia="Times New Roman" w:hAnsi="Arial" w:cs="Arial"/>
          <w:sz w:val="28"/>
          <w:szCs w:val="28"/>
        </w:rPr>
      </w:pPr>
      <w:bookmarkStart w:id="4" w:name="bookmark2"/>
      <w:bookmarkEnd w:id="4"/>
      <w:r w:rsidRPr="003A4AA6">
        <w:rPr>
          <w:rFonts w:ascii="Arial" w:eastAsia="Times New Roman" w:hAnsi="Arial" w:cs="Arial"/>
          <w:sz w:val="28"/>
          <w:szCs w:val="28"/>
        </w:rPr>
        <w:t>Създаде се Национално единно звено за контакт, регламентира се управлението и организацията на националната система за киберсигурност, Националният координатор по киберсигурност, секторни екипи за реакция при инциденти в киберсигурността - ЕРИКС, както и Национален ЕРИКС, регламентираха се въпросите за междуинституционална взаимосвързаност и сътрудничество.</w:t>
      </w:r>
    </w:p>
    <w:p w:rsidR="003A4AA6" w:rsidRPr="003A4AA6" w:rsidRDefault="003A4AA6" w:rsidP="003A4AA6">
      <w:pPr>
        <w:widowControl w:val="0"/>
        <w:numPr>
          <w:ilvl w:val="0"/>
          <w:numId w:val="26"/>
        </w:numPr>
        <w:tabs>
          <w:tab w:val="left" w:pos="260"/>
        </w:tabs>
        <w:spacing w:after="0" w:line="360" w:lineRule="auto"/>
        <w:ind w:firstLine="1086"/>
        <w:jc w:val="both"/>
        <w:rPr>
          <w:rFonts w:ascii="Arial" w:eastAsia="Times New Roman" w:hAnsi="Arial" w:cs="Arial"/>
          <w:sz w:val="28"/>
          <w:szCs w:val="28"/>
        </w:rPr>
      </w:pPr>
      <w:bookmarkStart w:id="5" w:name="bookmark3"/>
      <w:bookmarkEnd w:id="5"/>
      <w:r w:rsidRPr="003A4AA6">
        <w:rPr>
          <w:rFonts w:ascii="Arial" w:eastAsia="Times New Roman" w:hAnsi="Arial" w:cs="Arial"/>
          <w:sz w:val="28"/>
          <w:szCs w:val="28"/>
        </w:rPr>
        <w:t xml:space="preserve">Регулацията на мрежовата и информационна сигурност на административните органи, изискванията към тях да осигуряват и да отговарят за мрежовата и информационната сигурност на използваните от тях информационни системи, също така - изскванията и стандартите за сигурност, на които трябва да </w:t>
      </w:r>
      <w:r w:rsidRPr="003A4AA6">
        <w:rPr>
          <w:rFonts w:ascii="Arial" w:eastAsia="Times New Roman" w:hAnsi="Arial" w:cs="Arial"/>
          <w:sz w:val="28"/>
          <w:szCs w:val="28"/>
        </w:rPr>
        <w:lastRenderedPageBreak/>
        <w:t>отговарят информационните системи за въвеждане, изпращане, обработка, достъп, обмен, съхраняване и архивиране на данни, както и общите мерки за сигурност, които трябва да предприемат.</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 </w:t>
      </w:r>
      <w:r w:rsidRPr="003A4AA6">
        <w:rPr>
          <w:rFonts w:ascii="Arial" w:eastAsia="Times New Roman" w:hAnsi="Arial" w:cs="Arial"/>
          <w:caps/>
          <w:sz w:val="28"/>
          <w:szCs w:val="28"/>
        </w:rPr>
        <w:t>о</w:t>
      </w:r>
      <w:r w:rsidRPr="003A4AA6">
        <w:rPr>
          <w:rFonts w:ascii="Arial" w:eastAsia="Times New Roman" w:hAnsi="Arial" w:cs="Arial"/>
          <w:sz w:val="28"/>
          <w:szCs w:val="28"/>
        </w:rPr>
        <w:t>пределен бе статутът и функционирането на операторите на съществени услуги (ОСУ) и на доставчиците на цифрови услуги (ДЦУ).</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Прегледът на Директива (ЕС) 2016/1148 обаче разкрива, че независимо от тези постижения, тя има и присъщи слабости, които пречат на намирането на ефективни решения за настоящите и възникващи предизвикателства в областта на киберсигурността. С Директива МИС2 се осъвременява съществуващата правна рамка, като се отчитат повишената цифровизация на вътрешния пазар през последните години и развиващата се картина на заплахите за киберсигурността и се разширява обхватът й.</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Основните разлики между предходната и новата Директива за NIS се състоят в:</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6" w:name="bookmark4"/>
      <w:bookmarkEnd w:id="6"/>
      <w:r w:rsidRPr="003A4AA6">
        <w:rPr>
          <w:rFonts w:ascii="Arial" w:eastAsia="Times New Roman" w:hAnsi="Arial" w:cs="Arial"/>
          <w:caps/>
          <w:sz w:val="28"/>
          <w:szCs w:val="28"/>
        </w:rPr>
        <w:t>о</w:t>
      </w:r>
      <w:r w:rsidRPr="003A4AA6">
        <w:rPr>
          <w:rFonts w:ascii="Arial" w:eastAsia="Times New Roman" w:hAnsi="Arial" w:cs="Arial"/>
          <w:sz w:val="28"/>
          <w:szCs w:val="28"/>
        </w:rPr>
        <w:t>тстраняване на разграничението „Оператори на основни услуги (OES)” и „Доставчици на цифрови услуги (DSP)”, залагайки на обектите като „Съществени” или „Важни”.</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7" w:name="bookmark5"/>
      <w:bookmarkEnd w:id="7"/>
      <w:r w:rsidRPr="003A4AA6">
        <w:rPr>
          <w:rFonts w:ascii="Arial" w:eastAsia="Times New Roman" w:hAnsi="Arial" w:cs="Arial"/>
          <w:sz w:val="28"/>
          <w:szCs w:val="28"/>
        </w:rPr>
        <w:t xml:space="preserve">Разширение на обхвата на </w:t>
      </w:r>
      <w:r w:rsidRPr="003A4AA6">
        <w:rPr>
          <w:rFonts w:ascii="Arial" w:eastAsia="Times New Roman" w:hAnsi="Arial" w:cs="Arial"/>
          <w:caps/>
          <w:sz w:val="28"/>
          <w:szCs w:val="28"/>
        </w:rPr>
        <w:t>д</w:t>
      </w:r>
      <w:r w:rsidRPr="003A4AA6">
        <w:rPr>
          <w:rFonts w:ascii="Arial" w:eastAsia="Times New Roman" w:hAnsi="Arial" w:cs="Arial"/>
          <w:sz w:val="28"/>
          <w:szCs w:val="28"/>
        </w:rPr>
        <w:t>ирективата с цел да се включат нови сектори в зависимост от степента им на критичност по отношение на тяхната индустрия или на вида услуга, която предоставят.</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8" w:name="bookmark6"/>
      <w:bookmarkEnd w:id="8"/>
      <w:r w:rsidRPr="003A4AA6">
        <w:rPr>
          <w:rFonts w:ascii="Arial" w:eastAsia="Times New Roman" w:hAnsi="Arial" w:cs="Arial"/>
          <w:caps/>
          <w:sz w:val="28"/>
          <w:szCs w:val="28"/>
        </w:rPr>
        <w:t>о</w:t>
      </w:r>
      <w:r w:rsidRPr="003A4AA6">
        <w:rPr>
          <w:rFonts w:ascii="Arial" w:eastAsia="Times New Roman" w:hAnsi="Arial" w:cs="Arial"/>
          <w:sz w:val="28"/>
          <w:szCs w:val="28"/>
        </w:rPr>
        <w:t>сноваване на Европейска мрежа за връзка при киберкризи (EU-CyCLONe), за да се подпомогне управлението на киберсигурността при широкомащабни инциденти и кризи.</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9" w:name="bookmark7"/>
      <w:bookmarkEnd w:id="9"/>
      <w:r w:rsidRPr="003A4AA6">
        <w:rPr>
          <w:rFonts w:ascii="Arial" w:eastAsia="Times New Roman" w:hAnsi="Arial" w:cs="Arial"/>
          <w:caps/>
          <w:sz w:val="28"/>
          <w:szCs w:val="28"/>
        </w:rPr>
        <w:t>о</w:t>
      </w:r>
      <w:r w:rsidRPr="003A4AA6">
        <w:rPr>
          <w:rFonts w:ascii="Arial" w:eastAsia="Times New Roman" w:hAnsi="Arial" w:cs="Arial"/>
          <w:sz w:val="28"/>
          <w:szCs w:val="28"/>
        </w:rPr>
        <w:t>пределянето на един ЕРИКС като координатор за целите на координираното оповестяване на уязвимости, обмена на служители, обединяването на взаимодействието между EU-</w:t>
      </w:r>
      <w:r w:rsidRPr="003A4AA6">
        <w:rPr>
          <w:rFonts w:ascii="Arial" w:eastAsia="Times New Roman" w:hAnsi="Arial" w:cs="Arial"/>
          <w:sz w:val="28"/>
          <w:szCs w:val="28"/>
        </w:rPr>
        <w:lastRenderedPageBreak/>
        <w:t xml:space="preserve">CyCLONe и мрежата CSIRTs, определянето на повече от един НКО, отговорен за изпълнението на задачите, свързани със сигурността на МИС на съществени и важни субекти съгласно </w:t>
      </w:r>
      <w:r w:rsidRPr="003A4AA6">
        <w:rPr>
          <w:rFonts w:ascii="Arial" w:eastAsia="Times New Roman" w:hAnsi="Arial" w:cs="Arial"/>
          <w:caps/>
          <w:sz w:val="28"/>
          <w:szCs w:val="28"/>
        </w:rPr>
        <w:t>д</w:t>
      </w:r>
      <w:r w:rsidRPr="003A4AA6">
        <w:rPr>
          <w:rFonts w:ascii="Arial" w:eastAsia="Times New Roman" w:hAnsi="Arial" w:cs="Arial"/>
          <w:sz w:val="28"/>
          <w:szCs w:val="28"/>
        </w:rPr>
        <w:t>ирективата, широкото сътрудничество с академични и изследователски институции, въвеждането на механизъм за партньорска проверка, позволяващ оценка от експерти, определени от държавите членки, на прилагането на политиките за киберсигурност, включително за нивото на способностите на държавите членки и наличните ресурси, и др. Това са мерки, които изискват наличие на заявен политически модел на взаимодействие на една развита и работеща в пълен обем национална киберсистема.</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10" w:name="bookmark8"/>
      <w:bookmarkEnd w:id="10"/>
      <w:r w:rsidRPr="003A4AA6">
        <w:rPr>
          <w:rFonts w:ascii="Arial" w:eastAsia="Times New Roman" w:hAnsi="Arial" w:cs="Arial"/>
          <w:caps/>
          <w:sz w:val="28"/>
          <w:szCs w:val="28"/>
        </w:rPr>
        <w:t>о</w:t>
      </w:r>
      <w:r w:rsidRPr="003A4AA6">
        <w:rPr>
          <w:rFonts w:ascii="Arial" w:eastAsia="Times New Roman" w:hAnsi="Arial" w:cs="Arial"/>
          <w:sz w:val="28"/>
          <w:szCs w:val="28"/>
        </w:rPr>
        <w:t>сигуряване на непрекъснатост на бизнеса при засягането му от киберинциденти и бързото докладване на инцидентите след анализирането им.</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11" w:name="bookmark9"/>
      <w:bookmarkEnd w:id="11"/>
      <w:r w:rsidRPr="003A4AA6">
        <w:rPr>
          <w:rFonts w:ascii="Arial" w:eastAsia="Times New Roman" w:hAnsi="Arial" w:cs="Arial"/>
          <w:sz w:val="28"/>
          <w:szCs w:val="28"/>
        </w:rPr>
        <w:t>Промяна на сроковете за докладване на инцидент и за последващ доклад</w:t>
      </w:r>
    </w:p>
    <w:p w:rsidR="003A4AA6" w:rsidRPr="003A4AA6" w:rsidRDefault="003A4AA6" w:rsidP="003A4AA6">
      <w:pPr>
        <w:widowControl w:val="0"/>
        <w:numPr>
          <w:ilvl w:val="0"/>
          <w:numId w:val="27"/>
        </w:numPr>
        <w:tabs>
          <w:tab w:val="left" w:pos="721"/>
        </w:tabs>
        <w:spacing w:after="0" w:line="360" w:lineRule="auto"/>
        <w:ind w:firstLine="1086"/>
        <w:jc w:val="both"/>
        <w:rPr>
          <w:rFonts w:ascii="Arial" w:eastAsia="Times New Roman" w:hAnsi="Arial" w:cs="Arial"/>
          <w:sz w:val="28"/>
          <w:szCs w:val="28"/>
        </w:rPr>
      </w:pPr>
      <w:bookmarkStart w:id="12" w:name="bookmark10"/>
      <w:bookmarkEnd w:id="12"/>
      <w:r w:rsidRPr="003A4AA6">
        <w:rPr>
          <w:rFonts w:ascii="Arial" w:eastAsia="Times New Roman" w:hAnsi="Arial" w:cs="Arial"/>
          <w:sz w:val="28"/>
          <w:szCs w:val="28"/>
        </w:rPr>
        <w:t>Промяна във вида и размера на административно-наказателните разпоредби.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Необходимо e транспониране на Директива (ЕС) 2022/2555 (Директива МИС2) поради непълно съответствие на действащата нормативна уредба и действащите разпоредби в тази област на политиката.</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За да се преодолее недостатъчната законова уредба от гледна точка на разгръщане на секторите, създаване на нови регулаторни функции, както и правила за управление на риска, свързан с ИКТ, в т. ч. за да се осигурят мерки по прилагането на Директива (ЕС) 2022/2555 и да се въведат предвидените изменения в националното законодателство, е необходимо в срок до 17 </w:t>
      </w:r>
      <w:r w:rsidRPr="003A4AA6">
        <w:rPr>
          <w:rFonts w:ascii="Arial" w:eastAsia="Times New Roman" w:hAnsi="Arial" w:cs="Arial"/>
          <w:sz w:val="28"/>
          <w:szCs w:val="28"/>
        </w:rPr>
        <w:lastRenderedPageBreak/>
        <w:t>октомври 2024 г. да се измени съществуващият Закон за киберсигурност.</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Законопроектът в съответствие с Директивата МИС2 осигурява възможност за постигането на общата цел да се повиши нивото на защита срещу инциденти, рискове и заплахи за мрежовата и информационна сигурност в ЕС.</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Това би довело до смекчаване на потенциалните загуби на приходи поради кибератаки и би намалило големите разходи за смекчаване на заплахите ad-hoc. Подобни ползи вероятно ще надделеят над необходимите инвестиционни разходи. Намаляването на фрагментирането на вътрешния пазар би подобрило и условията на равнопоставеност сред операторите.</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Общата цел е да се обезпечи правната интеграция на българската киберсигурност с европейската, в т.ч. посредством въвеждането на подобрените европейски изисквания във връзка с оценката на риска например.</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Конкретната цел е да се запълнят констатираните празноти и да се отстранят несъответствията в действащото българско законодателство чрез въвеждането на правила за капацитета за оценка на риска, докладването на инциденти, тестването, повишаването на осведомеността и осъзнатостта на факта, че киберинцидентите и липсата на адекватен отговор могат да застрашат стабилността както на публичните, така и на частните субекти.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Оперативната цел на предложените промени в националното законодателство е в него да се въведат мерки за прилагането на Директива (ЕС) 2022/2555.</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Една от основните цели на Директива (ЕС) 2022/2555 е именно осигуряването на високи гаранции и възможности за по-</w:t>
      </w:r>
      <w:r w:rsidRPr="003A4AA6">
        <w:rPr>
          <w:rFonts w:ascii="Arial" w:eastAsia="Times New Roman" w:hAnsi="Arial" w:cs="Arial"/>
          <w:sz w:val="28"/>
          <w:szCs w:val="28"/>
        </w:rPr>
        <w:lastRenderedPageBreak/>
        <w:t>добра устойчивост на киберпространството и по-ефективни мерки за противодействие на кибератаките, особено по отношение на основните икономически субекти и държавните органи. В този смисъл новите регулации целят гарантиране на справедливо третиране на субектите, повишаване на тяхната информираност и осигуряване на надежден и ефективен надзор за спазване на правата и законните им интереси. Това може да се осъществи чрез възлагане на допълнителни правомощия в полза на компетентните в областта органи и усъвършенстването на съществуващата нормативна уредба, което ще подсигури постигането на следните конкретни цели:</w:t>
      </w:r>
    </w:p>
    <w:p w:rsidR="003A4AA6" w:rsidRPr="003A4AA6" w:rsidRDefault="003A4AA6" w:rsidP="003A4AA6">
      <w:pPr>
        <w:widowControl w:val="0"/>
        <w:numPr>
          <w:ilvl w:val="0"/>
          <w:numId w:val="28"/>
        </w:numPr>
        <w:tabs>
          <w:tab w:val="left" w:pos="198"/>
        </w:tabs>
        <w:spacing w:after="0" w:line="360" w:lineRule="auto"/>
        <w:ind w:firstLine="1134"/>
        <w:jc w:val="both"/>
        <w:rPr>
          <w:rFonts w:ascii="Arial" w:eastAsia="Times New Roman" w:hAnsi="Arial" w:cs="Arial"/>
          <w:sz w:val="28"/>
          <w:szCs w:val="28"/>
        </w:rPr>
      </w:pPr>
      <w:bookmarkStart w:id="13" w:name="bookmark11"/>
      <w:bookmarkEnd w:id="13"/>
      <w:r w:rsidRPr="003A4AA6">
        <w:rPr>
          <w:rFonts w:ascii="Arial" w:eastAsia="Times New Roman" w:hAnsi="Arial" w:cs="Arial"/>
          <w:caps/>
          <w:sz w:val="28"/>
          <w:szCs w:val="28"/>
        </w:rPr>
        <w:t>р</w:t>
      </w:r>
      <w:r w:rsidRPr="003A4AA6">
        <w:rPr>
          <w:rFonts w:ascii="Arial" w:eastAsia="Times New Roman" w:hAnsi="Arial" w:cs="Arial"/>
          <w:sz w:val="28"/>
          <w:szCs w:val="28"/>
        </w:rPr>
        <w:t>егламентиране на процедури за сътрудничество и обмен на информация между компетентните органи и НЕРИКС, ЕРИКС.</w:t>
      </w:r>
    </w:p>
    <w:p w:rsidR="003A4AA6" w:rsidRPr="003A4AA6" w:rsidRDefault="003A4AA6" w:rsidP="003A4AA6">
      <w:pPr>
        <w:widowControl w:val="0"/>
        <w:numPr>
          <w:ilvl w:val="0"/>
          <w:numId w:val="28"/>
        </w:numPr>
        <w:tabs>
          <w:tab w:val="left" w:pos="198"/>
        </w:tabs>
        <w:spacing w:after="0" w:line="360" w:lineRule="auto"/>
        <w:ind w:firstLine="1134"/>
        <w:jc w:val="both"/>
        <w:rPr>
          <w:rFonts w:ascii="Arial" w:eastAsia="Times New Roman" w:hAnsi="Arial" w:cs="Arial"/>
          <w:sz w:val="28"/>
          <w:szCs w:val="28"/>
        </w:rPr>
      </w:pPr>
      <w:bookmarkStart w:id="14" w:name="bookmark12"/>
      <w:bookmarkEnd w:id="14"/>
      <w:r w:rsidRPr="003A4AA6">
        <w:rPr>
          <w:rFonts w:ascii="Arial" w:eastAsia="Times New Roman" w:hAnsi="Arial" w:cs="Arial"/>
          <w:caps/>
          <w:sz w:val="28"/>
          <w:szCs w:val="28"/>
        </w:rPr>
        <w:t>п</w:t>
      </w:r>
      <w:r w:rsidRPr="003A4AA6">
        <w:rPr>
          <w:rFonts w:ascii="Arial" w:eastAsia="Times New Roman" w:hAnsi="Arial" w:cs="Arial"/>
          <w:sz w:val="28"/>
          <w:szCs w:val="28"/>
        </w:rPr>
        <w:t>ромяна в сроковете за докладване на инциденти.</w:t>
      </w:r>
    </w:p>
    <w:p w:rsidR="003A4AA6" w:rsidRPr="003A4AA6" w:rsidRDefault="003A4AA6" w:rsidP="003A4AA6">
      <w:pPr>
        <w:widowControl w:val="0"/>
        <w:numPr>
          <w:ilvl w:val="0"/>
          <w:numId w:val="28"/>
        </w:numPr>
        <w:tabs>
          <w:tab w:val="left" w:pos="198"/>
        </w:tabs>
        <w:spacing w:after="0" w:line="360" w:lineRule="auto"/>
        <w:ind w:firstLine="1134"/>
        <w:jc w:val="both"/>
        <w:rPr>
          <w:rFonts w:ascii="Arial" w:eastAsia="Times New Roman" w:hAnsi="Arial" w:cs="Arial"/>
          <w:sz w:val="28"/>
          <w:szCs w:val="28"/>
        </w:rPr>
      </w:pPr>
      <w:bookmarkStart w:id="15" w:name="bookmark13"/>
      <w:bookmarkEnd w:id="15"/>
      <w:r w:rsidRPr="003A4AA6">
        <w:rPr>
          <w:rFonts w:ascii="Arial" w:eastAsia="Times New Roman" w:hAnsi="Arial" w:cs="Arial"/>
          <w:caps/>
          <w:sz w:val="28"/>
          <w:szCs w:val="28"/>
        </w:rPr>
        <w:t>д</w:t>
      </w:r>
      <w:r w:rsidRPr="003A4AA6">
        <w:rPr>
          <w:rFonts w:ascii="Arial" w:eastAsia="Times New Roman" w:hAnsi="Arial" w:cs="Arial"/>
          <w:sz w:val="28"/>
          <w:szCs w:val="28"/>
        </w:rPr>
        <w:t>а се въведат условия за управление и противодействие на рисковете, касаещи съществените и важни субекти, както и отговарящите на зададените критерии, попадащи в определените сектори в приложения 1 и 2.</w:t>
      </w:r>
    </w:p>
    <w:p w:rsidR="003A4AA6" w:rsidRPr="003A4AA6" w:rsidRDefault="003A4AA6" w:rsidP="003A4AA6">
      <w:pPr>
        <w:widowControl w:val="0"/>
        <w:numPr>
          <w:ilvl w:val="0"/>
          <w:numId w:val="28"/>
        </w:numPr>
        <w:tabs>
          <w:tab w:val="left" w:pos="202"/>
        </w:tabs>
        <w:spacing w:after="0" w:line="360" w:lineRule="auto"/>
        <w:ind w:firstLine="1134"/>
        <w:jc w:val="both"/>
        <w:rPr>
          <w:rFonts w:ascii="Arial" w:eastAsia="Times New Roman" w:hAnsi="Arial" w:cs="Arial"/>
          <w:sz w:val="28"/>
          <w:szCs w:val="28"/>
        </w:rPr>
      </w:pPr>
      <w:bookmarkStart w:id="16" w:name="bookmark14"/>
      <w:bookmarkEnd w:id="16"/>
      <w:r w:rsidRPr="003A4AA6">
        <w:rPr>
          <w:rFonts w:ascii="Arial" w:eastAsia="Times New Roman" w:hAnsi="Arial" w:cs="Arial"/>
          <w:caps/>
          <w:sz w:val="28"/>
          <w:szCs w:val="28"/>
        </w:rPr>
        <w:t>н</w:t>
      </w:r>
      <w:r w:rsidRPr="003A4AA6">
        <w:rPr>
          <w:rFonts w:ascii="Arial" w:eastAsia="Times New Roman" w:hAnsi="Arial" w:cs="Arial"/>
          <w:sz w:val="28"/>
          <w:szCs w:val="28"/>
        </w:rPr>
        <w:t>а компетентните органи се предоставят широки пълномощия по управление и надзор политиките по киберсигурност по отношение на определените субекти - съществени и важни. Компетентните органи следва да бъдат оправомощени да прилагат санкции, състоящи се в спиране на сертифициране или разрешение за част или за всички услуги пропорционално на тежестта на нарушението, само като ultima ratio, което означава само след изчерпване на другите съответни действия по прилагане, за времето, докато субектите, спрямо които се прилагат, предприемат необходимите действия за отстраняване на недостатъците.</w:t>
      </w:r>
    </w:p>
    <w:p w:rsidR="003A4AA6" w:rsidRPr="003A4AA6" w:rsidRDefault="003A4AA6" w:rsidP="003A4AA6">
      <w:pPr>
        <w:widowControl w:val="0"/>
        <w:numPr>
          <w:ilvl w:val="0"/>
          <w:numId w:val="28"/>
        </w:numPr>
        <w:tabs>
          <w:tab w:val="left" w:pos="258"/>
        </w:tabs>
        <w:spacing w:after="0" w:line="360" w:lineRule="auto"/>
        <w:ind w:firstLine="1134"/>
        <w:jc w:val="both"/>
        <w:rPr>
          <w:rFonts w:ascii="Arial" w:eastAsia="Times New Roman" w:hAnsi="Arial" w:cs="Arial"/>
          <w:sz w:val="28"/>
          <w:szCs w:val="28"/>
        </w:rPr>
      </w:pPr>
      <w:bookmarkStart w:id="17" w:name="bookmark15"/>
      <w:bookmarkEnd w:id="17"/>
      <w:r w:rsidRPr="003A4AA6">
        <w:rPr>
          <w:rFonts w:ascii="Arial" w:eastAsia="Times New Roman" w:hAnsi="Arial" w:cs="Arial"/>
          <w:caps/>
          <w:sz w:val="28"/>
          <w:szCs w:val="28"/>
        </w:rPr>
        <w:lastRenderedPageBreak/>
        <w:t>д</w:t>
      </w:r>
      <w:r w:rsidRPr="003A4AA6">
        <w:rPr>
          <w:rFonts w:ascii="Arial" w:eastAsia="Times New Roman" w:hAnsi="Arial" w:cs="Arial"/>
          <w:sz w:val="28"/>
          <w:szCs w:val="28"/>
        </w:rPr>
        <w:t>а се установи рамка за координирано оповестяване на уязвимости и изискване държавите членки да определят ЕРИКС като координатор за целите на координираното оповестяване на уязвимости и да улесняват взаимодействието между докладващите субекти и производителите или доставчиците на ИКТ продукти и услуги.</w:t>
      </w:r>
    </w:p>
    <w:p w:rsidR="003A4AA6" w:rsidRPr="003A4AA6" w:rsidRDefault="003A4AA6" w:rsidP="003A4AA6">
      <w:pPr>
        <w:widowControl w:val="0"/>
        <w:numPr>
          <w:ilvl w:val="0"/>
          <w:numId w:val="28"/>
        </w:numPr>
        <w:tabs>
          <w:tab w:val="left" w:pos="248"/>
        </w:tabs>
        <w:spacing w:after="0" w:line="360" w:lineRule="auto"/>
        <w:ind w:firstLine="1134"/>
        <w:jc w:val="both"/>
        <w:rPr>
          <w:rFonts w:ascii="Arial" w:eastAsia="Times New Roman" w:hAnsi="Arial" w:cs="Arial"/>
          <w:sz w:val="28"/>
          <w:szCs w:val="28"/>
        </w:rPr>
      </w:pPr>
      <w:bookmarkStart w:id="18" w:name="bookmark16"/>
      <w:bookmarkEnd w:id="18"/>
      <w:r w:rsidRPr="003A4AA6">
        <w:rPr>
          <w:rFonts w:ascii="Arial" w:eastAsia="Times New Roman" w:hAnsi="Arial" w:cs="Arial"/>
          <w:caps/>
          <w:sz w:val="28"/>
          <w:szCs w:val="28"/>
        </w:rPr>
        <w:t>д</w:t>
      </w:r>
      <w:r w:rsidRPr="003A4AA6">
        <w:rPr>
          <w:rFonts w:ascii="Arial" w:eastAsia="Times New Roman" w:hAnsi="Arial" w:cs="Arial"/>
          <w:sz w:val="28"/>
          <w:szCs w:val="28"/>
        </w:rPr>
        <w:t>а се въведе национална рамка за управление на кризи в областта на киберсигурността, по- специално чрез определяне на национални компетентни органи, отговарящи за управлението на мащабни инциденти и кризи в тази област.</w:t>
      </w:r>
    </w:p>
    <w:p w:rsidR="003A4AA6" w:rsidRPr="003A4AA6" w:rsidRDefault="003A4AA6" w:rsidP="003A4AA6">
      <w:pPr>
        <w:widowControl w:val="0"/>
        <w:numPr>
          <w:ilvl w:val="0"/>
          <w:numId w:val="28"/>
        </w:numPr>
        <w:tabs>
          <w:tab w:val="left" w:pos="258"/>
        </w:tabs>
        <w:spacing w:after="0" w:line="360" w:lineRule="auto"/>
        <w:ind w:firstLine="1134"/>
        <w:jc w:val="both"/>
        <w:rPr>
          <w:rFonts w:ascii="Arial" w:eastAsia="Times New Roman" w:hAnsi="Arial" w:cs="Arial"/>
          <w:sz w:val="28"/>
          <w:szCs w:val="28"/>
        </w:rPr>
      </w:pPr>
      <w:bookmarkStart w:id="19" w:name="bookmark17"/>
      <w:bookmarkEnd w:id="19"/>
      <w:r w:rsidRPr="003A4AA6">
        <w:rPr>
          <w:rFonts w:ascii="Arial" w:eastAsia="Times New Roman" w:hAnsi="Arial" w:cs="Arial"/>
          <w:caps/>
          <w:sz w:val="28"/>
          <w:szCs w:val="28"/>
        </w:rPr>
        <w:t>д</w:t>
      </w:r>
      <w:r w:rsidRPr="003A4AA6">
        <w:rPr>
          <w:rFonts w:ascii="Arial" w:eastAsia="Times New Roman" w:hAnsi="Arial" w:cs="Arial"/>
          <w:sz w:val="28"/>
          <w:szCs w:val="28"/>
        </w:rPr>
        <w:t>а се развие международното сътрудничество, като се участва активно в създадената Европейска мрежа за връзка на организациите при киберкризи (EU - CyCLONe) с цел подпомагане на координираното управление на мащабни инциденти и кризи, свързани с киберсигурността, и осигуряване на редовния обмен на информация сред държавите - членки и институциите на ЕС.</w:t>
      </w:r>
    </w:p>
    <w:p w:rsidR="003A4AA6" w:rsidRPr="003A4AA6" w:rsidRDefault="003A4AA6" w:rsidP="003A4AA6">
      <w:pPr>
        <w:widowControl w:val="0"/>
        <w:numPr>
          <w:ilvl w:val="0"/>
          <w:numId w:val="28"/>
        </w:numPr>
        <w:tabs>
          <w:tab w:val="left" w:pos="248"/>
        </w:tabs>
        <w:spacing w:after="0" w:line="360" w:lineRule="auto"/>
        <w:ind w:firstLine="1134"/>
        <w:jc w:val="both"/>
        <w:rPr>
          <w:rFonts w:ascii="Arial" w:eastAsia="Times New Roman" w:hAnsi="Arial" w:cs="Arial"/>
          <w:sz w:val="28"/>
          <w:szCs w:val="28"/>
        </w:rPr>
      </w:pPr>
      <w:bookmarkStart w:id="20" w:name="bookmark18"/>
      <w:bookmarkEnd w:id="20"/>
      <w:r w:rsidRPr="003A4AA6">
        <w:rPr>
          <w:rFonts w:ascii="Arial" w:eastAsia="Times New Roman" w:hAnsi="Arial" w:cs="Arial"/>
          <w:sz w:val="28"/>
          <w:szCs w:val="28"/>
        </w:rPr>
        <w:t>Управление на риска, свързан с киберсигурността.</w:t>
      </w:r>
    </w:p>
    <w:p w:rsidR="003A4AA6" w:rsidRPr="003A4AA6" w:rsidRDefault="003A4AA6" w:rsidP="003A4AA6">
      <w:pPr>
        <w:widowControl w:val="0"/>
        <w:numPr>
          <w:ilvl w:val="0"/>
          <w:numId w:val="28"/>
        </w:numPr>
        <w:tabs>
          <w:tab w:val="left" w:pos="258"/>
        </w:tabs>
        <w:spacing w:after="0" w:line="360" w:lineRule="auto"/>
        <w:ind w:firstLine="1134"/>
        <w:jc w:val="both"/>
        <w:rPr>
          <w:rFonts w:ascii="Arial" w:eastAsia="Times New Roman" w:hAnsi="Arial" w:cs="Arial"/>
          <w:sz w:val="28"/>
          <w:szCs w:val="28"/>
        </w:rPr>
      </w:pPr>
      <w:bookmarkStart w:id="21" w:name="bookmark19"/>
      <w:bookmarkEnd w:id="21"/>
      <w:r w:rsidRPr="003A4AA6">
        <w:rPr>
          <w:rFonts w:ascii="Arial" w:eastAsia="Times New Roman" w:hAnsi="Arial" w:cs="Arial"/>
          <w:sz w:val="28"/>
          <w:szCs w:val="28"/>
        </w:rPr>
        <w:t xml:space="preserve">От компетентните органи се изисква да упражняват надзор върху субектите, попадащи в обхвата на директивата, и </w:t>
      </w:r>
      <w:r w:rsidRPr="003A4AA6">
        <w:rPr>
          <w:rFonts w:ascii="Arial" w:eastAsia="Times New Roman" w:hAnsi="Arial" w:cs="Arial"/>
          <w:sz w:val="28"/>
          <w:szCs w:val="28"/>
        </w:rPr>
        <w:br/>
        <w:t>по-специално - да гарантират спазването от тяхна страна на изискванията за сигурност и уведомяване за инциденти. Разграничава се режим на предхождащ надзор (ex-ante) за съществените субекти и режим на последващ надзор (ex-post) за значимите субекти, като във втория случай от компетентните органи се изисква да предприемат действия, когато са получили доказателства или индикации, че значим субект не спазва изискванията за сигурност и уведомяване за инциденти.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Със промяната на закона се разширяват секторите на въздействие, а именно:</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2" w:name="bookmark20"/>
      <w:bookmarkEnd w:id="22"/>
      <w:r w:rsidRPr="003A4AA6">
        <w:rPr>
          <w:rFonts w:ascii="Arial" w:eastAsia="Times New Roman" w:hAnsi="Arial" w:cs="Arial"/>
          <w:sz w:val="28"/>
          <w:szCs w:val="28"/>
        </w:rPr>
        <w:lastRenderedPageBreak/>
        <w:t>Енергетика</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3" w:name="bookmark21"/>
      <w:bookmarkEnd w:id="23"/>
      <w:r w:rsidRPr="003A4AA6">
        <w:rPr>
          <w:rFonts w:ascii="Arial" w:eastAsia="Times New Roman" w:hAnsi="Arial" w:cs="Arial"/>
          <w:sz w:val="28"/>
          <w:szCs w:val="28"/>
        </w:rPr>
        <w:t>Транспорт</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4" w:name="bookmark22"/>
      <w:bookmarkEnd w:id="24"/>
      <w:r w:rsidRPr="003A4AA6">
        <w:rPr>
          <w:rFonts w:ascii="Arial" w:eastAsia="Times New Roman" w:hAnsi="Arial" w:cs="Arial"/>
          <w:sz w:val="28"/>
          <w:szCs w:val="28"/>
        </w:rPr>
        <w:t>Банков сектор</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5" w:name="bookmark23"/>
      <w:bookmarkEnd w:id="25"/>
      <w:r w:rsidRPr="003A4AA6">
        <w:rPr>
          <w:rFonts w:ascii="Arial" w:eastAsia="Times New Roman" w:hAnsi="Arial" w:cs="Arial"/>
          <w:sz w:val="28"/>
          <w:szCs w:val="28"/>
        </w:rPr>
        <w:t>Инфраструктури на финансовия пазар</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6" w:name="bookmark24"/>
      <w:bookmarkEnd w:id="26"/>
      <w:r w:rsidRPr="003A4AA6">
        <w:rPr>
          <w:rFonts w:ascii="Arial" w:eastAsia="Times New Roman" w:hAnsi="Arial" w:cs="Arial"/>
          <w:sz w:val="28"/>
          <w:szCs w:val="28"/>
        </w:rPr>
        <w:t>Здравеопазване</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7" w:name="bookmark25"/>
      <w:bookmarkEnd w:id="27"/>
      <w:r w:rsidRPr="003A4AA6">
        <w:rPr>
          <w:rFonts w:ascii="Arial" w:eastAsia="Times New Roman" w:hAnsi="Arial" w:cs="Arial"/>
          <w:sz w:val="28"/>
          <w:szCs w:val="28"/>
        </w:rPr>
        <w:t>Питейна вода</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8" w:name="bookmark26"/>
      <w:bookmarkEnd w:id="28"/>
      <w:r w:rsidRPr="003A4AA6">
        <w:rPr>
          <w:rFonts w:ascii="Arial" w:eastAsia="Times New Roman" w:hAnsi="Arial" w:cs="Arial"/>
          <w:sz w:val="28"/>
          <w:szCs w:val="28"/>
        </w:rPr>
        <w:t>Отпадъчни води</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29" w:name="bookmark27"/>
      <w:bookmarkEnd w:id="29"/>
      <w:r w:rsidRPr="003A4AA6">
        <w:rPr>
          <w:rFonts w:ascii="Arial" w:eastAsia="Times New Roman" w:hAnsi="Arial" w:cs="Arial"/>
          <w:sz w:val="28"/>
          <w:szCs w:val="28"/>
        </w:rPr>
        <w:t>Цифрова инфраструктура</w:t>
      </w:r>
    </w:p>
    <w:p w:rsidR="003A4AA6" w:rsidRPr="003A4AA6" w:rsidRDefault="003A4AA6" w:rsidP="003A4AA6">
      <w:pPr>
        <w:widowControl w:val="0"/>
        <w:numPr>
          <w:ilvl w:val="0"/>
          <w:numId w:val="29"/>
        </w:numPr>
        <w:tabs>
          <w:tab w:val="left" w:pos="733"/>
        </w:tabs>
        <w:spacing w:after="0" w:line="360" w:lineRule="auto"/>
        <w:ind w:firstLine="1134"/>
        <w:jc w:val="both"/>
        <w:rPr>
          <w:rFonts w:ascii="Arial" w:eastAsia="Times New Roman" w:hAnsi="Arial" w:cs="Arial"/>
          <w:sz w:val="28"/>
          <w:szCs w:val="28"/>
        </w:rPr>
      </w:pPr>
      <w:bookmarkStart w:id="30" w:name="bookmark28"/>
      <w:bookmarkEnd w:id="30"/>
      <w:r w:rsidRPr="003A4AA6">
        <w:rPr>
          <w:rFonts w:ascii="Arial" w:eastAsia="Times New Roman" w:hAnsi="Arial" w:cs="Arial"/>
          <w:sz w:val="28"/>
          <w:szCs w:val="28"/>
        </w:rPr>
        <w:t>Управление на услуги в областта на ИКТ (между предприятия)</w:t>
      </w:r>
    </w:p>
    <w:p w:rsidR="003A4AA6" w:rsidRPr="003A4AA6" w:rsidRDefault="003A4AA6" w:rsidP="003A4AA6">
      <w:pPr>
        <w:widowControl w:val="0"/>
        <w:numPr>
          <w:ilvl w:val="0"/>
          <w:numId w:val="29"/>
        </w:numPr>
        <w:tabs>
          <w:tab w:val="left" w:pos="820"/>
          <w:tab w:val="left" w:pos="1560"/>
        </w:tabs>
        <w:spacing w:after="0" w:line="360" w:lineRule="auto"/>
        <w:ind w:firstLine="1134"/>
        <w:jc w:val="both"/>
        <w:rPr>
          <w:rFonts w:ascii="Arial" w:eastAsia="Times New Roman" w:hAnsi="Arial" w:cs="Arial"/>
          <w:sz w:val="28"/>
          <w:szCs w:val="28"/>
        </w:rPr>
      </w:pPr>
      <w:bookmarkStart w:id="31" w:name="bookmark29"/>
      <w:bookmarkEnd w:id="31"/>
      <w:r w:rsidRPr="003A4AA6">
        <w:rPr>
          <w:rFonts w:ascii="Arial" w:eastAsia="Times New Roman" w:hAnsi="Arial" w:cs="Arial"/>
          <w:sz w:val="28"/>
          <w:szCs w:val="28"/>
        </w:rPr>
        <w:t>Публична администрация</w:t>
      </w:r>
    </w:p>
    <w:p w:rsidR="003A4AA6" w:rsidRPr="003A4AA6" w:rsidRDefault="003A4AA6" w:rsidP="003A4AA6">
      <w:pPr>
        <w:widowControl w:val="0"/>
        <w:numPr>
          <w:ilvl w:val="0"/>
          <w:numId w:val="29"/>
        </w:numPr>
        <w:tabs>
          <w:tab w:val="left" w:pos="820"/>
          <w:tab w:val="left" w:pos="1560"/>
        </w:tabs>
        <w:spacing w:after="0" w:line="360" w:lineRule="auto"/>
        <w:ind w:firstLine="1134"/>
        <w:jc w:val="both"/>
        <w:rPr>
          <w:rFonts w:ascii="Arial" w:eastAsia="Times New Roman" w:hAnsi="Arial" w:cs="Arial"/>
          <w:sz w:val="28"/>
          <w:szCs w:val="28"/>
        </w:rPr>
      </w:pPr>
      <w:bookmarkStart w:id="32" w:name="bookmark30"/>
      <w:bookmarkEnd w:id="32"/>
      <w:r w:rsidRPr="003A4AA6">
        <w:rPr>
          <w:rFonts w:ascii="Arial" w:eastAsia="Times New Roman" w:hAnsi="Arial" w:cs="Arial"/>
          <w:sz w:val="28"/>
          <w:szCs w:val="28"/>
        </w:rPr>
        <w:t>Космическо пространство</w:t>
      </w:r>
    </w:p>
    <w:p w:rsidR="003A4AA6" w:rsidRPr="003A4AA6" w:rsidRDefault="003A4AA6" w:rsidP="003A4AA6">
      <w:pPr>
        <w:spacing w:after="0" w:line="360" w:lineRule="auto"/>
        <w:ind w:firstLine="1086"/>
        <w:rPr>
          <w:rFonts w:ascii="Arial" w:eastAsia="Times New Roman" w:hAnsi="Arial" w:cs="Arial"/>
          <w:sz w:val="28"/>
          <w:szCs w:val="28"/>
        </w:rPr>
      </w:pPr>
      <w:r w:rsidRPr="003A4AA6">
        <w:rPr>
          <w:rFonts w:ascii="Arial" w:eastAsia="Times New Roman" w:hAnsi="Arial" w:cs="Arial"/>
          <w:b/>
          <w:bCs/>
          <w:sz w:val="28"/>
          <w:szCs w:val="28"/>
        </w:rPr>
        <w:t>Други критични сектори</w:t>
      </w:r>
    </w:p>
    <w:p w:rsidR="003A4AA6" w:rsidRPr="003A4AA6" w:rsidRDefault="003A4AA6" w:rsidP="003A4AA6">
      <w:pPr>
        <w:widowControl w:val="0"/>
        <w:numPr>
          <w:ilvl w:val="0"/>
          <w:numId w:val="29"/>
        </w:numPr>
        <w:tabs>
          <w:tab w:val="left" w:pos="820"/>
          <w:tab w:val="left" w:pos="1560"/>
        </w:tabs>
        <w:spacing w:after="0" w:line="360" w:lineRule="auto"/>
        <w:ind w:firstLine="1134"/>
        <w:jc w:val="both"/>
        <w:rPr>
          <w:rFonts w:ascii="Arial" w:eastAsia="Times New Roman" w:hAnsi="Arial" w:cs="Arial"/>
          <w:sz w:val="28"/>
          <w:szCs w:val="28"/>
        </w:rPr>
      </w:pPr>
      <w:bookmarkStart w:id="33" w:name="bookmark31"/>
      <w:bookmarkEnd w:id="33"/>
      <w:r w:rsidRPr="003A4AA6">
        <w:rPr>
          <w:rFonts w:ascii="Arial" w:eastAsia="Times New Roman" w:hAnsi="Arial" w:cs="Arial"/>
          <w:sz w:val="28"/>
          <w:szCs w:val="28"/>
        </w:rPr>
        <w:t>Пощенски и куриерски услуги</w:t>
      </w:r>
    </w:p>
    <w:p w:rsidR="003A4AA6" w:rsidRPr="003A4AA6" w:rsidRDefault="003A4AA6" w:rsidP="003A4AA6">
      <w:pPr>
        <w:widowControl w:val="0"/>
        <w:numPr>
          <w:ilvl w:val="0"/>
          <w:numId w:val="29"/>
        </w:numPr>
        <w:tabs>
          <w:tab w:val="left" w:pos="820"/>
          <w:tab w:val="left" w:pos="1560"/>
        </w:tabs>
        <w:spacing w:after="0" w:line="360" w:lineRule="auto"/>
        <w:ind w:firstLine="1134"/>
        <w:jc w:val="both"/>
        <w:rPr>
          <w:rFonts w:ascii="Arial" w:eastAsia="Times New Roman" w:hAnsi="Arial" w:cs="Arial"/>
          <w:sz w:val="28"/>
          <w:szCs w:val="28"/>
        </w:rPr>
      </w:pPr>
      <w:bookmarkStart w:id="34" w:name="bookmark32"/>
      <w:bookmarkEnd w:id="34"/>
      <w:r w:rsidRPr="003A4AA6">
        <w:rPr>
          <w:rFonts w:ascii="Arial" w:eastAsia="Times New Roman" w:hAnsi="Arial" w:cs="Arial"/>
          <w:sz w:val="28"/>
          <w:szCs w:val="28"/>
        </w:rPr>
        <w:t>Управление на отпадъците</w:t>
      </w:r>
    </w:p>
    <w:p w:rsidR="003A4AA6" w:rsidRPr="003A4AA6" w:rsidRDefault="003A4AA6" w:rsidP="003A4AA6">
      <w:pPr>
        <w:widowControl w:val="0"/>
        <w:numPr>
          <w:ilvl w:val="0"/>
          <w:numId w:val="29"/>
        </w:numPr>
        <w:tabs>
          <w:tab w:val="left" w:pos="820"/>
          <w:tab w:val="left" w:pos="1560"/>
        </w:tabs>
        <w:spacing w:after="0" w:line="360" w:lineRule="auto"/>
        <w:ind w:firstLine="1134"/>
        <w:jc w:val="both"/>
        <w:rPr>
          <w:rFonts w:ascii="Arial" w:eastAsia="Times New Roman" w:hAnsi="Arial" w:cs="Arial"/>
          <w:sz w:val="28"/>
          <w:szCs w:val="28"/>
        </w:rPr>
      </w:pPr>
      <w:bookmarkStart w:id="35" w:name="bookmark33"/>
      <w:bookmarkEnd w:id="35"/>
      <w:r w:rsidRPr="003A4AA6">
        <w:rPr>
          <w:rFonts w:ascii="Arial" w:eastAsia="Times New Roman" w:hAnsi="Arial" w:cs="Arial"/>
          <w:sz w:val="28"/>
          <w:szCs w:val="28"/>
        </w:rPr>
        <w:t>Производство, изготвяне и дистрибуция на химикали</w:t>
      </w:r>
    </w:p>
    <w:p w:rsidR="003A4AA6" w:rsidRPr="003A4AA6" w:rsidRDefault="003A4AA6" w:rsidP="003A4AA6">
      <w:pPr>
        <w:widowControl w:val="0"/>
        <w:numPr>
          <w:ilvl w:val="0"/>
          <w:numId w:val="29"/>
        </w:numPr>
        <w:tabs>
          <w:tab w:val="left" w:pos="770"/>
          <w:tab w:val="left" w:pos="1560"/>
        </w:tabs>
        <w:spacing w:after="0" w:line="360" w:lineRule="auto"/>
        <w:ind w:firstLine="1134"/>
        <w:jc w:val="both"/>
        <w:rPr>
          <w:rFonts w:ascii="Arial" w:eastAsia="Times New Roman" w:hAnsi="Arial" w:cs="Arial"/>
          <w:sz w:val="28"/>
          <w:szCs w:val="28"/>
        </w:rPr>
      </w:pPr>
      <w:bookmarkStart w:id="36" w:name="bookmark34"/>
      <w:bookmarkEnd w:id="36"/>
      <w:r w:rsidRPr="003A4AA6">
        <w:rPr>
          <w:rFonts w:ascii="Arial" w:eastAsia="Times New Roman" w:hAnsi="Arial" w:cs="Arial"/>
          <w:sz w:val="28"/>
          <w:szCs w:val="28"/>
        </w:rPr>
        <w:t>Производство, преработка и разпространение на храни</w:t>
      </w:r>
    </w:p>
    <w:p w:rsidR="003A4AA6" w:rsidRPr="003A4AA6" w:rsidRDefault="003A4AA6" w:rsidP="003A4AA6">
      <w:pPr>
        <w:widowControl w:val="0"/>
        <w:numPr>
          <w:ilvl w:val="0"/>
          <w:numId w:val="29"/>
        </w:numPr>
        <w:tabs>
          <w:tab w:val="left" w:pos="770"/>
          <w:tab w:val="left" w:pos="1560"/>
        </w:tabs>
        <w:spacing w:after="0" w:line="360" w:lineRule="auto"/>
        <w:ind w:firstLine="1134"/>
        <w:jc w:val="both"/>
        <w:rPr>
          <w:rFonts w:ascii="Arial" w:eastAsia="Times New Roman" w:hAnsi="Arial" w:cs="Arial"/>
          <w:sz w:val="28"/>
          <w:szCs w:val="28"/>
        </w:rPr>
      </w:pPr>
      <w:bookmarkStart w:id="37" w:name="bookmark35"/>
      <w:bookmarkEnd w:id="37"/>
      <w:r w:rsidRPr="003A4AA6">
        <w:rPr>
          <w:rFonts w:ascii="Arial" w:eastAsia="Times New Roman" w:hAnsi="Arial" w:cs="Arial"/>
          <w:sz w:val="28"/>
          <w:szCs w:val="28"/>
        </w:rPr>
        <w:t>Производство</w:t>
      </w:r>
    </w:p>
    <w:p w:rsidR="003A4AA6" w:rsidRPr="003A4AA6" w:rsidRDefault="003A4AA6" w:rsidP="003A4AA6">
      <w:pPr>
        <w:widowControl w:val="0"/>
        <w:numPr>
          <w:ilvl w:val="0"/>
          <w:numId w:val="29"/>
        </w:numPr>
        <w:tabs>
          <w:tab w:val="left" w:pos="770"/>
          <w:tab w:val="left" w:pos="1560"/>
        </w:tabs>
        <w:spacing w:after="0" w:line="360" w:lineRule="auto"/>
        <w:ind w:firstLine="1134"/>
        <w:jc w:val="both"/>
        <w:rPr>
          <w:rFonts w:ascii="Arial" w:eastAsia="Times New Roman" w:hAnsi="Arial" w:cs="Arial"/>
          <w:sz w:val="28"/>
          <w:szCs w:val="28"/>
        </w:rPr>
      </w:pPr>
      <w:bookmarkStart w:id="38" w:name="bookmark36"/>
      <w:bookmarkEnd w:id="38"/>
      <w:r w:rsidRPr="003A4AA6">
        <w:rPr>
          <w:rFonts w:ascii="Arial" w:eastAsia="Times New Roman" w:hAnsi="Arial" w:cs="Arial"/>
          <w:sz w:val="28"/>
          <w:szCs w:val="28"/>
        </w:rPr>
        <w:t>Доставчици на цифрови услуги</w:t>
      </w:r>
    </w:p>
    <w:p w:rsidR="003A4AA6" w:rsidRPr="003A4AA6" w:rsidRDefault="003A4AA6" w:rsidP="003A4AA6">
      <w:pPr>
        <w:widowControl w:val="0"/>
        <w:numPr>
          <w:ilvl w:val="0"/>
          <w:numId w:val="29"/>
        </w:numPr>
        <w:tabs>
          <w:tab w:val="left" w:pos="770"/>
          <w:tab w:val="left" w:pos="1560"/>
        </w:tabs>
        <w:spacing w:after="0" w:line="360" w:lineRule="auto"/>
        <w:ind w:firstLine="1134"/>
        <w:jc w:val="both"/>
        <w:rPr>
          <w:rFonts w:ascii="Arial" w:eastAsia="Times New Roman" w:hAnsi="Arial" w:cs="Arial"/>
          <w:sz w:val="28"/>
          <w:szCs w:val="28"/>
        </w:rPr>
      </w:pPr>
      <w:bookmarkStart w:id="39" w:name="bookmark37"/>
      <w:bookmarkEnd w:id="39"/>
      <w:r w:rsidRPr="003A4AA6">
        <w:rPr>
          <w:rFonts w:ascii="Arial" w:eastAsia="Times New Roman" w:hAnsi="Arial" w:cs="Arial"/>
          <w:sz w:val="28"/>
          <w:szCs w:val="28"/>
        </w:rPr>
        <w:t>Научни изследвания</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Като резултат от приемането на предлаганите изменения се очаква:</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създаване на условия за изграждане на ефективна система за превенция и борба с кибератаките;</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ограничаване на мащаба, честотата и въздействието на инцидентите;</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o противодействие на инцидентите, които причиняват значителни финансови загуби, подкопават доверието на </w:t>
      </w:r>
      <w:r w:rsidRPr="003A4AA6">
        <w:rPr>
          <w:rFonts w:ascii="Arial" w:eastAsia="Times New Roman" w:hAnsi="Arial" w:cs="Arial"/>
          <w:sz w:val="28"/>
          <w:szCs w:val="28"/>
        </w:rPr>
        <w:lastRenderedPageBreak/>
        <w:t>потребителите и причиняват сериозни вреди на икономиката на държавата;</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ограничаване на транснационалния характер на инцидентите;</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установяване на условия за равнопоставеност по отношение на контрола на съществените и важни субекти, и административните органи;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улесняване на достъпа до надлежна информация, касаеща услуга, която е от съществено значение за поддържането на особено важни обществени и/или стопански дейности;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o повишаване на сигурността чрез създаване и поддръжка на непубличен регистър на определените субекти в кръга на </w:t>
      </w:r>
      <w:r w:rsidRPr="003A4AA6">
        <w:rPr>
          <w:rFonts w:ascii="Arial" w:eastAsia="Times New Roman" w:hAnsi="Arial" w:cs="Arial"/>
          <w:caps/>
          <w:sz w:val="28"/>
          <w:szCs w:val="28"/>
        </w:rPr>
        <w:t>зид</w:t>
      </w:r>
      <w:r w:rsidRPr="003A4AA6">
        <w:rPr>
          <w:rFonts w:ascii="Arial" w:eastAsia="Times New Roman" w:hAnsi="Arial" w:cs="Arial"/>
          <w:sz w:val="28"/>
          <w:szCs w:val="28"/>
        </w:rPr>
        <w:t xml:space="preserve"> на ЗКС, както и на самите съществени услуги;</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въвеждане на ясна йерархична структура в управлението и организацията на националната система за киберсигурност;</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o подобряване на надеждността, устойчивостта и ефективността на мрежите и информационните системи на всички субекти в обхвата на закона.</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С транспонирането на Директивата МИС 2 и реализиране на поставените цели ще се опрости и ускори процесът по взаимодействието и разрешаването на трансгранични и национални инциденти в ЕС, като това ще става бързо и без никакви допълнителни формалности, което ще допринесе за своевременното преодоляване на атаките и намаляване на негативните последици от тях.</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С уеднаквяването на процедурата и процесите по взаимодействие на местно и европейско ниво ще се намали документацията, ще се ускори времето за взаимодействие, ще се въведе единен стандартен формуляр за докладване на инциденти, </w:t>
      </w:r>
      <w:r w:rsidRPr="003A4AA6">
        <w:rPr>
          <w:rFonts w:ascii="Arial" w:eastAsia="Times New Roman" w:hAnsi="Arial" w:cs="Arial"/>
          <w:sz w:val="28"/>
          <w:szCs w:val="28"/>
        </w:rPr>
        <w:lastRenderedPageBreak/>
        <w:t>с който органите да изискват помощ при нужда, което, от своя страна, ще доведе до намаляване на административната тежест.</w:t>
      </w:r>
    </w:p>
    <w:p w:rsidR="003A4AA6" w:rsidRPr="003A4AA6" w:rsidRDefault="003A4AA6" w:rsidP="003A4AA6">
      <w:pPr>
        <w:spacing w:after="0" w:line="360" w:lineRule="auto"/>
        <w:ind w:firstLine="1086"/>
        <w:jc w:val="both"/>
        <w:rPr>
          <w:rFonts w:ascii="Arial" w:eastAsia="Times New Roman" w:hAnsi="Arial" w:cs="Arial"/>
          <w:sz w:val="28"/>
          <w:szCs w:val="28"/>
        </w:rPr>
      </w:pPr>
      <w:r w:rsidRPr="003A4AA6">
        <w:rPr>
          <w:rFonts w:ascii="Arial" w:eastAsia="Times New Roman" w:hAnsi="Arial" w:cs="Arial"/>
          <w:sz w:val="28"/>
          <w:szCs w:val="28"/>
        </w:rPr>
        <w:t xml:space="preserve">Приемането на ЗИД на ЗКС ще има за резултат хармонизирането и привеждането в съответствие на националното с европейското законодателство. Законът за киберсигурност е допълнен с разпоредби относно сътрудничеството с компетентните органи по чл. 46 от Регламент (ЕС) 2022/2554, с което са отразени изискванията на чл. 47, параграф 3 и 4 от същия регламент, както и относно участието в състава на надзорния форум по смисъла на чл. 32, параграф 4, буква „д“ от Регламент (ЕС) 2022/2554, предвид въведените чрез ЗКС мерки по прилагането на Регламент (ЕС) 2022/2554 на Европейския парламент и на Съвета от 14 декември 2022 година относно оперативната устойчивост на цифровите технологии във финансовия сектор и за изменение на регламенти (ЕО) № 1060/2009, (ЕС) № 648/2012, (ЕС) № 600/2014, (ЕС) </w:t>
      </w:r>
      <w:r w:rsidRPr="003A4AA6">
        <w:rPr>
          <w:rFonts w:ascii="Arial" w:eastAsia="Times New Roman" w:hAnsi="Arial" w:cs="Arial"/>
          <w:sz w:val="28"/>
          <w:szCs w:val="28"/>
        </w:rPr>
        <w:br/>
        <w:t>№ 909/2014 и (ЕС) 2016/1011 (Регламент (ЕС) 2022/2554).</w:t>
      </w:r>
    </w:p>
    <w:p w:rsidR="003A4AA6" w:rsidRPr="003A4AA6" w:rsidRDefault="003A4AA6" w:rsidP="003A4AA6">
      <w:pPr>
        <w:spacing w:after="0" w:line="360" w:lineRule="auto"/>
        <w:ind w:firstLine="1134"/>
        <w:jc w:val="both"/>
        <w:rPr>
          <w:rFonts w:ascii="Arial" w:eastAsia="Times New Roman" w:hAnsi="Arial" w:cs="Arial"/>
          <w:sz w:val="28"/>
          <w:szCs w:val="28"/>
        </w:rPr>
      </w:pPr>
    </w:p>
    <w:p w:rsidR="003A4AA6" w:rsidRPr="003A4AA6" w:rsidRDefault="003A4AA6" w:rsidP="003A4AA6">
      <w:pPr>
        <w:spacing w:after="0" w:line="360" w:lineRule="auto"/>
        <w:ind w:firstLine="1134"/>
        <w:jc w:val="both"/>
        <w:rPr>
          <w:rFonts w:ascii="Arial" w:eastAsia="Times New Roman" w:hAnsi="Arial" w:cs="Arial"/>
          <w:sz w:val="28"/>
          <w:szCs w:val="28"/>
        </w:rPr>
      </w:pPr>
    </w:p>
    <w:p w:rsidR="003A4AA6" w:rsidRPr="003A4AA6" w:rsidRDefault="003A4AA6" w:rsidP="003A4AA6">
      <w:pPr>
        <w:spacing w:after="0" w:line="360" w:lineRule="auto"/>
        <w:ind w:firstLine="1134"/>
        <w:jc w:val="both"/>
        <w:rPr>
          <w:rFonts w:ascii="Arial" w:eastAsia="Times New Roman" w:hAnsi="Arial" w:cs="Arial"/>
          <w:sz w:val="26"/>
          <w:szCs w:val="26"/>
        </w:rPr>
      </w:pPr>
      <w:r w:rsidRPr="003A4AA6">
        <w:rPr>
          <w:rFonts w:ascii="Arial" w:eastAsia="Times New Roman" w:hAnsi="Arial" w:cs="Arial"/>
          <w:sz w:val="28"/>
          <w:szCs w:val="28"/>
        </w:rPr>
        <w:t>Съгласно изискванията на Директивата законопроектът не е необходимо да бъде предварително нотифициран, а ще бъде нотифициран едва след транспонирането.</w:t>
      </w:r>
    </w:p>
    <w:p w:rsidR="003A4AA6" w:rsidRPr="003A4AA6" w:rsidRDefault="003A4AA6" w:rsidP="003A4AA6">
      <w:pPr>
        <w:tabs>
          <w:tab w:val="left" w:pos="709"/>
          <w:tab w:val="left" w:pos="851"/>
        </w:tabs>
        <w:spacing w:before="120" w:after="0" w:line="288" w:lineRule="auto"/>
        <w:ind w:firstLine="1134"/>
        <w:contextualSpacing/>
        <w:jc w:val="both"/>
        <w:rPr>
          <w:rFonts w:ascii="Arial" w:eastAsia="Times New Roman" w:hAnsi="Arial" w:cs="Arial"/>
          <w:b/>
          <w:sz w:val="26"/>
          <w:szCs w:val="26"/>
        </w:rPr>
      </w:pPr>
    </w:p>
    <w:p w:rsidR="003A4AA6" w:rsidRPr="003A4AA6" w:rsidRDefault="003A4AA6" w:rsidP="003A4AA6">
      <w:pPr>
        <w:tabs>
          <w:tab w:val="left" w:pos="709"/>
          <w:tab w:val="left" w:pos="851"/>
        </w:tabs>
        <w:spacing w:before="120" w:after="0" w:line="288" w:lineRule="auto"/>
        <w:ind w:firstLine="1134"/>
        <w:contextualSpacing/>
        <w:jc w:val="both"/>
        <w:rPr>
          <w:rFonts w:ascii="Arial" w:eastAsia="Times New Roman" w:hAnsi="Arial" w:cs="Arial"/>
          <w:b/>
          <w:sz w:val="26"/>
          <w:szCs w:val="26"/>
        </w:rPr>
      </w:pPr>
    </w:p>
    <w:p w:rsidR="003A4AA6" w:rsidRPr="003A4AA6" w:rsidRDefault="003A4AA6" w:rsidP="003A4AA6">
      <w:pPr>
        <w:tabs>
          <w:tab w:val="left" w:pos="709"/>
          <w:tab w:val="left" w:pos="851"/>
        </w:tabs>
        <w:spacing w:before="120" w:after="0" w:line="288" w:lineRule="auto"/>
        <w:ind w:firstLine="1134"/>
        <w:contextualSpacing/>
        <w:jc w:val="both"/>
        <w:rPr>
          <w:rFonts w:ascii="Arial" w:eastAsia="Times New Roman" w:hAnsi="Arial" w:cs="Arial"/>
          <w:b/>
          <w:sz w:val="26"/>
          <w:szCs w:val="26"/>
        </w:rPr>
      </w:pPr>
    </w:p>
    <w:p w:rsidR="003A4AA6" w:rsidRPr="003A4AA6" w:rsidRDefault="003A4AA6" w:rsidP="003A4AA6">
      <w:pPr>
        <w:tabs>
          <w:tab w:val="left" w:pos="709"/>
          <w:tab w:val="left" w:pos="851"/>
        </w:tabs>
        <w:spacing w:before="120" w:after="0" w:line="288" w:lineRule="auto"/>
        <w:ind w:firstLine="1134"/>
        <w:contextualSpacing/>
        <w:jc w:val="both"/>
        <w:rPr>
          <w:rFonts w:ascii="Arial" w:eastAsia="Times New Roman" w:hAnsi="Arial" w:cs="Arial"/>
          <w:b/>
          <w:sz w:val="26"/>
          <w:szCs w:val="26"/>
        </w:rPr>
      </w:pPr>
    </w:p>
    <w:p w:rsidR="003A4AA6" w:rsidRPr="003A4AA6" w:rsidRDefault="003A4AA6" w:rsidP="003A4AA6">
      <w:pPr>
        <w:tabs>
          <w:tab w:val="left" w:pos="1790"/>
        </w:tabs>
        <w:spacing w:after="0" w:line="240" w:lineRule="auto"/>
        <w:ind w:left="1134"/>
        <w:rPr>
          <w:rFonts w:ascii="Times New Roman" w:eastAsia="Times New Roman" w:hAnsi="Times New Roman"/>
          <w:b/>
          <w:sz w:val="26"/>
          <w:szCs w:val="26"/>
        </w:rPr>
      </w:pPr>
      <w:r w:rsidRPr="003A4AA6">
        <w:rPr>
          <w:rFonts w:ascii="Times New Roman" w:eastAsia="Times New Roman" w:hAnsi="Times New Roman"/>
          <w:b/>
          <w:sz w:val="26"/>
          <w:szCs w:val="26"/>
        </w:rPr>
        <w:t>МИНИСТЪР-ПРЕДСЕДАТЕЛ:</w:t>
      </w:r>
    </w:p>
    <w:p w:rsidR="003A4AA6" w:rsidRPr="003A4AA6" w:rsidRDefault="003A4AA6" w:rsidP="003A4AA6">
      <w:pPr>
        <w:spacing w:before="120" w:after="0" w:line="288" w:lineRule="auto"/>
        <w:ind w:firstLine="5245"/>
        <w:jc w:val="both"/>
        <w:rPr>
          <w:rFonts w:ascii="Arial" w:eastAsia="Times New Roman" w:hAnsi="Arial" w:cs="Arial"/>
          <w:sz w:val="26"/>
          <w:szCs w:val="26"/>
        </w:rPr>
      </w:pPr>
      <w:r w:rsidRPr="003A4AA6">
        <w:rPr>
          <w:rFonts w:ascii="Hebar" w:eastAsia="Times New Roman" w:hAnsi="Hebar"/>
          <w:noProof/>
          <w:sz w:val="26"/>
          <w:szCs w:val="26"/>
        </w:rPr>
        <w:drawing>
          <wp:inline distT="0" distB="0" distL="0" distR="0">
            <wp:extent cx="2447925" cy="1057275"/>
            <wp:effectExtent l="0" t="0" r="0" b="0"/>
            <wp:docPr id="12" name="Picture 12"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2" descr="Ред за подпис на Microsoft Office..."/>
                    <pic:cNvPicPr>
                      <a:picLocks noGrp="1"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057275"/>
                    </a:xfrm>
                    <a:prstGeom prst="rect">
                      <a:avLst/>
                    </a:prstGeom>
                    <a:noFill/>
                    <a:ln>
                      <a:noFill/>
                    </a:ln>
                  </pic:spPr>
                </pic:pic>
              </a:graphicData>
            </a:graphic>
          </wp:inline>
        </w:drawing>
      </w:r>
    </w:p>
    <w:p w:rsidR="003A4AA6" w:rsidRDefault="003A4AA6" w:rsidP="006705EC">
      <w:pPr>
        <w:tabs>
          <w:tab w:val="left" w:pos="1790"/>
        </w:tabs>
        <w:jc w:val="right"/>
        <w:rPr>
          <w:sz w:val="26"/>
          <w:szCs w:val="26"/>
        </w:rPr>
      </w:pPr>
    </w:p>
    <w:sectPr w:rsidR="003A4AA6" w:rsidSect="00E51580">
      <w:footerReference w:type="default" r:id="rId43"/>
      <w:pgSz w:w="11906" w:h="16838"/>
      <w:pgMar w:top="71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62F" w:rsidRDefault="00DE662F" w:rsidP="00C76E78">
      <w:pPr>
        <w:spacing w:after="0" w:line="240" w:lineRule="auto"/>
      </w:pPr>
      <w:r>
        <w:separator/>
      </w:r>
    </w:p>
  </w:endnote>
  <w:endnote w:type="continuationSeparator" w:id="0">
    <w:p w:rsidR="00DE662F" w:rsidRDefault="00DE662F" w:rsidP="00C7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SaturionCyr">
    <w:altName w:val="Cambria"/>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TimokU">
    <w:altName w:val="Courier New"/>
    <w:charset w:val="00"/>
    <w:family w:val="auto"/>
    <w:pitch w:val="variable"/>
    <w:sig w:usb0="00000287" w:usb1="00000000"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Hebar">
    <w:altName w:val="Arial"/>
    <w:panose1 w:val="00000000000000000000"/>
    <w:charset w:val="00"/>
    <w:family w:val="swiss"/>
    <w:notTrueType/>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msCyr">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A6" w:rsidRDefault="003A4AA6">
    <w:pPr>
      <w:pStyle w:val="Footer"/>
      <w:rPr>
        <w:rFonts w:ascii="NewSaturionCyr" w:hAnsi="NewSaturionCyr"/>
        <w:sz w:val="14"/>
      </w:rPr>
    </w:pPr>
    <w:r>
      <w:rPr>
        <w:rFonts w:ascii="NewSaturionCyr" w:hAnsi="NewSaturionCyr"/>
        <w:sz w:val="14"/>
      </w:rPr>
      <w:t>мб-МЙ</w:t>
    </w:r>
    <w:r>
      <w:rPr>
        <w:rFonts w:ascii="NewSaturionCyr" w:hAnsi="NewSaturionCyr"/>
        <w:sz w:val="14"/>
      </w:rPr>
      <w:tab/>
    </w:r>
    <w:r>
      <w:rPr>
        <w:rFonts w:ascii="NewSaturionCyr" w:hAnsi="NewSaturionCyr"/>
        <w:sz w:val="14"/>
      </w:rPr>
      <w:tab/>
    </w:r>
    <w:r>
      <w:fldChar w:fldCharType="begin"/>
    </w:r>
    <w:r>
      <w:instrText xml:space="preserve"> FILENAME \* Upper \* MERGEFORMAT </w:instrText>
    </w:r>
    <w:r>
      <w:fldChar w:fldCharType="separate"/>
    </w:r>
    <w:r w:rsidRPr="00317594">
      <w:rPr>
        <w:rFonts w:ascii="NewSaturionCyr" w:hAnsi="NewSaturionCyr"/>
        <w:noProof/>
        <w:sz w:val="14"/>
      </w:rPr>
      <w:t>24RH843.DOCX</w:t>
    </w:r>
    <w:r>
      <w:rPr>
        <w:rFonts w:ascii="NewSaturionCyr" w:hAnsi="NewSaturionCyr"/>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596"/>
      <w:gridCol w:w="4596"/>
    </w:tblGrid>
    <w:tr w:rsidR="003A4AA6">
      <w:tc>
        <w:tcPr>
          <w:tcW w:w="4596" w:type="dxa"/>
        </w:tcPr>
        <w:p w:rsidR="003A4AA6" w:rsidRDefault="003A4AA6">
          <w:pPr>
            <w:pStyle w:val="Footer"/>
            <w:rPr>
              <w:rFonts w:ascii="NewSaturionCyr" w:hAnsi="NewSaturionCyr"/>
              <w:sz w:val="14"/>
            </w:rPr>
          </w:pPr>
          <w:r>
            <w:rPr>
              <w:rFonts w:ascii="NewSaturionCyr" w:hAnsi="NewSaturionCyr"/>
              <w:sz w:val="14"/>
            </w:rPr>
            <w:t>мб-МЙ</w:t>
          </w:r>
        </w:p>
      </w:tc>
      <w:tc>
        <w:tcPr>
          <w:tcW w:w="4596" w:type="dxa"/>
        </w:tcPr>
        <w:p w:rsidR="003A4AA6" w:rsidRDefault="003A4AA6">
          <w:pPr>
            <w:pStyle w:val="Footer"/>
            <w:jc w:val="right"/>
            <w:rPr>
              <w:rFonts w:ascii="NewSaturionCyr" w:hAnsi="NewSaturionCyr"/>
              <w:sz w:val="14"/>
            </w:rPr>
          </w:pPr>
          <w:r>
            <w:fldChar w:fldCharType="begin"/>
          </w:r>
          <w:r>
            <w:instrText xml:space="preserve"> FILENAME \* Upper \* MERGEFORMAT </w:instrText>
          </w:r>
          <w:r>
            <w:fldChar w:fldCharType="separate"/>
          </w:r>
          <w:r w:rsidRPr="00317594">
            <w:rPr>
              <w:rFonts w:ascii="NewSaturionCyr" w:hAnsi="NewSaturionCyr"/>
              <w:noProof/>
              <w:sz w:val="14"/>
            </w:rPr>
            <w:t>24RH843.DOCX</w:t>
          </w:r>
          <w:r>
            <w:rPr>
              <w:rFonts w:ascii="NewSaturionCyr" w:hAnsi="NewSaturionCyr"/>
              <w:noProof/>
              <w:sz w:val="14"/>
            </w:rPr>
            <w:fldChar w:fldCharType="end"/>
          </w:r>
        </w:p>
      </w:tc>
    </w:tr>
  </w:tbl>
  <w:p w:rsidR="003A4AA6" w:rsidRDefault="003A4AA6">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9E" w:rsidRPr="00C76E78" w:rsidRDefault="0071319E" w:rsidP="00C76E78">
    <w:pPr>
      <w:pStyle w:val="Footer"/>
      <w:pBdr>
        <w:top w:val="single" w:sz="6" w:space="1" w:color="auto"/>
      </w:pBdr>
      <w:jc w:val="center"/>
      <w:rPr>
        <w:rFonts w:ascii="Times New Roman" w:hAnsi="Times New Roman"/>
      </w:rPr>
    </w:pPr>
    <w:r>
      <w:rPr>
        <w:rFonts w:ascii="Times New Roman" w:hAnsi="Times New Roman"/>
        <w:i/>
      </w:rPr>
      <w:t>София, бул. „Дондуков“ № 1, тел. централа 940-29-99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62F" w:rsidRDefault="00DE662F" w:rsidP="00C76E78">
      <w:pPr>
        <w:spacing w:after="0" w:line="240" w:lineRule="auto"/>
      </w:pPr>
      <w:r>
        <w:separator/>
      </w:r>
    </w:p>
  </w:footnote>
  <w:footnote w:type="continuationSeparator" w:id="0">
    <w:p w:rsidR="00DE662F" w:rsidRDefault="00DE662F" w:rsidP="00C7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A6" w:rsidRDefault="003A4A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4AA6" w:rsidRDefault="003A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A6" w:rsidRPr="00EE34F6" w:rsidRDefault="003A4AA6">
    <w:pPr>
      <w:pStyle w:val="Header"/>
      <w:framePr w:wrap="auto" w:vAnchor="text" w:hAnchor="margin" w:xAlign="center" w:y="1"/>
      <w:rPr>
        <w:rStyle w:val="PageNumber"/>
        <w:rFonts w:ascii="HebarU" w:hAnsi="HebarU"/>
      </w:rPr>
    </w:pPr>
    <w:r w:rsidRPr="00EE34F6">
      <w:rPr>
        <w:rStyle w:val="PageNumber"/>
        <w:rFonts w:ascii="HebarU" w:hAnsi="HebarU"/>
      </w:rPr>
      <w:fldChar w:fldCharType="begin"/>
    </w:r>
    <w:r w:rsidRPr="00EE34F6">
      <w:rPr>
        <w:rStyle w:val="PageNumber"/>
        <w:rFonts w:ascii="HebarU" w:hAnsi="HebarU"/>
      </w:rPr>
      <w:instrText xml:space="preserve">PAGE  </w:instrText>
    </w:r>
    <w:r w:rsidRPr="00EE34F6">
      <w:rPr>
        <w:rStyle w:val="PageNumber"/>
        <w:rFonts w:ascii="HebarU" w:hAnsi="HebarU"/>
      </w:rPr>
      <w:fldChar w:fldCharType="separate"/>
    </w:r>
    <w:r>
      <w:rPr>
        <w:rStyle w:val="PageNumber"/>
        <w:rFonts w:ascii="HebarU" w:hAnsi="HebarU"/>
        <w:noProof/>
      </w:rPr>
      <w:t>2</w:t>
    </w:r>
    <w:r w:rsidRPr="00EE34F6">
      <w:rPr>
        <w:rStyle w:val="PageNumber"/>
        <w:rFonts w:ascii="HebarU" w:hAnsi="HebarU"/>
      </w:rPr>
      <w:fldChar w:fldCharType="end"/>
    </w:r>
  </w:p>
  <w:p w:rsidR="003A4AA6" w:rsidRDefault="003A4AA6">
    <w:pPr>
      <w:pStyle w:val="Header"/>
    </w:pPr>
  </w:p>
  <w:p w:rsidR="003A4AA6" w:rsidRDefault="003A4AA6">
    <w:pPr>
      <w:pStyle w:val="Header"/>
    </w:pPr>
  </w:p>
  <w:p w:rsidR="003A4AA6" w:rsidRDefault="003A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00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4A27D8"/>
    <w:multiLevelType w:val="hybridMultilevel"/>
    <w:tmpl w:val="F7D425E0"/>
    <w:lvl w:ilvl="0" w:tplc="56820E1E">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DB46135"/>
    <w:multiLevelType w:val="hybridMultilevel"/>
    <w:tmpl w:val="D14CCCA6"/>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15:restartNumberingAfterBreak="0">
    <w:nsid w:val="0F3E6397"/>
    <w:multiLevelType w:val="hybridMultilevel"/>
    <w:tmpl w:val="D722B68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16C0FF4"/>
    <w:multiLevelType w:val="hybridMultilevel"/>
    <w:tmpl w:val="625829EC"/>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5" w15:restartNumberingAfterBreak="0">
    <w:nsid w:val="20E11680"/>
    <w:multiLevelType w:val="hybridMultilevel"/>
    <w:tmpl w:val="625829EC"/>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6" w15:restartNumberingAfterBreak="0">
    <w:nsid w:val="245B7D5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4726C1D"/>
    <w:multiLevelType w:val="hybridMultilevel"/>
    <w:tmpl w:val="A92EDC44"/>
    <w:lvl w:ilvl="0" w:tplc="089A6D6E">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5916EC5"/>
    <w:multiLevelType w:val="hybridMultilevel"/>
    <w:tmpl w:val="625829EC"/>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9" w15:restartNumberingAfterBreak="0">
    <w:nsid w:val="27174578"/>
    <w:multiLevelType w:val="hybridMultilevel"/>
    <w:tmpl w:val="28E8C742"/>
    <w:lvl w:ilvl="0" w:tplc="D51421D4">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0" w15:restartNumberingAfterBreak="0">
    <w:nsid w:val="27604395"/>
    <w:multiLevelType w:val="hybridMultilevel"/>
    <w:tmpl w:val="28E8C742"/>
    <w:lvl w:ilvl="0" w:tplc="D51421D4">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1" w15:restartNumberingAfterBreak="0">
    <w:nsid w:val="2A2B671E"/>
    <w:multiLevelType w:val="hybridMultilevel"/>
    <w:tmpl w:val="E7821A28"/>
    <w:lvl w:ilvl="0" w:tplc="D51421D4">
      <w:start w:val="1"/>
      <w:numFmt w:val="decimal"/>
      <w:lvlText w:val="%1."/>
      <w:lvlJc w:val="left"/>
      <w:pPr>
        <w:ind w:left="5039"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2" w15:restartNumberingAfterBreak="0">
    <w:nsid w:val="32180B90"/>
    <w:multiLevelType w:val="hybridMultilevel"/>
    <w:tmpl w:val="B6289AEE"/>
    <w:lvl w:ilvl="0" w:tplc="7070171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3" w15:restartNumberingAfterBreak="0">
    <w:nsid w:val="39360B74"/>
    <w:multiLevelType w:val="multilevel"/>
    <w:tmpl w:val="19345E6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C0A12C3"/>
    <w:multiLevelType w:val="hybridMultilevel"/>
    <w:tmpl w:val="28E8C742"/>
    <w:lvl w:ilvl="0" w:tplc="D51421D4">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5" w15:restartNumberingAfterBreak="0">
    <w:nsid w:val="3C913927"/>
    <w:multiLevelType w:val="hybridMultilevel"/>
    <w:tmpl w:val="EAF676F0"/>
    <w:lvl w:ilvl="0" w:tplc="FFB67E98">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6" w15:restartNumberingAfterBreak="0">
    <w:nsid w:val="3E382113"/>
    <w:multiLevelType w:val="multilevel"/>
    <w:tmpl w:val="FFFFFFFF"/>
    <w:lvl w:ilvl="0">
      <w:start w:val="1"/>
      <w:numFmt w:val="bullet"/>
      <w:lvlText w:val="&gt;"/>
      <w:lvlJc w:val="left"/>
      <w:rPr>
        <w:rFonts w:ascii="Arial" w:eastAsia="Times New Roman" w:hAnsi="Arial"/>
        <w:b w:val="0"/>
        <w:i w:val="0"/>
        <w:smallCaps w:val="0"/>
        <w:strike w:val="0"/>
        <w:color w:val="000000"/>
        <w:spacing w:val="0"/>
        <w:w w:val="100"/>
        <w:position w:val="0"/>
        <w:sz w:val="3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F4C1125"/>
    <w:multiLevelType w:val="hybridMultilevel"/>
    <w:tmpl w:val="EAF676F0"/>
    <w:lvl w:ilvl="0" w:tplc="FFB67E98">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8" w15:restartNumberingAfterBreak="0">
    <w:nsid w:val="40E72584"/>
    <w:multiLevelType w:val="multilevel"/>
    <w:tmpl w:val="A4B8AD78"/>
    <w:lvl w:ilvl="0">
      <w:start w:val="1"/>
      <w:numFmt w:val="decimal"/>
      <w:lvlRestart w:val="0"/>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20320F6"/>
    <w:multiLevelType w:val="hybridMultilevel"/>
    <w:tmpl w:val="7D80042E"/>
    <w:lvl w:ilvl="0" w:tplc="02FAB3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0" w15:restartNumberingAfterBreak="0">
    <w:nsid w:val="441D61BD"/>
    <w:multiLevelType w:val="hybridMultilevel"/>
    <w:tmpl w:val="1E7E21FE"/>
    <w:lvl w:ilvl="0" w:tplc="D31EA916">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1" w15:restartNumberingAfterBreak="0">
    <w:nsid w:val="54840963"/>
    <w:multiLevelType w:val="hybridMultilevel"/>
    <w:tmpl w:val="ED8E0E36"/>
    <w:lvl w:ilvl="0" w:tplc="ADD69924">
      <w:start w:val="1"/>
      <w:numFmt w:val="decimal"/>
      <w:lvlText w:val="%1."/>
      <w:lvlJc w:val="left"/>
      <w:pPr>
        <w:ind w:left="720" w:hanging="360"/>
      </w:pPr>
      <w:rPr>
        <w:rFonts w:cs="Times New Roman" w:hint="default"/>
        <w:b/>
        <w:color w:val="auto"/>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15:restartNumberingAfterBreak="0">
    <w:nsid w:val="55E442DF"/>
    <w:multiLevelType w:val="hybridMultilevel"/>
    <w:tmpl w:val="D14CCCA6"/>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3" w15:restartNumberingAfterBreak="0">
    <w:nsid w:val="5F806ADD"/>
    <w:multiLevelType w:val="hybridMultilevel"/>
    <w:tmpl w:val="6AE6529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68F3006D"/>
    <w:multiLevelType w:val="hybridMultilevel"/>
    <w:tmpl w:val="7D1C295E"/>
    <w:lvl w:ilvl="0" w:tplc="F020941C">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5" w15:restartNumberingAfterBreak="0">
    <w:nsid w:val="6BC7795E"/>
    <w:multiLevelType w:val="hybridMultilevel"/>
    <w:tmpl w:val="49884F46"/>
    <w:lvl w:ilvl="0" w:tplc="94669374">
      <w:start w:val="2"/>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6" w15:restartNumberingAfterBreak="0">
    <w:nsid w:val="79F5766B"/>
    <w:multiLevelType w:val="hybridMultilevel"/>
    <w:tmpl w:val="6944B8A6"/>
    <w:lvl w:ilvl="0" w:tplc="93442CA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7" w15:restartNumberingAfterBreak="0">
    <w:nsid w:val="7DDA776C"/>
    <w:multiLevelType w:val="hybridMultilevel"/>
    <w:tmpl w:val="5C767746"/>
    <w:lvl w:ilvl="0" w:tplc="C43CBD14">
      <w:start w:val="1"/>
      <w:numFmt w:val="decimal"/>
      <w:lvlText w:val="%1."/>
      <w:lvlJc w:val="left"/>
      <w:pPr>
        <w:ind w:left="2048" w:hanging="360"/>
      </w:pPr>
      <w:rPr>
        <w:rFonts w:cs="Times New Roman" w:hint="default"/>
      </w:rPr>
    </w:lvl>
    <w:lvl w:ilvl="1" w:tplc="04090019" w:tentative="1">
      <w:start w:val="1"/>
      <w:numFmt w:val="lowerLetter"/>
      <w:lvlText w:val="%2."/>
      <w:lvlJc w:val="left"/>
      <w:pPr>
        <w:ind w:left="2768" w:hanging="360"/>
      </w:pPr>
      <w:rPr>
        <w:rFonts w:cs="Times New Roman"/>
      </w:rPr>
    </w:lvl>
    <w:lvl w:ilvl="2" w:tplc="0409001B" w:tentative="1">
      <w:start w:val="1"/>
      <w:numFmt w:val="lowerRoman"/>
      <w:lvlText w:val="%3."/>
      <w:lvlJc w:val="right"/>
      <w:pPr>
        <w:ind w:left="3488" w:hanging="180"/>
      </w:pPr>
      <w:rPr>
        <w:rFonts w:cs="Times New Roman"/>
      </w:rPr>
    </w:lvl>
    <w:lvl w:ilvl="3" w:tplc="0409000F" w:tentative="1">
      <w:start w:val="1"/>
      <w:numFmt w:val="decimal"/>
      <w:lvlText w:val="%4."/>
      <w:lvlJc w:val="left"/>
      <w:pPr>
        <w:ind w:left="4208" w:hanging="360"/>
      </w:pPr>
      <w:rPr>
        <w:rFonts w:cs="Times New Roman"/>
      </w:rPr>
    </w:lvl>
    <w:lvl w:ilvl="4" w:tplc="04090019" w:tentative="1">
      <w:start w:val="1"/>
      <w:numFmt w:val="lowerLetter"/>
      <w:lvlText w:val="%5."/>
      <w:lvlJc w:val="left"/>
      <w:pPr>
        <w:ind w:left="4928" w:hanging="360"/>
      </w:pPr>
      <w:rPr>
        <w:rFonts w:cs="Times New Roman"/>
      </w:rPr>
    </w:lvl>
    <w:lvl w:ilvl="5" w:tplc="0409001B" w:tentative="1">
      <w:start w:val="1"/>
      <w:numFmt w:val="lowerRoman"/>
      <w:lvlText w:val="%6."/>
      <w:lvlJc w:val="right"/>
      <w:pPr>
        <w:ind w:left="5648" w:hanging="180"/>
      </w:pPr>
      <w:rPr>
        <w:rFonts w:cs="Times New Roman"/>
      </w:rPr>
    </w:lvl>
    <w:lvl w:ilvl="6" w:tplc="0409000F" w:tentative="1">
      <w:start w:val="1"/>
      <w:numFmt w:val="decimal"/>
      <w:lvlText w:val="%7."/>
      <w:lvlJc w:val="left"/>
      <w:pPr>
        <w:ind w:left="6368" w:hanging="360"/>
      </w:pPr>
      <w:rPr>
        <w:rFonts w:cs="Times New Roman"/>
      </w:rPr>
    </w:lvl>
    <w:lvl w:ilvl="7" w:tplc="04090019" w:tentative="1">
      <w:start w:val="1"/>
      <w:numFmt w:val="lowerLetter"/>
      <w:lvlText w:val="%8."/>
      <w:lvlJc w:val="left"/>
      <w:pPr>
        <w:ind w:left="7088" w:hanging="360"/>
      </w:pPr>
      <w:rPr>
        <w:rFonts w:cs="Times New Roman"/>
      </w:rPr>
    </w:lvl>
    <w:lvl w:ilvl="8" w:tplc="0409001B" w:tentative="1">
      <w:start w:val="1"/>
      <w:numFmt w:val="lowerRoman"/>
      <w:lvlText w:val="%9."/>
      <w:lvlJc w:val="right"/>
      <w:pPr>
        <w:ind w:left="7808" w:hanging="180"/>
      </w:pPr>
      <w:rPr>
        <w:rFonts w:cs="Times New Roman"/>
      </w:rPr>
    </w:lvl>
  </w:abstractNum>
  <w:abstractNum w:abstractNumId="28" w15:restartNumberingAfterBreak="0">
    <w:nsid w:val="7EEC04E8"/>
    <w:multiLevelType w:val="hybridMultilevel"/>
    <w:tmpl w:val="625829EC"/>
    <w:lvl w:ilvl="0" w:tplc="37EA609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num w:numId="1">
    <w:abstractNumId w:val="18"/>
  </w:num>
  <w:num w:numId="2">
    <w:abstractNumId w:val="21"/>
  </w:num>
  <w:num w:numId="3">
    <w:abstractNumId w:val="25"/>
  </w:num>
  <w:num w:numId="4">
    <w:abstractNumId w:val="23"/>
  </w:num>
  <w:num w:numId="5">
    <w:abstractNumId w:val="3"/>
  </w:num>
  <w:num w:numId="6">
    <w:abstractNumId w:val="26"/>
  </w:num>
  <w:num w:numId="7">
    <w:abstractNumId w:val="14"/>
  </w:num>
  <w:num w:numId="8">
    <w:abstractNumId w:val="9"/>
  </w:num>
  <w:num w:numId="9">
    <w:abstractNumId w:val="11"/>
  </w:num>
  <w:num w:numId="10">
    <w:abstractNumId w:val="17"/>
  </w:num>
  <w:num w:numId="11">
    <w:abstractNumId w:val="15"/>
  </w:num>
  <w:num w:numId="12">
    <w:abstractNumId w:val="10"/>
  </w:num>
  <w:num w:numId="13">
    <w:abstractNumId w:val="27"/>
  </w:num>
  <w:num w:numId="14">
    <w:abstractNumId w:val="20"/>
  </w:num>
  <w:num w:numId="15">
    <w:abstractNumId w:val="12"/>
  </w:num>
  <w:num w:numId="16">
    <w:abstractNumId w:val="1"/>
  </w:num>
  <w:num w:numId="17">
    <w:abstractNumId w:val="4"/>
  </w:num>
  <w:num w:numId="18">
    <w:abstractNumId w:val="24"/>
  </w:num>
  <w:num w:numId="19">
    <w:abstractNumId w:val="28"/>
  </w:num>
  <w:num w:numId="20">
    <w:abstractNumId w:val="8"/>
  </w:num>
  <w:num w:numId="21">
    <w:abstractNumId w:val="2"/>
  </w:num>
  <w:num w:numId="22">
    <w:abstractNumId w:val="5"/>
  </w:num>
  <w:num w:numId="23">
    <w:abstractNumId w:val="22"/>
  </w:num>
  <w:num w:numId="24">
    <w:abstractNumId w:val="7"/>
  </w:num>
  <w:num w:numId="25">
    <w:abstractNumId w:val="19"/>
  </w:num>
  <w:num w:numId="26">
    <w:abstractNumId w:val="6"/>
  </w:num>
  <w:num w:numId="27">
    <w:abstractNumId w:val="16"/>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4F"/>
    <w:rsid w:val="00025A28"/>
    <w:rsid w:val="00062E94"/>
    <w:rsid w:val="0007412D"/>
    <w:rsid w:val="00082C2F"/>
    <w:rsid w:val="000A1E52"/>
    <w:rsid w:val="000B2749"/>
    <w:rsid w:val="000C3849"/>
    <w:rsid w:val="000E13E2"/>
    <w:rsid w:val="000F406B"/>
    <w:rsid w:val="001116EB"/>
    <w:rsid w:val="00115562"/>
    <w:rsid w:val="00135DD6"/>
    <w:rsid w:val="0014733D"/>
    <w:rsid w:val="001776C6"/>
    <w:rsid w:val="001A278F"/>
    <w:rsid w:val="001F4478"/>
    <w:rsid w:val="00211BAD"/>
    <w:rsid w:val="00231BDF"/>
    <w:rsid w:val="00232E84"/>
    <w:rsid w:val="00237A07"/>
    <w:rsid w:val="00240EDA"/>
    <w:rsid w:val="00252C49"/>
    <w:rsid w:val="0027338E"/>
    <w:rsid w:val="00292B92"/>
    <w:rsid w:val="002946FE"/>
    <w:rsid w:val="002B416D"/>
    <w:rsid w:val="002C2296"/>
    <w:rsid w:val="002C68B1"/>
    <w:rsid w:val="002E2396"/>
    <w:rsid w:val="002F3688"/>
    <w:rsid w:val="002F48F0"/>
    <w:rsid w:val="0034142F"/>
    <w:rsid w:val="0035740B"/>
    <w:rsid w:val="0036693A"/>
    <w:rsid w:val="00384E54"/>
    <w:rsid w:val="00394A0B"/>
    <w:rsid w:val="0039726F"/>
    <w:rsid w:val="00397E69"/>
    <w:rsid w:val="003A4AA6"/>
    <w:rsid w:val="003B1FC8"/>
    <w:rsid w:val="003C5F11"/>
    <w:rsid w:val="003D6CE6"/>
    <w:rsid w:val="003E0AFE"/>
    <w:rsid w:val="003E55E8"/>
    <w:rsid w:val="00400735"/>
    <w:rsid w:val="004227D5"/>
    <w:rsid w:val="00431A8D"/>
    <w:rsid w:val="0044032E"/>
    <w:rsid w:val="004475D2"/>
    <w:rsid w:val="00447B3B"/>
    <w:rsid w:val="004806F5"/>
    <w:rsid w:val="004808B3"/>
    <w:rsid w:val="0049490A"/>
    <w:rsid w:val="00496B33"/>
    <w:rsid w:val="004A47BB"/>
    <w:rsid w:val="004A6F7E"/>
    <w:rsid w:val="004B7A79"/>
    <w:rsid w:val="004C5821"/>
    <w:rsid w:val="004C5E6F"/>
    <w:rsid w:val="004D3B45"/>
    <w:rsid w:val="004E332A"/>
    <w:rsid w:val="005244BD"/>
    <w:rsid w:val="00544B2E"/>
    <w:rsid w:val="00553A67"/>
    <w:rsid w:val="0056181D"/>
    <w:rsid w:val="00577074"/>
    <w:rsid w:val="00582084"/>
    <w:rsid w:val="005A739D"/>
    <w:rsid w:val="005B472D"/>
    <w:rsid w:val="005C5F85"/>
    <w:rsid w:val="005C646A"/>
    <w:rsid w:val="005D6520"/>
    <w:rsid w:val="005E6667"/>
    <w:rsid w:val="00631C45"/>
    <w:rsid w:val="0065182B"/>
    <w:rsid w:val="00651E8A"/>
    <w:rsid w:val="00653C89"/>
    <w:rsid w:val="00657401"/>
    <w:rsid w:val="00662FA1"/>
    <w:rsid w:val="00666ABC"/>
    <w:rsid w:val="006679A4"/>
    <w:rsid w:val="006705EC"/>
    <w:rsid w:val="0067735E"/>
    <w:rsid w:val="006A0DCD"/>
    <w:rsid w:val="006A4DAF"/>
    <w:rsid w:val="006D6CE3"/>
    <w:rsid w:val="006D7E74"/>
    <w:rsid w:val="006E164F"/>
    <w:rsid w:val="007016BD"/>
    <w:rsid w:val="0071319E"/>
    <w:rsid w:val="0072063B"/>
    <w:rsid w:val="0074784A"/>
    <w:rsid w:val="007540B0"/>
    <w:rsid w:val="00754188"/>
    <w:rsid w:val="007554AE"/>
    <w:rsid w:val="007745A6"/>
    <w:rsid w:val="00776EC7"/>
    <w:rsid w:val="00777485"/>
    <w:rsid w:val="00792F8A"/>
    <w:rsid w:val="007972DA"/>
    <w:rsid w:val="007A6654"/>
    <w:rsid w:val="007E6B1F"/>
    <w:rsid w:val="00831CCF"/>
    <w:rsid w:val="00844B53"/>
    <w:rsid w:val="00852227"/>
    <w:rsid w:val="008670F1"/>
    <w:rsid w:val="00894DCE"/>
    <w:rsid w:val="008A787F"/>
    <w:rsid w:val="008D50D4"/>
    <w:rsid w:val="00900896"/>
    <w:rsid w:val="00904F7B"/>
    <w:rsid w:val="00963E66"/>
    <w:rsid w:val="00964A62"/>
    <w:rsid w:val="00982783"/>
    <w:rsid w:val="00991E9B"/>
    <w:rsid w:val="009933B0"/>
    <w:rsid w:val="00996067"/>
    <w:rsid w:val="009A3ED9"/>
    <w:rsid w:val="009A4A5D"/>
    <w:rsid w:val="009B670F"/>
    <w:rsid w:val="009B6DF6"/>
    <w:rsid w:val="009C049D"/>
    <w:rsid w:val="009D216C"/>
    <w:rsid w:val="00A01A2A"/>
    <w:rsid w:val="00A24784"/>
    <w:rsid w:val="00A41459"/>
    <w:rsid w:val="00A6064F"/>
    <w:rsid w:val="00A64A47"/>
    <w:rsid w:val="00A725E1"/>
    <w:rsid w:val="00A9775E"/>
    <w:rsid w:val="00AA50D7"/>
    <w:rsid w:val="00AB3D33"/>
    <w:rsid w:val="00B15CF9"/>
    <w:rsid w:val="00B21259"/>
    <w:rsid w:val="00B351B8"/>
    <w:rsid w:val="00B368DC"/>
    <w:rsid w:val="00B57116"/>
    <w:rsid w:val="00B73DF2"/>
    <w:rsid w:val="00B93475"/>
    <w:rsid w:val="00BA1914"/>
    <w:rsid w:val="00BB48D8"/>
    <w:rsid w:val="00BB5414"/>
    <w:rsid w:val="00BE70DF"/>
    <w:rsid w:val="00C32E3D"/>
    <w:rsid w:val="00C3436C"/>
    <w:rsid w:val="00C54622"/>
    <w:rsid w:val="00C76E78"/>
    <w:rsid w:val="00C80092"/>
    <w:rsid w:val="00C85044"/>
    <w:rsid w:val="00CA481E"/>
    <w:rsid w:val="00CD4086"/>
    <w:rsid w:val="00CE2166"/>
    <w:rsid w:val="00CF0428"/>
    <w:rsid w:val="00D01085"/>
    <w:rsid w:val="00D6401D"/>
    <w:rsid w:val="00D7481E"/>
    <w:rsid w:val="00D775CC"/>
    <w:rsid w:val="00D8105B"/>
    <w:rsid w:val="00D920DE"/>
    <w:rsid w:val="00D95782"/>
    <w:rsid w:val="00DB052B"/>
    <w:rsid w:val="00DB6A47"/>
    <w:rsid w:val="00DD197A"/>
    <w:rsid w:val="00DD2162"/>
    <w:rsid w:val="00DD3D8F"/>
    <w:rsid w:val="00DE662F"/>
    <w:rsid w:val="00E00066"/>
    <w:rsid w:val="00E064A1"/>
    <w:rsid w:val="00E12A87"/>
    <w:rsid w:val="00E278B9"/>
    <w:rsid w:val="00E51580"/>
    <w:rsid w:val="00E607AC"/>
    <w:rsid w:val="00E61FE9"/>
    <w:rsid w:val="00E65B12"/>
    <w:rsid w:val="00E77F72"/>
    <w:rsid w:val="00E84E4E"/>
    <w:rsid w:val="00EC5323"/>
    <w:rsid w:val="00ED13E8"/>
    <w:rsid w:val="00ED336F"/>
    <w:rsid w:val="00EF4BDE"/>
    <w:rsid w:val="00F00D8F"/>
    <w:rsid w:val="00F06E5F"/>
    <w:rsid w:val="00F13363"/>
    <w:rsid w:val="00F1364F"/>
    <w:rsid w:val="00F63E20"/>
    <w:rsid w:val="00F7680E"/>
    <w:rsid w:val="00FA3D00"/>
    <w:rsid w:val="00FA45E2"/>
    <w:rsid w:val="00FA5CA9"/>
    <w:rsid w:val="00FB00FF"/>
    <w:rsid w:val="00FB335C"/>
    <w:rsid w:val="00FC0227"/>
    <w:rsid w:val="00FD0FC8"/>
    <w:rsid w:val="00FD3684"/>
    <w:rsid w:val="00FE22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477F2"/>
  <w15:docId w15:val="{738198B5-2D9E-422E-92BB-86385F85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3B0"/>
    <w:pPr>
      <w:spacing w:after="160" w:line="259" w:lineRule="auto"/>
    </w:pPr>
    <w:rPr>
      <w:lang w:eastAsia="en-US"/>
    </w:rPr>
  </w:style>
  <w:style w:type="paragraph" w:styleId="Heading1">
    <w:name w:val="heading 1"/>
    <w:basedOn w:val="Normal"/>
    <w:next w:val="Normal"/>
    <w:link w:val="Heading1Char"/>
    <w:uiPriority w:val="99"/>
    <w:qFormat/>
    <w:locked/>
    <w:rsid w:val="003A4A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locked/>
    <w:rsid w:val="003A4AA6"/>
    <w:pPr>
      <w:keepNext/>
      <w:spacing w:after="0" w:line="240" w:lineRule="auto"/>
      <w:jc w:val="center"/>
      <w:outlineLvl w:val="1"/>
    </w:pPr>
    <w:rPr>
      <w:rFonts w:ascii="NewSaturionCyr" w:eastAsia="Times New Roman" w:hAnsi="NewSaturionCyr"/>
      <w:b/>
      <w:spacing w:val="216"/>
      <w:sz w:val="26"/>
      <w:szCs w:val="20"/>
      <w:lang w:val="en-GB"/>
    </w:rPr>
  </w:style>
  <w:style w:type="paragraph" w:styleId="Heading3">
    <w:name w:val="heading 3"/>
    <w:basedOn w:val="Normal"/>
    <w:next w:val="Normal"/>
    <w:link w:val="Heading3Char"/>
    <w:uiPriority w:val="99"/>
    <w:qFormat/>
    <w:locked/>
    <w:rsid w:val="003A4AA6"/>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uiPriority w:val="99"/>
    <w:qFormat/>
    <w:locked/>
    <w:rsid w:val="003A4AA6"/>
    <w:pPr>
      <w:keepNext/>
      <w:spacing w:after="0" w:line="240" w:lineRule="auto"/>
      <w:jc w:val="center"/>
      <w:outlineLvl w:val="3"/>
    </w:pPr>
    <w:rPr>
      <w:rFonts w:ascii="HebarU" w:eastAsia="Times New Roman" w:hAnsi="HebarU"/>
      <w:b/>
      <w:sz w:val="28"/>
      <w:szCs w:val="20"/>
    </w:rPr>
  </w:style>
  <w:style w:type="paragraph" w:styleId="Heading6">
    <w:name w:val="heading 6"/>
    <w:basedOn w:val="Normal"/>
    <w:next w:val="Normal"/>
    <w:link w:val="Heading6Char"/>
    <w:uiPriority w:val="99"/>
    <w:qFormat/>
    <w:locked/>
    <w:rsid w:val="003A4AA6"/>
    <w:pPr>
      <w:keepNext/>
      <w:widowControl w:val="0"/>
      <w:spacing w:after="0" w:line="240" w:lineRule="auto"/>
      <w:jc w:val="center"/>
      <w:outlineLvl w:val="5"/>
    </w:pPr>
    <w:rPr>
      <w:rFonts w:ascii="HebarU" w:eastAsia="Times New Roman" w:hAnsi="HebarU"/>
      <w:b/>
      <w:szCs w:val="20"/>
    </w:rPr>
  </w:style>
  <w:style w:type="paragraph" w:styleId="Heading7">
    <w:name w:val="heading 7"/>
    <w:basedOn w:val="Normal"/>
    <w:next w:val="Normal"/>
    <w:link w:val="Heading7Char1"/>
    <w:uiPriority w:val="99"/>
    <w:qFormat/>
    <w:rsid w:val="006705EC"/>
    <w:pPr>
      <w:keepNext/>
      <w:pBdr>
        <w:bottom w:val="single" w:sz="6" w:space="1" w:color="auto"/>
      </w:pBdr>
      <w:spacing w:after="0" w:line="240" w:lineRule="auto"/>
      <w:outlineLvl w:val="6"/>
    </w:pPr>
    <w:rPr>
      <w:rFonts w:ascii="TimokU" w:hAnsi="TimokU"/>
      <w:b/>
      <w:spacing w:val="56"/>
      <w:kern w:val="144"/>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uiPriority w:val="99"/>
    <w:locked/>
    <w:rsid w:val="00E12A87"/>
    <w:rPr>
      <w:rFonts w:ascii="Calibri" w:hAnsi="Calibri" w:cs="Times New Roman"/>
      <w:sz w:val="24"/>
      <w:szCs w:val="24"/>
      <w:lang w:eastAsia="en-US"/>
    </w:rPr>
  </w:style>
  <w:style w:type="character" w:customStyle="1" w:styleId="Heading7Char1">
    <w:name w:val="Heading 7 Char1"/>
    <w:link w:val="Heading7"/>
    <w:uiPriority w:val="99"/>
    <w:locked/>
    <w:rsid w:val="006705EC"/>
    <w:rPr>
      <w:rFonts w:ascii="TimokU" w:hAnsi="TimokU"/>
      <w:b/>
      <w:spacing w:val="56"/>
      <w:kern w:val="144"/>
      <w:sz w:val="20"/>
    </w:rPr>
  </w:style>
  <w:style w:type="paragraph" w:styleId="Caption">
    <w:name w:val="caption"/>
    <w:basedOn w:val="Normal"/>
    <w:next w:val="Normal"/>
    <w:uiPriority w:val="99"/>
    <w:qFormat/>
    <w:rsid w:val="006705EC"/>
    <w:pPr>
      <w:spacing w:after="0" w:line="240" w:lineRule="auto"/>
    </w:pPr>
    <w:rPr>
      <w:rFonts w:ascii="TimokU" w:eastAsia="Times New Roman" w:hAnsi="TimokU"/>
      <w:b/>
      <w:caps/>
      <w:szCs w:val="20"/>
    </w:rPr>
  </w:style>
  <w:style w:type="paragraph" w:styleId="Header">
    <w:name w:val="header"/>
    <w:basedOn w:val="Normal"/>
    <w:link w:val="HeaderChar1"/>
    <w:uiPriority w:val="99"/>
    <w:rsid w:val="00C76E78"/>
    <w:pPr>
      <w:tabs>
        <w:tab w:val="center" w:pos="4536"/>
        <w:tab w:val="right" w:pos="9072"/>
      </w:tabs>
      <w:spacing w:after="0" w:line="240" w:lineRule="auto"/>
    </w:pPr>
    <w:rPr>
      <w:sz w:val="20"/>
      <w:szCs w:val="20"/>
      <w:lang w:eastAsia="bg-BG"/>
    </w:rPr>
  </w:style>
  <w:style w:type="character" w:customStyle="1" w:styleId="HeaderChar">
    <w:name w:val="Header Char"/>
    <w:basedOn w:val="DefaultParagraphFont"/>
    <w:uiPriority w:val="99"/>
    <w:locked/>
    <w:rsid w:val="00E12A87"/>
    <w:rPr>
      <w:rFonts w:cs="Times New Roman"/>
      <w:lang w:eastAsia="en-US"/>
    </w:rPr>
  </w:style>
  <w:style w:type="character" w:customStyle="1" w:styleId="HeaderChar1">
    <w:name w:val="Header Char1"/>
    <w:link w:val="Header"/>
    <w:uiPriority w:val="99"/>
    <w:locked/>
    <w:rsid w:val="00C76E78"/>
  </w:style>
  <w:style w:type="paragraph" w:styleId="Footer">
    <w:name w:val="footer"/>
    <w:basedOn w:val="Normal"/>
    <w:link w:val="FooterChar1"/>
    <w:uiPriority w:val="99"/>
    <w:rsid w:val="00C76E78"/>
    <w:pPr>
      <w:tabs>
        <w:tab w:val="center" w:pos="4536"/>
        <w:tab w:val="right" w:pos="9072"/>
      </w:tabs>
      <w:spacing w:after="0" w:line="240" w:lineRule="auto"/>
    </w:pPr>
    <w:rPr>
      <w:sz w:val="20"/>
      <w:szCs w:val="20"/>
      <w:lang w:eastAsia="bg-BG"/>
    </w:rPr>
  </w:style>
  <w:style w:type="character" w:customStyle="1" w:styleId="FooterChar">
    <w:name w:val="Footer Char"/>
    <w:basedOn w:val="DefaultParagraphFont"/>
    <w:uiPriority w:val="99"/>
    <w:locked/>
    <w:rsid w:val="00E12A87"/>
    <w:rPr>
      <w:rFonts w:cs="Times New Roman"/>
      <w:lang w:eastAsia="en-US"/>
    </w:rPr>
  </w:style>
  <w:style w:type="character" w:customStyle="1" w:styleId="FooterChar1">
    <w:name w:val="Footer Char1"/>
    <w:link w:val="Footer"/>
    <w:uiPriority w:val="99"/>
    <w:locked/>
    <w:rsid w:val="00C76E78"/>
  </w:style>
  <w:style w:type="paragraph" w:styleId="BalloonText">
    <w:name w:val="Balloon Text"/>
    <w:basedOn w:val="Normal"/>
    <w:link w:val="BalloonTextChar1"/>
    <w:uiPriority w:val="99"/>
    <w:semiHidden/>
    <w:rsid w:val="002C2296"/>
    <w:pPr>
      <w:spacing w:after="0" w:line="240" w:lineRule="auto"/>
    </w:pPr>
    <w:rPr>
      <w:rFonts w:ascii="Segoe UI" w:hAnsi="Segoe UI"/>
      <w:sz w:val="18"/>
      <w:szCs w:val="20"/>
      <w:lang w:eastAsia="bg-BG"/>
    </w:rPr>
  </w:style>
  <w:style w:type="character" w:customStyle="1" w:styleId="BalloonTextChar">
    <w:name w:val="Balloon Text Char"/>
    <w:basedOn w:val="DefaultParagraphFont"/>
    <w:uiPriority w:val="99"/>
    <w:semiHidden/>
    <w:locked/>
    <w:rsid w:val="00E12A87"/>
    <w:rPr>
      <w:rFonts w:ascii="Times New Roman" w:hAnsi="Times New Roman" w:cs="Times New Roman"/>
      <w:sz w:val="2"/>
      <w:lang w:eastAsia="en-US"/>
    </w:rPr>
  </w:style>
  <w:style w:type="character" w:customStyle="1" w:styleId="BalloonTextChar1">
    <w:name w:val="Balloon Text Char1"/>
    <w:link w:val="BalloonText"/>
    <w:uiPriority w:val="99"/>
    <w:semiHidden/>
    <w:locked/>
    <w:rsid w:val="002C2296"/>
    <w:rPr>
      <w:rFonts w:ascii="Segoe UI" w:hAnsi="Segoe UI"/>
      <w:sz w:val="18"/>
    </w:rPr>
  </w:style>
  <w:style w:type="paragraph" w:styleId="BodyTextIndent3">
    <w:name w:val="Body Text Indent 3"/>
    <w:basedOn w:val="Normal"/>
    <w:link w:val="BodyTextIndent3Char1"/>
    <w:uiPriority w:val="99"/>
    <w:rsid w:val="003B1FC8"/>
    <w:pPr>
      <w:spacing w:after="120" w:line="240" w:lineRule="auto"/>
      <w:ind w:left="283"/>
    </w:pPr>
    <w:rPr>
      <w:rFonts w:ascii="Hebar" w:hAnsi="Hebar"/>
      <w:sz w:val="16"/>
      <w:szCs w:val="20"/>
      <w:lang w:val="en-GB"/>
    </w:rPr>
  </w:style>
  <w:style w:type="character" w:customStyle="1" w:styleId="BodyTextIndent3Char">
    <w:name w:val="Body Text Indent 3 Char"/>
    <w:basedOn w:val="DefaultParagraphFont"/>
    <w:uiPriority w:val="99"/>
    <w:locked/>
    <w:rsid w:val="00E12A87"/>
    <w:rPr>
      <w:rFonts w:cs="Times New Roman"/>
      <w:sz w:val="16"/>
      <w:szCs w:val="16"/>
      <w:lang w:eastAsia="en-US"/>
    </w:rPr>
  </w:style>
  <w:style w:type="character" w:customStyle="1" w:styleId="BodyTextIndent3Char1">
    <w:name w:val="Body Text Indent 3 Char1"/>
    <w:link w:val="BodyTextIndent3"/>
    <w:uiPriority w:val="99"/>
    <w:locked/>
    <w:rsid w:val="003B1FC8"/>
    <w:rPr>
      <w:rFonts w:ascii="Hebar" w:hAnsi="Hebar"/>
      <w:sz w:val="16"/>
      <w:lang w:val="en-GB" w:eastAsia="en-US"/>
    </w:rPr>
  </w:style>
  <w:style w:type="character" w:customStyle="1" w:styleId="Heading1Char">
    <w:name w:val="Heading 1 Char"/>
    <w:basedOn w:val="DefaultParagraphFont"/>
    <w:link w:val="Heading1"/>
    <w:uiPriority w:val="99"/>
    <w:rsid w:val="003A4AA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rsid w:val="003A4AA6"/>
    <w:rPr>
      <w:rFonts w:ascii="NewSaturionCyr" w:eastAsia="Times New Roman" w:hAnsi="NewSaturionCyr"/>
      <w:b/>
      <w:spacing w:val="216"/>
      <w:sz w:val="26"/>
      <w:szCs w:val="20"/>
      <w:lang w:val="en-GB" w:eastAsia="en-US"/>
    </w:rPr>
  </w:style>
  <w:style w:type="character" w:customStyle="1" w:styleId="Heading3Char">
    <w:name w:val="Heading 3 Char"/>
    <w:basedOn w:val="DefaultParagraphFont"/>
    <w:link w:val="Heading3"/>
    <w:uiPriority w:val="99"/>
    <w:rsid w:val="003A4AA6"/>
    <w:rPr>
      <w:rFonts w:ascii="Times New Roman" w:eastAsia="Times New Roman" w:hAnsi="Times New Roman"/>
      <w:sz w:val="24"/>
      <w:szCs w:val="20"/>
      <w:lang w:eastAsia="en-US"/>
    </w:rPr>
  </w:style>
  <w:style w:type="character" w:customStyle="1" w:styleId="Heading4Char">
    <w:name w:val="Heading 4 Char"/>
    <w:basedOn w:val="DefaultParagraphFont"/>
    <w:link w:val="Heading4"/>
    <w:uiPriority w:val="99"/>
    <w:rsid w:val="003A4AA6"/>
    <w:rPr>
      <w:rFonts w:ascii="HebarU" w:eastAsia="Times New Roman" w:hAnsi="HebarU"/>
      <w:b/>
      <w:sz w:val="28"/>
      <w:szCs w:val="20"/>
      <w:lang w:eastAsia="en-US"/>
    </w:rPr>
  </w:style>
  <w:style w:type="character" w:customStyle="1" w:styleId="Heading6Char">
    <w:name w:val="Heading 6 Char"/>
    <w:basedOn w:val="DefaultParagraphFont"/>
    <w:link w:val="Heading6"/>
    <w:uiPriority w:val="99"/>
    <w:rsid w:val="003A4AA6"/>
    <w:rPr>
      <w:rFonts w:ascii="HebarU" w:eastAsia="Times New Roman" w:hAnsi="HebarU"/>
      <w:b/>
      <w:szCs w:val="20"/>
      <w:lang w:eastAsia="en-US"/>
    </w:rPr>
  </w:style>
  <w:style w:type="numbering" w:customStyle="1" w:styleId="NoList1">
    <w:name w:val="No List1"/>
    <w:next w:val="NoList"/>
    <w:uiPriority w:val="99"/>
    <w:semiHidden/>
    <w:unhideWhenUsed/>
    <w:rsid w:val="003A4AA6"/>
  </w:style>
  <w:style w:type="paragraph" w:styleId="CommentText">
    <w:name w:val="annotation text"/>
    <w:basedOn w:val="Normal"/>
    <w:link w:val="CommentTextChar"/>
    <w:uiPriority w:val="99"/>
    <w:semiHidden/>
    <w:rsid w:val="003A4AA6"/>
    <w:pPr>
      <w:spacing w:after="0" w:line="240" w:lineRule="auto"/>
    </w:pPr>
    <w:rPr>
      <w:rFonts w:ascii="Hebar" w:eastAsia="Times New Roman" w:hAnsi="Hebar"/>
      <w:sz w:val="20"/>
      <w:szCs w:val="20"/>
      <w:lang w:val="en-GB"/>
    </w:rPr>
  </w:style>
  <w:style w:type="character" w:customStyle="1" w:styleId="CommentTextChar">
    <w:name w:val="Comment Text Char"/>
    <w:basedOn w:val="DefaultParagraphFont"/>
    <w:link w:val="CommentText"/>
    <w:uiPriority w:val="99"/>
    <w:semiHidden/>
    <w:rsid w:val="003A4AA6"/>
    <w:rPr>
      <w:rFonts w:ascii="Hebar" w:eastAsia="Times New Roman" w:hAnsi="Hebar"/>
      <w:sz w:val="20"/>
      <w:szCs w:val="20"/>
      <w:lang w:val="en-GB" w:eastAsia="en-US"/>
    </w:rPr>
  </w:style>
  <w:style w:type="character" w:styleId="PageNumber">
    <w:name w:val="page number"/>
    <w:uiPriority w:val="99"/>
    <w:rsid w:val="003A4AA6"/>
    <w:rPr>
      <w:rFonts w:cs="Times New Roman"/>
    </w:rPr>
  </w:style>
  <w:style w:type="paragraph" w:customStyle="1" w:styleId="BodyText21">
    <w:name w:val="Body Text 21"/>
    <w:basedOn w:val="Normal"/>
    <w:uiPriority w:val="99"/>
    <w:rsid w:val="003A4AA6"/>
    <w:pPr>
      <w:widowControl w:val="0"/>
      <w:spacing w:after="0" w:line="240" w:lineRule="auto"/>
      <w:ind w:firstLine="1418"/>
      <w:jc w:val="both"/>
    </w:pPr>
    <w:rPr>
      <w:rFonts w:ascii="HebarU" w:eastAsia="Times New Roman" w:hAnsi="HebarU"/>
      <w:szCs w:val="20"/>
    </w:rPr>
  </w:style>
  <w:style w:type="paragraph" w:styleId="BodyText3">
    <w:name w:val="Body Text 3"/>
    <w:basedOn w:val="Normal"/>
    <w:link w:val="BodyText3Char"/>
    <w:uiPriority w:val="99"/>
    <w:rsid w:val="003A4AA6"/>
    <w:pPr>
      <w:widowControl w:val="0"/>
      <w:spacing w:after="0" w:line="240" w:lineRule="auto"/>
      <w:jc w:val="both"/>
    </w:pPr>
    <w:rPr>
      <w:rFonts w:ascii="HebarU" w:eastAsia="Times New Roman" w:hAnsi="HebarU"/>
      <w:szCs w:val="20"/>
    </w:rPr>
  </w:style>
  <w:style w:type="character" w:customStyle="1" w:styleId="BodyText3Char">
    <w:name w:val="Body Text 3 Char"/>
    <w:basedOn w:val="DefaultParagraphFont"/>
    <w:link w:val="BodyText3"/>
    <w:uiPriority w:val="99"/>
    <w:rsid w:val="003A4AA6"/>
    <w:rPr>
      <w:rFonts w:ascii="HebarU" w:eastAsia="Times New Roman" w:hAnsi="HebarU"/>
      <w:szCs w:val="20"/>
      <w:lang w:eastAsia="en-US"/>
    </w:rPr>
  </w:style>
  <w:style w:type="paragraph" w:styleId="Title">
    <w:name w:val="Title"/>
    <w:basedOn w:val="Normal"/>
    <w:link w:val="TitleChar"/>
    <w:uiPriority w:val="99"/>
    <w:qFormat/>
    <w:locked/>
    <w:rsid w:val="003A4AA6"/>
    <w:pPr>
      <w:tabs>
        <w:tab w:val="left" w:pos="1985"/>
      </w:tabs>
      <w:spacing w:after="0" w:line="240" w:lineRule="auto"/>
      <w:jc w:val="center"/>
    </w:pPr>
    <w:rPr>
      <w:rFonts w:ascii="NewSaturionModernCyr" w:eastAsia="Times New Roman" w:hAnsi="NewSaturionModernCyr"/>
      <w:b/>
      <w:spacing w:val="50"/>
      <w:szCs w:val="20"/>
      <w:lang w:val="en-GB"/>
    </w:rPr>
  </w:style>
  <w:style w:type="character" w:customStyle="1" w:styleId="TitleChar">
    <w:name w:val="Title Char"/>
    <w:basedOn w:val="DefaultParagraphFont"/>
    <w:link w:val="Title"/>
    <w:uiPriority w:val="99"/>
    <w:rsid w:val="003A4AA6"/>
    <w:rPr>
      <w:rFonts w:ascii="NewSaturionModernCyr" w:eastAsia="Times New Roman" w:hAnsi="NewSaturionModernCyr"/>
      <w:b/>
      <w:spacing w:val="50"/>
      <w:szCs w:val="20"/>
      <w:lang w:val="en-GB" w:eastAsia="en-US"/>
    </w:rPr>
  </w:style>
  <w:style w:type="paragraph" w:styleId="BodyText">
    <w:name w:val="Body Text"/>
    <w:basedOn w:val="Normal"/>
    <w:link w:val="BodyTextChar"/>
    <w:uiPriority w:val="99"/>
    <w:rsid w:val="003A4AA6"/>
    <w:pPr>
      <w:spacing w:after="120" w:line="240" w:lineRule="auto"/>
    </w:pPr>
    <w:rPr>
      <w:rFonts w:ascii="Hebar" w:eastAsia="Times New Roman" w:hAnsi="Hebar"/>
      <w:sz w:val="24"/>
      <w:szCs w:val="20"/>
      <w:lang w:val="en-GB"/>
    </w:rPr>
  </w:style>
  <w:style w:type="character" w:customStyle="1" w:styleId="BodyTextChar">
    <w:name w:val="Body Text Char"/>
    <w:basedOn w:val="DefaultParagraphFont"/>
    <w:link w:val="BodyText"/>
    <w:uiPriority w:val="99"/>
    <w:rsid w:val="003A4AA6"/>
    <w:rPr>
      <w:rFonts w:ascii="Hebar" w:eastAsia="Times New Roman" w:hAnsi="Hebar"/>
      <w:sz w:val="24"/>
      <w:szCs w:val="20"/>
      <w:lang w:val="en-GB" w:eastAsia="en-US"/>
    </w:rPr>
  </w:style>
  <w:style w:type="paragraph" w:customStyle="1" w:styleId="CharChar">
    <w:name w:val="Char Char Знак"/>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paragraph" w:styleId="BodyText2">
    <w:name w:val="Body Text 2"/>
    <w:basedOn w:val="Normal"/>
    <w:link w:val="BodyText2Char"/>
    <w:uiPriority w:val="99"/>
    <w:rsid w:val="003A4AA6"/>
    <w:pPr>
      <w:overflowPunct w:val="0"/>
      <w:autoSpaceDE w:val="0"/>
      <w:autoSpaceDN w:val="0"/>
      <w:adjustRightInd w:val="0"/>
      <w:spacing w:after="120" w:line="480" w:lineRule="auto"/>
      <w:textAlignment w:val="baseline"/>
    </w:pPr>
    <w:rPr>
      <w:rFonts w:ascii="Arial" w:eastAsia="Times New Roman" w:hAnsi="Arial"/>
      <w:sz w:val="20"/>
      <w:szCs w:val="20"/>
      <w:lang w:val="en-US"/>
    </w:rPr>
  </w:style>
  <w:style w:type="character" w:customStyle="1" w:styleId="BodyText2Char">
    <w:name w:val="Body Text 2 Char"/>
    <w:basedOn w:val="DefaultParagraphFont"/>
    <w:link w:val="BodyText2"/>
    <w:uiPriority w:val="99"/>
    <w:rsid w:val="003A4AA6"/>
    <w:rPr>
      <w:rFonts w:ascii="Arial" w:eastAsia="Times New Roman" w:hAnsi="Arial"/>
      <w:sz w:val="20"/>
      <w:szCs w:val="20"/>
      <w:lang w:val="en-US" w:eastAsia="en-US"/>
    </w:rPr>
  </w:style>
  <w:style w:type="paragraph" w:customStyle="1" w:styleId="CharCharCharCharCharChar">
    <w:name w:val="Знак Char Char Char Char Char Char"/>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paragraph" w:customStyle="1" w:styleId="title1">
    <w:name w:val="title1"/>
    <w:basedOn w:val="Normal"/>
    <w:uiPriority w:val="99"/>
    <w:rsid w:val="003A4AA6"/>
    <w:pPr>
      <w:spacing w:before="100" w:beforeAutospacing="1" w:after="100" w:afterAutospacing="1" w:line="240" w:lineRule="auto"/>
      <w:jc w:val="center"/>
      <w:textAlignment w:val="center"/>
    </w:pPr>
    <w:rPr>
      <w:rFonts w:ascii="Times New Roman" w:eastAsia="Times New Roman" w:hAnsi="Times New Roman"/>
      <w:b/>
      <w:bCs/>
      <w:sz w:val="30"/>
      <w:szCs w:val="30"/>
      <w:lang w:eastAsia="bg-BG"/>
    </w:rPr>
  </w:style>
  <w:style w:type="paragraph" w:customStyle="1" w:styleId="Char1CharCharCharCharCharCharCharCharChar">
    <w:name w:val="Char1 Знак Char Char Знак Char Char Char Char Char Char Char"/>
    <w:basedOn w:val="Normal"/>
    <w:uiPriority w:val="99"/>
    <w:rsid w:val="003A4AA6"/>
    <w:pPr>
      <w:spacing w:line="240" w:lineRule="exact"/>
    </w:pPr>
    <w:rPr>
      <w:rFonts w:ascii="Tahoma" w:eastAsia="Times New Roman" w:hAnsi="Tahoma"/>
      <w:sz w:val="20"/>
      <w:szCs w:val="20"/>
      <w:lang w:val="en-US"/>
    </w:rPr>
  </w:style>
  <w:style w:type="character" w:styleId="Hyperlink">
    <w:name w:val="Hyperlink"/>
    <w:uiPriority w:val="99"/>
    <w:semiHidden/>
    <w:rsid w:val="003A4AA6"/>
    <w:rPr>
      <w:rFonts w:cs="Times New Roman"/>
      <w:color w:val="0000FF"/>
      <w:u w:val="single"/>
    </w:rPr>
  </w:style>
  <w:style w:type="character" w:customStyle="1" w:styleId="parcapt2">
    <w:name w:val="par_capt2"/>
    <w:uiPriority w:val="99"/>
    <w:rsid w:val="003A4AA6"/>
    <w:rPr>
      <w:b/>
    </w:rPr>
  </w:style>
  <w:style w:type="character" w:customStyle="1" w:styleId="ala2">
    <w:name w:val="al_a2"/>
    <w:uiPriority w:val="99"/>
    <w:rsid w:val="003A4AA6"/>
  </w:style>
  <w:style w:type="character" w:customStyle="1" w:styleId="alcapt2">
    <w:name w:val="al_capt2"/>
    <w:uiPriority w:val="99"/>
    <w:rsid w:val="003A4AA6"/>
    <w:rPr>
      <w:i/>
    </w:rPr>
  </w:style>
  <w:style w:type="character" w:customStyle="1" w:styleId="ala3">
    <w:name w:val="al_a3"/>
    <w:uiPriority w:val="99"/>
    <w:rsid w:val="003A4AA6"/>
  </w:style>
  <w:style w:type="character" w:customStyle="1" w:styleId="ala4">
    <w:name w:val="al_a4"/>
    <w:uiPriority w:val="99"/>
    <w:rsid w:val="003A4AA6"/>
  </w:style>
  <w:style w:type="character" w:customStyle="1" w:styleId="ala5">
    <w:name w:val="al_a5"/>
    <w:uiPriority w:val="99"/>
    <w:rsid w:val="003A4AA6"/>
  </w:style>
  <w:style w:type="character" w:customStyle="1" w:styleId="ala6">
    <w:name w:val="al_a6"/>
    <w:uiPriority w:val="99"/>
    <w:rsid w:val="003A4AA6"/>
  </w:style>
  <w:style w:type="character" w:customStyle="1" w:styleId="ala7">
    <w:name w:val="al_a7"/>
    <w:uiPriority w:val="99"/>
    <w:rsid w:val="003A4AA6"/>
  </w:style>
  <w:style w:type="character" w:customStyle="1" w:styleId="ala8">
    <w:name w:val="al_a8"/>
    <w:uiPriority w:val="99"/>
    <w:rsid w:val="003A4AA6"/>
  </w:style>
  <w:style w:type="character" w:customStyle="1" w:styleId="ala9">
    <w:name w:val="al_a9"/>
    <w:uiPriority w:val="99"/>
    <w:rsid w:val="003A4AA6"/>
  </w:style>
  <w:style w:type="character" w:customStyle="1" w:styleId="ala10">
    <w:name w:val="al_a10"/>
    <w:uiPriority w:val="99"/>
    <w:rsid w:val="003A4AA6"/>
  </w:style>
  <w:style w:type="character" w:customStyle="1" w:styleId="ala11">
    <w:name w:val="al_a11"/>
    <w:uiPriority w:val="99"/>
    <w:rsid w:val="003A4AA6"/>
  </w:style>
  <w:style w:type="character" w:customStyle="1" w:styleId="ala12">
    <w:name w:val="al_a12"/>
    <w:uiPriority w:val="99"/>
    <w:rsid w:val="003A4AA6"/>
  </w:style>
  <w:style w:type="character" w:customStyle="1" w:styleId="ala13">
    <w:name w:val="al_a13"/>
    <w:uiPriority w:val="99"/>
    <w:rsid w:val="003A4AA6"/>
  </w:style>
  <w:style w:type="character" w:customStyle="1" w:styleId="ala14">
    <w:name w:val="al_a14"/>
    <w:uiPriority w:val="99"/>
    <w:rsid w:val="003A4AA6"/>
  </w:style>
  <w:style w:type="character" w:customStyle="1" w:styleId="ala15">
    <w:name w:val="al_a15"/>
    <w:uiPriority w:val="99"/>
    <w:rsid w:val="003A4AA6"/>
  </w:style>
  <w:style w:type="character" w:customStyle="1" w:styleId="ala16">
    <w:name w:val="al_a16"/>
    <w:uiPriority w:val="99"/>
    <w:rsid w:val="003A4AA6"/>
  </w:style>
  <w:style w:type="character" w:customStyle="1" w:styleId="ala17">
    <w:name w:val="al_a17"/>
    <w:uiPriority w:val="99"/>
    <w:rsid w:val="003A4AA6"/>
  </w:style>
  <w:style w:type="character" w:customStyle="1" w:styleId="ala18">
    <w:name w:val="al_a18"/>
    <w:uiPriority w:val="99"/>
    <w:rsid w:val="003A4AA6"/>
  </w:style>
  <w:style w:type="character" w:customStyle="1" w:styleId="ala19">
    <w:name w:val="al_a19"/>
    <w:uiPriority w:val="99"/>
    <w:rsid w:val="003A4AA6"/>
  </w:style>
  <w:style w:type="character" w:customStyle="1" w:styleId="ala20">
    <w:name w:val="al_a20"/>
    <w:uiPriority w:val="99"/>
    <w:rsid w:val="003A4AA6"/>
  </w:style>
  <w:style w:type="character" w:customStyle="1" w:styleId="ala21">
    <w:name w:val="al_a21"/>
    <w:uiPriority w:val="99"/>
    <w:rsid w:val="003A4AA6"/>
  </w:style>
  <w:style w:type="character" w:customStyle="1" w:styleId="ala22">
    <w:name w:val="al_a22"/>
    <w:uiPriority w:val="99"/>
    <w:rsid w:val="003A4AA6"/>
  </w:style>
  <w:style w:type="character" w:customStyle="1" w:styleId="ala23">
    <w:name w:val="al_a23"/>
    <w:uiPriority w:val="99"/>
    <w:rsid w:val="003A4AA6"/>
  </w:style>
  <w:style w:type="character" w:customStyle="1" w:styleId="ala24">
    <w:name w:val="al_a24"/>
    <w:uiPriority w:val="99"/>
    <w:rsid w:val="003A4AA6"/>
  </w:style>
  <w:style w:type="character" w:customStyle="1" w:styleId="ala25">
    <w:name w:val="al_a25"/>
    <w:uiPriority w:val="99"/>
    <w:rsid w:val="003A4AA6"/>
  </w:style>
  <w:style w:type="character" w:customStyle="1" w:styleId="ala26">
    <w:name w:val="al_a26"/>
    <w:uiPriority w:val="99"/>
    <w:rsid w:val="003A4AA6"/>
  </w:style>
  <w:style w:type="character" w:customStyle="1" w:styleId="ala27">
    <w:name w:val="al_a27"/>
    <w:uiPriority w:val="99"/>
    <w:rsid w:val="003A4AA6"/>
  </w:style>
  <w:style w:type="character" w:customStyle="1" w:styleId="ala28">
    <w:name w:val="al_a28"/>
    <w:uiPriority w:val="99"/>
    <w:rsid w:val="003A4AA6"/>
  </w:style>
  <w:style w:type="character" w:customStyle="1" w:styleId="ala29">
    <w:name w:val="al_a29"/>
    <w:uiPriority w:val="99"/>
    <w:rsid w:val="003A4AA6"/>
  </w:style>
  <w:style w:type="character" w:customStyle="1" w:styleId="ala30">
    <w:name w:val="al_a30"/>
    <w:uiPriority w:val="99"/>
    <w:rsid w:val="003A4AA6"/>
  </w:style>
  <w:style w:type="character" w:customStyle="1" w:styleId="ala31">
    <w:name w:val="al_a31"/>
    <w:uiPriority w:val="99"/>
    <w:rsid w:val="003A4AA6"/>
  </w:style>
  <w:style w:type="character" w:customStyle="1" w:styleId="ala32">
    <w:name w:val="al_a32"/>
    <w:uiPriority w:val="99"/>
    <w:rsid w:val="003A4AA6"/>
  </w:style>
  <w:style w:type="character" w:customStyle="1" w:styleId="ala33">
    <w:name w:val="al_a33"/>
    <w:uiPriority w:val="99"/>
    <w:rsid w:val="003A4AA6"/>
  </w:style>
  <w:style w:type="character" w:customStyle="1" w:styleId="ala34">
    <w:name w:val="al_a34"/>
    <w:uiPriority w:val="99"/>
    <w:rsid w:val="003A4AA6"/>
  </w:style>
  <w:style w:type="character" w:customStyle="1" w:styleId="ala35">
    <w:name w:val="al_a35"/>
    <w:uiPriority w:val="99"/>
    <w:rsid w:val="003A4AA6"/>
  </w:style>
  <w:style w:type="character" w:customStyle="1" w:styleId="ala36">
    <w:name w:val="al_a36"/>
    <w:uiPriority w:val="99"/>
    <w:rsid w:val="003A4AA6"/>
  </w:style>
  <w:style w:type="character" w:customStyle="1" w:styleId="ala37">
    <w:name w:val="al_a37"/>
    <w:uiPriority w:val="99"/>
    <w:rsid w:val="003A4AA6"/>
  </w:style>
  <w:style w:type="character" w:customStyle="1" w:styleId="ala38">
    <w:name w:val="al_a38"/>
    <w:uiPriority w:val="99"/>
    <w:rsid w:val="003A4AA6"/>
  </w:style>
  <w:style w:type="character" w:customStyle="1" w:styleId="ala39">
    <w:name w:val="al_a39"/>
    <w:uiPriority w:val="99"/>
    <w:rsid w:val="003A4AA6"/>
  </w:style>
  <w:style w:type="character" w:customStyle="1" w:styleId="ala40">
    <w:name w:val="al_a40"/>
    <w:uiPriority w:val="99"/>
    <w:rsid w:val="003A4AA6"/>
  </w:style>
  <w:style w:type="character" w:customStyle="1" w:styleId="ala41">
    <w:name w:val="al_a41"/>
    <w:uiPriority w:val="99"/>
    <w:rsid w:val="003A4AA6"/>
  </w:style>
  <w:style w:type="character" w:customStyle="1" w:styleId="ala42">
    <w:name w:val="al_a42"/>
    <w:uiPriority w:val="99"/>
    <w:rsid w:val="003A4AA6"/>
  </w:style>
  <w:style w:type="character" w:customStyle="1" w:styleId="ala43">
    <w:name w:val="al_a43"/>
    <w:uiPriority w:val="99"/>
    <w:rsid w:val="003A4AA6"/>
  </w:style>
  <w:style w:type="character" w:customStyle="1" w:styleId="ala44">
    <w:name w:val="al_a44"/>
    <w:uiPriority w:val="99"/>
    <w:rsid w:val="003A4AA6"/>
  </w:style>
  <w:style w:type="character" w:customStyle="1" w:styleId="ala45">
    <w:name w:val="al_a45"/>
    <w:uiPriority w:val="99"/>
    <w:rsid w:val="003A4AA6"/>
  </w:style>
  <w:style w:type="character" w:customStyle="1" w:styleId="ala46">
    <w:name w:val="al_a46"/>
    <w:uiPriority w:val="99"/>
    <w:rsid w:val="003A4AA6"/>
  </w:style>
  <w:style w:type="character" w:customStyle="1" w:styleId="ala47">
    <w:name w:val="al_a47"/>
    <w:uiPriority w:val="99"/>
    <w:rsid w:val="003A4AA6"/>
  </w:style>
  <w:style w:type="character" w:customStyle="1" w:styleId="ala48">
    <w:name w:val="al_a48"/>
    <w:uiPriority w:val="99"/>
    <w:rsid w:val="003A4AA6"/>
  </w:style>
  <w:style w:type="character" w:customStyle="1" w:styleId="ala49">
    <w:name w:val="al_a49"/>
    <w:uiPriority w:val="99"/>
    <w:rsid w:val="003A4AA6"/>
  </w:style>
  <w:style w:type="character" w:customStyle="1" w:styleId="ala50">
    <w:name w:val="al_a50"/>
    <w:uiPriority w:val="99"/>
    <w:rsid w:val="003A4AA6"/>
  </w:style>
  <w:style w:type="character" w:customStyle="1" w:styleId="ala51">
    <w:name w:val="al_a51"/>
    <w:uiPriority w:val="99"/>
    <w:rsid w:val="003A4AA6"/>
  </w:style>
  <w:style w:type="character" w:customStyle="1" w:styleId="ala52">
    <w:name w:val="al_a52"/>
    <w:uiPriority w:val="99"/>
    <w:rsid w:val="003A4AA6"/>
  </w:style>
  <w:style w:type="character" w:customStyle="1" w:styleId="ala53">
    <w:name w:val="al_a53"/>
    <w:uiPriority w:val="99"/>
    <w:rsid w:val="003A4AA6"/>
  </w:style>
  <w:style w:type="character" w:customStyle="1" w:styleId="ala54">
    <w:name w:val="al_a54"/>
    <w:uiPriority w:val="99"/>
    <w:rsid w:val="003A4AA6"/>
  </w:style>
  <w:style w:type="character" w:customStyle="1" w:styleId="ala55">
    <w:name w:val="al_a55"/>
    <w:uiPriority w:val="99"/>
    <w:rsid w:val="003A4AA6"/>
  </w:style>
  <w:style w:type="character" w:customStyle="1" w:styleId="ala56">
    <w:name w:val="al_a56"/>
    <w:uiPriority w:val="99"/>
    <w:rsid w:val="003A4AA6"/>
  </w:style>
  <w:style w:type="character" w:customStyle="1" w:styleId="ala57">
    <w:name w:val="al_a57"/>
    <w:uiPriority w:val="99"/>
    <w:rsid w:val="003A4AA6"/>
  </w:style>
  <w:style w:type="character" w:customStyle="1" w:styleId="ala58">
    <w:name w:val="al_a58"/>
    <w:uiPriority w:val="99"/>
    <w:rsid w:val="003A4AA6"/>
  </w:style>
  <w:style w:type="character" w:customStyle="1" w:styleId="ala59">
    <w:name w:val="al_a59"/>
    <w:uiPriority w:val="99"/>
    <w:rsid w:val="003A4AA6"/>
  </w:style>
  <w:style w:type="character" w:customStyle="1" w:styleId="ala60">
    <w:name w:val="al_a60"/>
    <w:uiPriority w:val="99"/>
    <w:rsid w:val="003A4AA6"/>
  </w:style>
  <w:style w:type="character" w:customStyle="1" w:styleId="ala61">
    <w:name w:val="al_a61"/>
    <w:uiPriority w:val="99"/>
    <w:rsid w:val="003A4AA6"/>
  </w:style>
  <w:style w:type="character" w:customStyle="1" w:styleId="ala62">
    <w:name w:val="al_a62"/>
    <w:uiPriority w:val="99"/>
    <w:rsid w:val="003A4AA6"/>
  </w:style>
  <w:style w:type="character" w:customStyle="1" w:styleId="ala63">
    <w:name w:val="al_a63"/>
    <w:uiPriority w:val="99"/>
    <w:rsid w:val="003A4AA6"/>
  </w:style>
  <w:style w:type="character" w:customStyle="1" w:styleId="ala64">
    <w:name w:val="al_a64"/>
    <w:uiPriority w:val="99"/>
    <w:rsid w:val="003A4AA6"/>
  </w:style>
  <w:style w:type="character" w:customStyle="1" w:styleId="ala65">
    <w:name w:val="al_a65"/>
    <w:uiPriority w:val="99"/>
    <w:rsid w:val="003A4AA6"/>
  </w:style>
  <w:style w:type="character" w:customStyle="1" w:styleId="ala66">
    <w:name w:val="al_a66"/>
    <w:uiPriority w:val="99"/>
    <w:rsid w:val="003A4AA6"/>
  </w:style>
  <w:style w:type="character" w:customStyle="1" w:styleId="ala67">
    <w:name w:val="al_a67"/>
    <w:uiPriority w:val="99"/>
    <w:rsid w:val="003A4AA6"/>
  </w:style>
  <w:style w:type="character" w:customStyle="1" w:styleId="ala68">
    <w:name w:val="al_a68"/>
    <w:uiPriority w:val="99"/>
    <w:rsid w:val="003A4AA6"/>
  </w:style>
  <w:style w:type="character" w:customStyle="1" w:styleId="ala69">
    <w:name w:val="al_a69"/>
    <w:uiPriority w:val="99"/>
    <w:rsid w:val="003A4AA6"/>
  </w:style>
  <w:style w:type="character" w:customStyle="1" w:styleId="ala70">
    <w:name w:val="al_a70"/>
    <w:uiPriority w:val="99"/>
    <w:rsid w:val="003A4AA6"/>
  </w:style>
  <w:style w:type="character" w:customStyle="1" w:styleId="ala71">
    <w:name w:val="al_a71"/>
    <w:uiPriority w:val="99"/>
    <w:rsid w:val="003A4AA6"/>
  </w:style>
  <w:style w:type="character" w:customStyle="1" w:styleId="ala72">
    <w:name w:val="al_a72"/>
    <w:uiPriority w:val="99"/>
    <w:rsid w:val="003A4AA6"/>
  </w:style>
  <w:style w:type="character" w:customStyle="1" w:styleId="ala73">
    <w:name w:val="al_a73"/>
    <w:uiPriority w:val="99"/>
    <w:rsid w:val="003A4AA6"/>
  </w:style>
  <w:style w:type="character" w:customStyle="1" w:styleId="ala74">
    <w:name w:val="al_a74"/>
    <w:uiPriority w:val="99"/>
    <w:rsid w:val="003A4AA6"/>
  </w:style>
  <w:style w:type="character" w:customStyle="1" w:styleId="ala75">
    <w:name w:val="al_a75"/>
    <w:uiPriority w:val="99"/>
    <w:rsid w:val="003A4AA6"/>
  </w:style>
  <w:style w:type="character" w:customStyle="1" w:styleId="ala76">
    <w:name w:val="al_a76"/>
    <w:uiPriority w:val="99"/>
    <w:rsid w:val="003A4AA6"/>
  </w:style>
  <w:style w:type="character" w:customStyle="1" w:styleId="ala77">
    <w:name w:val="al_a77"/>
    <w:uiPriority w:val="99"/>
    <w:rsid w:val="003A4AA6"/>
  </w:style>
  <w:style w:type="character" w:customStyle="1" w:styleId="ala78">
    <w:name w:val="al_a78"/>
    <w:uiPriority w:val="99"/>
    <w:rsid w:val="003A4AA6"/>
  </w:style>
  <w:style w:type="character" w:customStyle="1" w:styleId="ala79">
    <w:name w:val="al_a79"/>
    <w:uiPriority w:val="99"/>
    <w:rsid w:val="003A4AA6"/>
  </w:style>
  <w:style w:type="character" w:customStyle="1" w:styleId="ala80">
    <w:name w:val="al_a80"/>
    <w:uiPriority w:val="99"/>
    <w:rsid w:val="003A4AA6"/>
  </w:style>
  <w:style w:type="character" w:customStyle="1" w:styleId="ala81">
    <w:name w:val="al_a81"/>
    <w:uiPriority w:val="99"/>
    <w:rsid w:val="003A4AA6"/>
  </w:style>
  <w:style w:type="character" w:customStyle="1" w:styleId="ala82">
    <w:name w:val="al_a82"/>
    <w:uiPriority w:val="99"/>
    <w:rsid w:val="003A4AA6"/>
  </w:style>
  <w:style w:type="character" w:customStyle="1" w:styleId="ala83">
    <w:name w:val="al_a83"/>
    <w:uiPriority w:val="99"/>
    <w:rsid w:val="003A4AA6"/>
  </w:style>
  <w:style w:type="character" w:customStyle="1" w:styleId="ala84">
    <w:name w:val="al_a84"/>
    <w:uiPriority w:val="99"/>
    <w:rsid w:val="003A4AA6"/>
  </w:style>
  <w:style w:type="character" w:customStyle="1" w:styleId="ala85">
    <w:name w:val="al_a85"/>
    <w:uiPriority w:val="99"/>
    <w:rsid w:val="003A4AA6"/>
  </w:style>
  <w:style w:type="character" w:customStyle="1" w:styleId="ala86">
    <w:name w:val="al_a86"/>
    <w:uiPriority w:val="99"/>
    <w:rsid w:val="003A4AA6"/>
  </w:style>
  <w:style w:type="character" w:customStyle="1" w:styleId="ala87">
    <w:name w:val="al_a87"/>
    <w:uiPriority w:val="99"/>
    <w:rsid w:val="003A4AA6"/>
  </w:style>
  <w:style w:type="character" w:customStyle="1" w:styleId="ala88">
    <w:name w:val="al_a88"/>
    <w:uiPriority w:val="99"/>
    <w:rsid w:val="003A4AA6"/>
  </w:style>
  <w:style w:type="character" w:customStyle="1" w:styleId="ala89">
    <w:name w:val="al_a89"/>
    <w:uiPriority w:val="99"/>
    <w:rsid w:val="003A4AA6"/>
  </w:style>
  <w:style w:type="character" w:customStyle="1" w:styleId="ala90">
    <w:name w:val="al_a90"/>
    <w:uiPriority w:val="99"/>
    <w:rsid w:val="003A4AA6"/>
  </w:style>
  <w:style w:type="character" w:customStyle="1" w:styleId="ala91">
    <w:name w:val="al_a91"/>
    <w:uiPriority w:val="99"/>
    <w:rsid w:val="003A4AA6"/>
  </w:style>
  <w:style w:type="character" w:customStyle="1" w:styleId="ala92">
    <w:name w:val="al_a92"/>
    <w:uiPriority w:val="99"/>
    <w:rsid w:val="003A4AA6"/>
  </w:style>
  <w:style w:type="character" w:customStyle="1" w:styleId="ala93">
    <w:name w:val="al_a93"/>
    <w:uiPriority w:val="99"/>
    <w:rsid w:val="003A4AA6"/>
  </w:style>
  <w:style w:type="character" w:customStyle="1" w:styleId="ala94">
    <w:name w:val="al_a94"/>
    <w:uiPriority w:val="99"/>
    <w:rsid w:val="003A4AA6"/>
  </w:style>
  <w:style w:type="character" w:customStyle="1" w:styleId="ala95">
    <w:name w:val="al_a95"/>
    <w:uiPriority w:val="99"/>
    <w:rsid w:val="003A4AA6"/>
  </w:style>
  <w:style w:type="character" w:customStyle="1" w:styleId="ala96">
    <w:name w:val="al_a96"/>
    <w:uiPriority w:val="99"/>
    <w:rsid w:val="003A4AA6"/>
  </w:style>
  <w:style w:type="character" w:customStyle="1" w:styleId="ala97">
    <w:name w:val="al_a97"/>
    <w:uiPriority w:val="99"/>
    <w:rsid w:val="003A4AA6"/>
  </w:style>
  <w:style w:type="character" w:customStyle="1" w:styleId="ala98">
    <w:name w:val="al_a98"/>
    <w:uiPriority w:val="99"/>
    <w:rsid w:val="003A4AA6"/>
  </w:style>
  <w:style w:type="character" w:customStyle="1" w:styleId="ala99">
    <w:name w:val="al_a99"/>
    <w:uiPriority w:val="99"/>
    <w:rsid w:val="003A4AA6"/>
  </w:style>
  <w:style w:type="character" w:customStyle="1" w:styleId="ala100">
    <w:name w:val="al_a100"/>
    <w:uiPriority w:val="99"/>
    <w:rsid w:val="003A4AA6"/>
  </w:style>
  <w:style w:type="character" w:customStyle="1" w:styleId="ala101">
    <w:name w:val="al_a101"/>
    <w:uiPriority w:val="99"/>
    <w:rsid w:val="003A4AA6"/>
  </w:style>
  <w:style w:type="character" w:customStyle="1" w:styleId="ala102">
    <w:name w:val="al_a102"/>
    <w:uiPriority w:val="99"/>
    <w:rsid w:val="003A4AA6"/>
  </w:style>
  <w:style w:type="character" w:customStyle="1" w:styleId="ala103">
    <w:name w:val="al_a103"/>
    <w:uiPriority w:val="99"/>
    <w:rsid w:val="003A4AA6"/>
  </w:style>
  <w:style w:type="character" w:customStyle="1" w:styleId="ala104">
    <w:name w:val="al_a104"/>
    <w:uiPriority w:val="99"/>
    <w:rsid w:val="003A4AA6"/>
  </w:style>
  <w:style w:type="character" w:customStyle="1" w:styleId="ala105">
    <w:name w:val="al_a105"/>
    <w:uiPriority w:val="99"/>
    <w:rsid w:val="003A4AA6"/>
  </w:style>
  <w:style w:type="character" w:customStyle="1" w:styleId="ala106">
    <w:name w:val="al_a106"/>
    <w:uiPriority w:val="99"/>
    <w:rsid w:val="003A4AA6"/>
  </w:style>
  <w:style w:type="character" w:customStyle="1" w:styleId="ala107">
    <w:name w:val="al_a107"/>
    <w:uiPriority w:val="99"/>
    <w:rsid w:val="003A4AA6"/>
  </w:style>
  <w:style w:type="character" w:customStyle="1" w:styleId="ala108">
    <w:name w:val="al_a108"/>
    <w:uiPriority w:val="99"/>
    <w:rsid w:val="003A4AA6"/>
  </w:style>
  <w:style w:type="character" w:customStyle="1" w:styleId="ala109">
    <w:name w:val="al_a109"/>
    <w:uiPriority w:val="99"/>
    <w:rsid w:val="003A4AA6"/>
  </w:style>
  <w:style w:type="character" w:customStyle="1" w:styleId="ala110">
    <w:name w:val="al_a110"/>
    <w:uiPriority w:val="99"/>
    <w:rsid w:val="003A4AA6"/>
  </w:style>
  <w:style w:type="character" w:customStyle="1" w:styleId="ala111">
    <w:name w:val="al_a111"/>
    <w:uiPriority w:val="99"/>
    <w:rsid w:val="003A4AA6"/>
  </w:style>
  <w:style w:type="character" w:customStyle="1" w:styleId="ala112">
    <w:name w:val="al_a112"/>
    <w:uiPriority w:val="99"/>
    <w:rsid w:val="003A4AA6"/>
  </w:style>
  <w:style w:type="character" w:customStyle="1" w:styleId="ala113">
    <w:name w:val="al_a113"/>
    <w:uiPriority w:val="99"/>
    <w:rsid w:val="003A4AA6"/>
  </w:style>
  <w:style w:type="character" w:customStyle="1" w:styleId="ala114">
    <w:name w:val="al_a114"/>
    <w:uiPriority w:val="99"/>
    <w:rsid w:val="003A4AA6"/>
  </w:style>
  <w:style w:type="character" w:customStyle="1" w:styleId="ala115">
    <w:name w:val="al_a115"/>
    <w:uiPriority w:val="99"/>
    <w:rsid w:val="003A4AA6"/>
  </w:style>
  <w:style w:type="character" w:customStyle="1" w:styleId="ala116">
    <w:name w:val="al_a116"/>
    <w:uiPriority w:val="99"/>
    <w:rsid w:val="003A4AA6"/>
  </w:style>
  <w:style w:type="character" w:customStyle="1" w:styleId="ala117">
    <w:name w:val="al_a117"/>
    <w:uiPriority w:val="99"/>
    <w:rsid w:val="003A4AA6"/>
  </w:style>
  <w:style w:type="character" w:customStyle="1" w:styleId="ala118">
    <w:name w:val="al_a118"/>
    <w:uiPriority w:val="99"/>
    <w:rsid w:val="003A4AA6"/>
  </w:style>
  <w:style w:type="character" w:customStyle="1" w:styleId="ala119">
    <w:name w:val="al_a119"/>
    <w:uiPriority w:val="99"/>
    <w:rsid w:val="003A4AA6"/>
  </w:style>
  <w:style w:type="character" w:customStyle="1" w:styleId="ala120">
    <w:name w:val="al_a120"/>
    <w:uiPriority w:val="99"/>
    <w:rsid w:val="003A4AA6"/>
  </w:style>
  <w:style w:type="character" w:customStyle="1" w:styleId="ala121">
    <w:name w:val="al_a121"/>
    <w:uiPriority w:val="99"/>
    <w:rsid w:val="003A4AA6"/>
  </w:style>
  <w:style w:type="character" w:customStyle="1" w:styleId="ala122">
    <w:name w:val="al_a122"/>
    <w:uiPriority w:val="99"/>
    <w:rsid w:val="003A4AA6"/>
  </w:style>
  <w:style w:type="character" w:customStyle="1" w:styleId="ala123">
    <w:name w:val="al_a123"/>
    <w:uiPriority w:val="99"/>
    <w:rsid w:val="003A4AA6"/>
  </w:style>
  <w:style w:type="character" w:customStyle="1" w:styleId="ala124">
    <w:name w:val="al_a124"/>
    <w:uiPriority w:val="99"/>
    <w:rsid w:val="003A4AA6"/>
  </w:style>
  <w:style w:type="character" w:customStyle="1" w:styleId="ala125">
    <w:name w:val="al_a125"/>
    <w:uiPriority w:val="99"/>
    <w:rsid w:val="003A4AA6"/>
  </w:style>
  <w:style w:type="character" w:customStyle="1" w:styleId="ala126">
    <w:name w:val="al_a126"/>
    <w:uiPriority w:val="99"/>
    <w:rsid w:val="003A4AA6"/>
  </w:style>
  <w:style w:type="character" w:customStyle="1" w:styleId="ala127">
    <w:name w:val="al_a127"/>
    <w:uiPriority w:val="99"/>
    <w:rsid w:val="003A4AA6"/>
  </w:style>
  <w:style w:type="character" w:customStyle="1" w:styleId="ala128">
    <w:name w:val="al_a128"/>
    <w:uiPriority w:val="99"/>
    <w:rsid w:val="003A4AA6"/>
  </w:style>
  <w:style w:type="character" w:customStyle="1" w:styleId="ala129">
    <w:name w:val="al_a129"/>
    <w:uiPriority w:val="99"/>
    <w:rsid w:val="003A4AA6"/>
  </w:style>
  <w:style w:type="character" w:customStyle="1" w:styleId="ala130">
    <w:name w:val="al_a130"/>
    <w:uiPriority w:val="99"/>
    <w:rsid w:val="003A4AA6"/>
  </w:style>
  <w:style w:type="character" w:customStyle="1" w:styleId="ala131">
    <w:name w:val="al_a131"/>
    <w:uiPriority w:val="99"/>
    <w:rsid w:val="003A4AA6"/>
  </w:style>
  <w:style w:type="character" w:customStyle="1" w:styleId="ala132">
    <w:name w:val="al_a132"/>
    <w:uiPriority w:val="99"/>
    <w:rsid w:val="003A4AA6"/>
  </w:style>
  <w:style w:type="character" w:customStyle="1" w:styleId="ala133">
    <w:name w:val="al_a133"/>
    <w:uiPriority w:val="99"/>
    <w:rsid w:val="003A4AA6"/>
  </w:style>
  <w:style w:type="character" w:customStyle="1" w:styleId="ala134">
    <w:name w:val="al_a134"/>
    <w:uiPriority w:val="99"/>
    <w:rsid w:val="003A4AA6"/>
  </w:style>
  <w:style w:type="character" w:customStyle="1" w:styleId="ala135">
    <w:name w:val="al_a135"/>
    <w:uiPriority w:val="99"/>
    <w:rsid w:val="003A4AA6"/>
  </w:style>
  <w:style w:type="character" w:customStyle="1" w:styleId="ala136">
    <w:name w:val="al_a136"/>
    <w:uiPriority w:val="99"/>
    <w:rsid w:val="003A4AA6"/>
  </w:style>
  <w:style w:type="character" w:customStyle="1" w:styleId="ala137">
    <w:name w:val="al_a137"/>
    <w:uiPriority w:val="99"/>
    <w:rsid w:val="003A4AA6"/>
  </w:style>
  <w:style w:type="character" w:customStyle="1" w:styleId="ala138">
    <w:name w:val="al_a138"/>
    <w:uiPriority w:val="99"/>
    <w:rsid w:val="003A4AA6"/>
  </w:style>
  <w:style w:type="character" w:customStyle="1" w:styleId="ala139">
    <w:name w:val="al_a139"/>
    <w:uiPriority w:val="99"/>
    <w:rsid w:val="003A4AA6"/>
  </w:style>
  <w:style w:type="character" w:customStyle="1" w:styleId="ala140">
    <w:name w:val="al_a140"/>
    <w:uiPriority w:val="99"/>
    <w:rsid w:val="003A4AA6"/>
  </w:style>
  <w:style w:type="character" w:customStyle="1" w:styleId="ala141">
    <w:name w:val="al_a141"/>
    <w:uiPriority w:val="99"/>
    <w:rsid w:val="003A4AA6"/>
  </w:style>
  <w:style w:type="character" w:customStyle="1" w:styleId="ala142">
    <w:name w:val="al_a142"/>
    <w:uiPriority w:val="99"/>
    <w:rsid w:val="003A4AA6"/>
  </w:style>
  <w:style w:type="character" w:customStyle="1" w:styleId="ala143">
    <w:name w:val="al_a143"/>
    <w:uiPriority w:val="99"/>
    <w:rsid w:val="003A4AA6"/>
  </w:style>
  <w:style w:type="character" w:customStyle="1" w:styleId="ala144">
    <w:name w:val="al_a144"/>
    <w:uiPriority w:val="99"/>
    <w:rsid w:val="003A4AA6"/>
  </w:style>
  <w:style w:type="character" w:customStyle="1" w:styleId="ala145">
    <w:name w:val="al_a145"/>
    <w:uiPriority w:val="99"/>
    <w:rsid w:val="003A4AA6"/>
  </w:style>
  <w:style w:type="character" w:customStyle="1" w:styleId="ala146">
    <w:name w:val="al_a146"/>
    <w:uiPriority w:val="99"/>
    <w:rsid w:val="003A4AA6"/>
  </w:style>
  <w:style w:type="character" w:customStyle="1" w:styleId="ala147">
    <w:name w:val="al_a147"/>
    <w:uiPriority w:val="99"/>
    <w:rsid w:val="003A4AA6"/>
  </w:style>
  <w:style w:type="character" w:customStyle="1" w:styleId="ala148">
    <w:name w:val="al_a148"/>
    <w:uiPriority w:val="99"/>
    <w:rsid w:val="003A4AA6"/>
  </w:style>
  <w:style w:type="character" w:customStyle="1" w:styleId="ala149">
    <w:name w:val="al_a149"/>
    <w:uiPriority w:val="99"/>
    <w:rsid w:val="003A4AA6"/>
  </w:style>
  <w:style w:type="character" w:customStyle="1" w:styleId="ala150">
    <w:name w:val="al_a150"/>
    <w:uiPriority w:val="99"/>
    <w:rsid w:val="003A4AA6"/>
  </w:style>
  <w:style w:type="character" w:customStyle="1" w:styleId="ala151">
    <w:name w:val="al_a151"/>
    <w:uiPriority w:val="99"/>
    <w:rsid w:val="003A4AA6"/>
  </w:style>
  <w:style w:type="character" w:customStyle="1" w:styleId="ala152">
    <w:name w:val="al_a152"/>
    <w:uiPriority w:val="99"/>
    <w:rsid w:val="003A4AA6"/>
  </w:style>
  <w:style w:type="character" w:customStyle="1" w:styleId="ala153">
    <w:name w:val="al_a153"/>
    <w:uiPriority w:val="99"/>
    <w:rsid w:val="003A4AA6"/>
  </w:style>
  <w:style w:type="character" w:customStyle="1" w:styleId="ala154">
    <w:name w:val="al_a154"/>
    <w:uiPriority w:val="99"/>
    <w:rsid w:val="003A4AA6"/>
  </w:style>
  <w:style w:type="character" w:customStyle="1" w:styleId="ala155">
    <w:name w:val="al_a155"/>
    <w:uiPriority w:val="99"/>
    <w:rsid w:val="003A4AA6"/>
  </w:style>
  <w:style w:type="character" w:customStyle="1" w:styleId="ala156">
    <w:name w:val="al_a156"/>
    <w:uiPriority w:val="99"/>
    <w:rsid w:val="003A4AA6"/>
  </w:style>
  <w:style w:type="character" w:customStyle="1" w:styleId="ala157">
    <w:name w:val="al_a157"/>
    <w:uiPriority w:val="99"/>
    <w:rsid w:val="003A4AA6"/>
  </w:style>
  <w:style w:type="character" w:customStyle="1" w:styleId="ala158">
    <w:name w:val="al_a158"/>
    <w:uiPriority w:val="99"/>
    <w:rsid w:val="003A4AA6"/>
  </w:style>
  <w:style w:type="character" w:customStyle="1" w:styleId="ala159">
    <w:name w:val="al_a159"/>
    <w:uiPriority w:val="99"/>
    <w:rsid w:val="003A4AA6"/>
  </w:style>
  <w:style w:type="character" w:customStyle="1" w:styleId="ala160">
    <w:name w:val="al_a160"/>
    <w:uiPriority w:val="99"/>
    <w:rsid w:val="003A4AA6"/>
  </w:style>
  <w:style w:type="character" w:customStyle="1" w:styleId="ala161">
    <w:name w:val="al_a161"/>
    <w:uiPriority w:val="99"/>
    <w:rsid w:val="003A4AA6"/>
  </w:style>
  <w:style w:type="character" w:customStyle="1" w:styleId="ala162">
    <w:name w:val="al_a162"/>
    <w:uiPriority w:val="99"/>
    <w:rsid w:val="003A4AA6"/>
  </w:style>
  <w:style w:type="character" w:customStyle="1" w:styleId="ala163">
    <w:name w:val="al_a163"/>
    <w:uiPriority w:val="99"/>
    <w:rsid w:val="003A4AA6"/>
  </w:style>
  <w:style w:type="character" w:customStyle="1" w:styleId="ala164">
    <w:name w:val="al_a164"/>
    <w:uiPriority w:val="99"/>
    <w:rsid w:val="003A4AA6"/>
  </w:style>
  <w:style w:type="character" w:customStyle="1" w:styleId="ala165">
    <w:name w:val="al_a165"/>
    <w:uiPriority w:val="99"/>
    <w:rsid w:val="003A4AA6"/>
  </w:style>
  <w:style w:type="character" w:customStyle="1" w:styleId="ala166">
    <w:name w:val="al_a166"/>
    <w:uiPriority w:val="99"/>
    <w:rsid w:val="003A4AA6"/>
  </w:style>
  <w:style w:type="character" w:customStyle="1" w:styleId="ala167">
    <w:name w:val="al_a167"/>
    <w:uiPriority w:val="99"/>
    <w:rsid w:val="003A4AA6"/>
  </w:style>
  <w:style w:type="character" w:customStyle="1" w:styleId="ala168">
    <w:name w:val="al_a168"/>
    <w:uiPriority w:val="99"/>
    <w:rsid w:val="003A4AA6"/>
  </w:style>
  <w:style w:type="character" w:customStyle="1" w:styleId="ala169">
    <w:name w:val="al_a169"/>
    <w:uiPriority w:val="99"/>
    <w:rsid w:val="003A4AA6"/>
  </w:style>
  <w:style w:type="character" w:customStyle="1" w:styleId="ala170">
    <w:name w:val="al_a170"/>
    <w:uiPriority w:val="99"/>
    <w:rsid w:val="003A4AA6"/>
  </w:style>
  <w:style w:type="character" w:customStyle="1" w:styleId="ala171">
    <w:name w:val="al_a171"/>
    <w:uiPriority w:val="99"/>
    <w:rsid w:val="003A4AA6"/>
  </w:style>
  <w:style w:type="character" w:customStyle="1" w:styleId="ala172">
    <w:name w:val="al_a172"/>
    <w:uiPriority w:val="99"/>
    <w:rsid w:val="003A4AA6"/>
  </w:style>
  <w:style w:type="character" w:customStyle="1" w:styleId="ala173">
    <w:name w:val="al_a173"/>
    <w:uiPriority w:val="99"/>
    <w:rsid w:val="003A4AA6"/>
  </w:style>
  <w:style w:type="character" w:customStyle="1" w:styleId="ala174">
    <w:name w:val="al_a174"/>
    <w:uiPriority w:val="99"/>
    <w:rsid w:val="003A4AA6"/>
  </w:style>
  <w:style w:type="character" w:customStyle="1" w:styleId="ala175">
    <w:name w:val="al_a175"/>
    <w:uiPriority w:val="99"/>
    <w:rsid w:val="003A4AA6"/>
  </w:style>
  <w:style w:type="character" w:customStyle="1" w:styleId="ala176">
    <w:name w:val="al_a176"/>
    <w:uiPriority w:val="99"/>
    <w:rsid w:val="003A4AA6"/>
  </w:style>
  <w:style w:type="character" w:customStyle="1" w:styleId="ala177">
    <w:name w:val="al_a177"/>
    <w:uiPriority w:val="99"/>
    <w:rsid w:val="003A4AA6"/>
  </w:style>
  <w:style w:type="character" w:customStyle="1" w:styleId="ala178">
    <w:name w:val="al_a178"/>
    <w:uiPriority w:val="99"/>
    <w:rsid w:val="003A4AA6"/>
  </w:style>
  <w:style w:type="character" w:customStyle="1" w:styleId="ala179">
    <w:name w:val="al_a179"/>
    <w:uiPriority w:val="99"/>
    <w:rsid w:val="003A4AA6"/>
  </w:style>
  <w:style w:type="character" w:customStyle="1" w:styleId="ala180">
    <w:name w:val="al_a180"/>
    <w:uiPriority w:val="99"/>
    <w:rsid w:val="003A4AA6"/>
  </w:style>
  <w:style w:type="character" w:customStyle="1" w:styleId="ala181">
    <w:name w:val="al_a181"/>
    <w:uiPriority w:val="99"/>
    <w:rsid w:val="003A4AA6"/>
  </w:style>
  <w:style w:type="character" w:customStyle="1" w:styleId="ala182">
    <w:name w:val="al_a182"/>
    <w:uiPriority w:val="99"/>
    <w:rsid w:val="003A4AA6"/>
  </w:style>
  <w:style w:type="character" w:customStyle="1" w:styleId="ala183">
    <w:name w:val="al_a183"/>
    <w:uiPriority w:val="99"/>
    <w:rsid w:val="003A4AA6"/>
  </w:style>
  <w:style w:type="character" w:customStyle="1" w:styleId="ala184">
    <w:name w:val="al_a184"/>
    <w:uiPriority w:val="99"/>
    <w:rsid w:val="003A4AA6"/>
  </w:style>
  <w:style w:type="character" w:customStyle="1" w:styleId="ala185">
    <w:name w:val="al_a185"/>
    <w:uiPriority w:val="99"/>
    <w:rsid w:val="003A4AA6"/>
  </w:style>
  <w:style w:type="character" w:customStyle="1" w:styleId="ala186">
    <w:name w:val="al_a186"/>
    <w:uiPriority w:val="99"/>
    <w:rsid w:val="003A4AA6"/>
  </w:style>
  <w:style w:type="character" w:customStyle="1" w:styleId="ala187">
    <w:name w:val="al_a187"/>
    <w:uiPriority w:val="99"/>
    <w:rsid w:val="003A4AA6"/>
  </w:style>
  <w:style w:type="character" w:customStyle="1" w:styleId="ldef2">
    <w:name w:val="ldef2"/>
    <w:uiPriority w:val="99"/>
    <w:rsid w:val="003A4AA6"/>
    <w:rPr>
      <w:color w:val="FF0000"/>
    </w:rPr>
  </w:style>
  <w:style w:type="character" w:customStyle="1" w:styleId="ala188">
    <w:name w:val="al_a188"/>
    <w:uiPriority w:val="99"/>
    <w:rsid w:val="003A4AA6"/>
  </w:style>
  <w:style w:type="character" w:customStyle="1" w:styleId="ala189">
    <w:name w:val="al_a189"/>
    <w:uiPriority w:val="99"/>
    <w:rsid w:val="003A4AA6"/>
  </w:style>
  <w:style w:type="character" w:customStyle="1" w:styleId="ala190">
    <w:name w:val="al_a190"/>
    <w:uiPriority w:val="99"/>
    <w:rsid w:val="003A4AA6"/>
  </w:style>
  <w:style w:type="character" w:customStyle="1" w:styleId="ala191">
    <w:name w:val="al_a191"/>
    <w:uiPriority w:val="99"/>
    <w:rsid w:val="003A4AA6"/>
  </w:style>
  <w:style w:type="character" w:customStyle="1" w:styleId="irefword2">
    <w:name w:val="iref_word2"/>
    <w:uiPriority w:val="99"/>
    <w:rsid w:val="003A4AA6"/>
    <w:rPr>
      <w:color w:val="FF0000"/>
    </w:rPr>
  </w:style>
  <w:style w:type="character" w:customStyle="1" w:styleId="ala192">
    <w:name w:val="al_a192"/>
    <w:uiPriority w:val="99"/>
    <w:rsid w:val="003A4AA6"/>
  </w:style>
  <w:style w:type="character" w:customStyle="1" w:styleId="ala193">
    <w:name w:val="al_a193"/>
    <w:uiPriority w:val="99"/>
    <w:rsid w:val="003A4AA6"/>
  </w:style>
  <w:style w:type="character" w:customStyle="1" w:styleId="ala194">
    <w:name w:val="al_a194"/>
    <w:uiPriority w:val="99"/>
    <w:rsid w:val="003A4AA6"/>
  </w:style>
  <w:style w:type="character" w:customStyle="1" w:styleId="ala195">
    <w:name w:val="al_a195"/>
    <w:uiPriority w:val="99"/>
    <w:rsid w:val="003A4AA6"/>
  </w:style>
  <w:style w:type="character" w:customStyle="1" w:styleId="ala196">
    <w:name w:val="al_a196"/>
    <w:uiPriority w:val="99"/>
    <w:rsid w:val="003A4AA6"/>
  </w:style>
  <w:style w:type="character" w:customStyle="1" w:styleId="ala197">
    <w:name w:val="al_a197"/>
    <w:uiPriority w:val="99"/>
    <w:rsid w:val="003A4AA6"/>
  </w:style>
  <w:style w:type="character" w:customStyle="1" w:styleId="ala198">
    <w:name w:val="al_a198"/>
    <w:uiPriority w:val="99"/>
    <w:rsid w:val="003A4AA6"/>
  </w:style>
  <w:style w:type="character" w:customStyle="1" w:styleId="ala199">
    <w:name w:val="al_a199"/>
    <w:uiPriority w:val="99"/>
    <w:rsid w:val="003A4AA6"/>
  </w:style>
  <w:style w:type="character" w:customStyle="1" w:styleId="ala200">
    <w:name w:val="al_a200"/>
    <w:uiPriority w:val="99"/>
    <w:rsid w:val="003A4AA6"/>
  </w:style>
  <w:style w:type="character" w:customStyle="1" w:styleId="alafa">
    <w:name w:val="al_a fa"/>
    <w:uiPriority w:val="99"/>
    <w:rsid w:val="003A4AA6"/>
    <w:rPr>
      <w:rFonts w:cs="Times New Roman"/>
    </w:rPr>
  </w:style>
  <w:style w:type="character" w:customStyle="1" w:styleId="alcaptincomingsubparagraphlink">
    <w:name w:val="al_capt incomingsubparagraphlink"/>
    <w:uiPriority w:val="99"/>
    <w:rsid w:val="003A4AA6"/>
  </w:style>
  <w:style w:type="character" w:customStyle="1" w:styleId="subparinclinkincomingparagraphlink">
    <w:name w:val="subparinclink incomingparagraphlink"/>
    <w:uiPriority w:val="99"/>
    <w:rsid w:val="003A4AA6"/>
  </w:style>
  <w:style w:type="character" w:customStyle="1" w:styleId="alt2">
    <w:name w:val="al_t2"/>
    <w:uiPriority w:val="99"/>
    <w:rsid w:val="003A4AA6"/>
  </w:style>
  <w:style w:type="character" w:customStyle="1" w:styleId="alt3">
    <w:name w:val="al_t3"/>
    <w:uiPriority w:val="99"/>
    <w:rsid w:val="003A4AA6"/>
  </w:style>
  <w:style w:type="character" w:customStyle="1" w:styleId="alt4">
    <w:name w:val="al_t4"/>
    <w:uiPriority w:val="99"/>
    <w:rsid w:val="003A4AA6"/>
  </w:style>
  <w:style w:type="paragraph" w:customStyle="1" w:styleId="1">
    <w:name w:val="1"/>
    <w:basedOn w:val="Normal"/>
    <w:uiPriority w:val="99"/>
    <w:rsid w:val="003A4AA6"/>
    <w:pPr>
      <w:tabs>
        <w:tab w:val="left" w:pos="709"/>
      </w:tabs>
      <w:spacing w:after="0" w:line="360" w:lineRule="auto"/>
    </w:pPr>
    <w:rPr>
      <w:rFonts w:ascii="Tahoma" w:eastAsia="Times New Roman" w:hAnsi="Tahoma"/>
      <w:sz w:val="24"/>
      <w:szCs w:val="24"/>
      <w:lang w:val="pl-PL" w:eastAsia="pl-PL"/>
    </w:rPr>
  </w:style>
  <w:style w:type="paragraph" w:customStyle="1" w:styleId="htleft">
    <w:name w:val="htleft"/>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htright">
    <w:name w:val="htright"/>
    <w:basedOn w:val="Normal"/>
    <w:uiPriority w:val="99"/>
    <w:rsid w:val="003A4AA6"/>
    <w:pP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htcenter">
    <w:name w:val="htcenter"/>
    <w:basedOn w:val="Normal"/>
    <w:uiPriority w:val="99"/>
    <w:rsid w:val="003A4AA6"/>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htjust">
    <w:name w:val="htjust"/>
    <w:basedOn w:val="Normal"/>
    <w:uiPriority w:val="99"/>
    <w:rsid w:val="003A4AA6"/>
    <w:pPr>
      <w:spacing w:before="100" w:beforeAutospacing="1" w:after="100" w:afterAutospacing="1" w:line="240" w:lineRule="auto"/>
      <w:jc w:val="both"/>
    </w:pPr>
    <w:rPr>
      <w:rFonts w:ascii="Times New Roman" w:eastAsia="Times New Roman" w:hAnsi="Times New Roman"/>
      <w:sz w:val="24"/>
      <w:szCs w:val="24"/>
      <w:lang w:eastAsia="bg-BG"/>
    </w:rPr>
  </w:style>
  <w:style w:type="paragraph" w:customStyle="1" w:styleId="doccontent">
    <w:name w:val="doccontent"/>
    <w:basedOn w:val="Normal"/>
    <w:uiPriority w:val="99"/>
    <w:rsid w:val="003A4AA6"/>
    <w:pPr>
      <w:shd w:val="clear" w:color="auto" w:fill="FFFFFF"/>
      <w:spacing w:before="100" w:beforeAutospacing="1" w:after="100" w:afterAutospacing="1" w:line="240" w:lineRule="auto"/>
      <w:jc w:val="both"/>
    </w:pPr>
    <w:rPr>
      <w:rFonts w:ascii="Tahoma" w:eastAsia="Times New Roman" w:hAnsi="Tahoma" w:cs="Tahoma"/>
      <w:color w:val="000000"/>
      <w:lang w:eastAsia="bg-BG"/>
    </w:rPr>
  </w:style>
  <w:style w:type="paragraph" w:customStyle="1" w:styleId="hiddenref">
    <w:name w:val="hiddenref"/>
    <w:basedOn w:val="Normal"/>
    <w:uiPriority w:val="99"/>
    <w:rsid w:val="003A4AA6"/>
    <w:pPr>
      <w:spacing w:before="100" w:beforeAutospacing="1" w:after="100" w:afterAutospacing="1" w:line="240" w:lineRule="auto"/>
    </w:pPr>
    <w:rPr>
      <w:rFonts w:ascii="Times New Roman" w:eastAsia="Times New Roman" w:hAnsi="Times New Roman"/>
      <w:color w:val="000000"/>
      <w:sz w:val="24"/>
      <w:szCs w:val="24"/>
      <w:u w:val="single"/>
      <w:lang w:eastAsia="bg-BG"/>
    </w:rPr>
  </w:style>
  <w:style w:type="paragraph" w:customStyle="1" w:styleId="idwrap">
    <w:name w:val="idwrap"/>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idwrapselected">
    <w:name w:val="idwrapselected"/>
    <w:basedOn w:val="Normal"/>
    <w:uiPriority w:val="99"/>
    <w:rsid w:val="003A4AA6"/>
    <w:pPr>
      <w:shd w:val="clear" w:color="auto" w:fill="6E95C8"/>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rticlecontent">
    <w:name w:val="articlecontent"/>
    <w:basedOn w:val="Normal"/>
    <w:uiPriority w:val="99"/>
    <w:rsid w:val="003A4AA6"/>
    <w:pPr>
      <w:spacing w:before="100" w:beforeAutospacing="1" w:after="100" w:afterAutospacing="1" w:line="240" w:lineRule="auto"/>
      <w:ind w:left="150"/>
    </w:pPr>
    <w:rPr>
      <w:rFonts w:ascii="Times New Roman" w:eastAsia="Times New Roman" w:hAnsi="Times New Roman"/>
      <w:sz w:val="24"/>
      <w:szCs w:val="24"/>
      <w:lang w:eastAsia="bg-BG"/>
    </w:rPr>
  </w:style>
  <w:style w:type="paragraph" w:customStyle="1" w:styleId="selectedouter">
    <w:name w:val="selectedouter"/>
    <w:basedOn w:val="Normal"/>
    <w:uiPriority w:val="99"/>
    <w:rsid w:val="003A4AA6"/>
    <w:pPr>
      <w:shd w:val="clear" w:color="auto" w:fill="5077AA"/>
      <w:spacing w:before="100" w:beforeAutospacing="1" w:after="100" w:afterAutospacing="1" w:line="240" w:lineRule="auto"/>
      <w:ind w:left="-375" w:right="-75"/>
    </w:pPr>
    <w:rPr>
      <w:rFonts w:ascii="Times New Roman" w:eastAsia="Times New Roman" w:hAnsi="Times New Roman"/>
      <w:sz w:val="24"/>
      <w:szCs w:val="24"/>
      <w:lang w:eastAsia="bg-BG"/>
    </w:rPr>
  </w:style>
  <w:style w:type="paragraph" w:customStyle="1" w:styleId="selectedinner">
    <w:name w:val="selectedinner"/>
    <w:basedOn w:val="Normal"/>
    <w:uiPriority w:val="99"/>
    <w:rsid w:val="003A4AA6"/>
    <w:pPr>
      <w:shd w:val="clear" w:color="auto" w:fill="FFFFC8"/>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electedinnerfa">
    <w:name w:val="selectedinnerfa"/>
    <w:basedOn w:val="Normal"/>
    <w:uiPriority w:val="99"/>
    <w:rsid w:val="003A4AA6"/>
    <w:pPr>
      <w:shd w:val="clear" w:color="auto" w:fill="FFFFC8"/>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divid">
    <w:name w:val="divid"/>
    <w:basedOn w:val="Normal"/>
    <w:uiPriority w:val="99"/>
    <w:rsid w:val="003A4AA6"/>
    <w:pPr>
      <w:shd w:val="clear" w:color="auto" w:fill="FF0000"/>
      <w:spacing w:before="100" w:beforeAutospacing="1" w:after="100" w:afterAutospacing="1" w:line="240" w:lineRule="auto"/>
    </w:pPr>
    <w:rPr>
      <w:rFonts w:ascii="Times New Roman" w:eastAsia="Times New Roman" w:hAnsi="Times New Roman"/>
      <w:color w:val="FFFFFF"/>
      <w:sz w:val="24"/>
      <w:szCs w:val="24"/>
      <w:lang w:eastAsia="bg-BG"/>
    </w:rPr>
  </w:style>
  <w:style w:type="paragraph" w:customStyle="1" w:styleId="spanid">
    <w:name w:val="spanid"/>
    <w:basedOn w:val="Normal"/>
    <w:uiPriority w:val="99"/>
    <w:rsid w:val="003A4AA6"/>
    <w:pPr>
      <w:shd w:val="clear" w:color="auto" w:fill="00AB36"/>
      <w:spacing w:before="100" w:beforeAutospacing="1" w:after="100" w:afterAutospacing="1" w:line="240" w:lineRule="auto"/>
    </w:pPr>
    <w:rPr>
      <w:rFonts w:ascii="Times New Roman" w:eastAsia="Times New Roman" w:hAnsi="Times New Roman"/>
      <w:color w:val="FFFFFF"/>
      <w:sz w:val="24"/>
      <w:szCs w:val="24"/>
      <w:lang w:eastAsia="bg-BG"/>
    </w:rPr>
  </w:style>
  <w:style w:type="paragraph" w:customStyle="1" w:styleId="ahref">
    <w:name w:val="ahref"/>
    <w:basedOn w:val="Normal"/>
    <w:uiPriority w:val="99"/>
    <w:rsid w:val="003A4AA6"/>
    <w:pPr>
      <w:shd w:val="clear" w:color="auto" w:fill="05DFF9"/>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light">
    <w:name w:val="light"/>
    <w:basedOn w:val="Normal"/>
    <w:uiPriority w:val="99"/>
    <w:rsid w:val="003A4AA6"/>
    <w:pP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greenlight">
    <w:name w:val="greenlight"/>
    <w:basedOn w:val="Normal"/>
    <w:uiPriority w:val="99"/>
    <w:rsid w:val="003A4AA6"/>
    <w:pPr>
      <w:shd w:val="clear" w:color="auto" w:fill="90EE9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odo">
    <w:name w:val="todo"/>
    <w:basedOn w:val="Normal"/>
    <w:uiPriority w:val="99"/>
    <w:rsid w:val="003A4AA6"/>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paramerr">
    <w:name w:val="param_err"/>
    <w:basedOn w:val="Normal"/>
    <w:uiPriority w:val="99"/>
    <w:rsid w:val="003A4AA6"/>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changelog">
    <w:name w:val="changelog"/>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parinclink">
    <w:name w:val="parinclink"/>
    <w:basedOn w:val="Normal"/>
    <w:uiPriority w:val="99"/>
    <w:rsid w:val="003A4AA6"/>
    <w:pPr>
      <w:shd w:val="clear" w:color="auto" w:fill="FFFFFF"/>
      <w:spacing w:before="100" w:beforeAutospacing="1" w:after="100" w:afterAutospacing="1" w:line="240" w:lineRule="auto"/>
      <w:ind w:left="-225"/>
    </w:pPr>
    <w:rPr>
      <w:rFonts w:ascii="Times New Roman" w:eastAsia="Times New Roman" w:hAnsi="Times New Roman"/>
      <w:sz w:val="24"/>
      <w:szCs w:val="24"/>
      <w:lang w:eastAsia="bg-BG"/>
    </w:rPr>
  </w:style>
  <w:style w:type="paragraph" w:customStyle="1" w:styleId="parnotelink">
    <w:name w:val="parnotelink"/>
    <w:basedOn w:val="Normal"/>
    <w:uiPriority w:val="99"/>
    <w:rsid w:val="003A4AA6"/>
    <w:pPr>
      <w:shd w:val="clear" w:color="auto" w:fill="FFFFFF"/>
      <w:spacing w:before="100" w:beforeAutospacing="1" w:after="100" w:afterAutospacing="1" w:line="240" w:lineRule="auto"/>
      <w:ind w:left="-450"/>
    </w:pPr>
    <w:rPr>
      <w:rFonts w:ascii="Times New Roman" w:eastAsia="Times New Roman" w:hAnsi="Times New Roman"/>
      <w:sz w:val="24"/>
      <w:szCs w:val="24"/>
      <w:lang w:eastAsia="bg-BG"/>
    </w:rPr>
  </w:style>
  <w:style w:type="paragraph" w:customStyle="1" w:styleId="faparnotelink">
    <w:name w:val="faparnotelink"/>
    <w:basedOn w:val="Normal"/>
    <w:uiPriority w:val="99"/>
    <w:rsid w:val="003A4AA6"/>
    <w:pPr>
      <w:shd w:val="clear" w:color="auto"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ubparinclink">
    <w:name w:val="subparinclink"/>
    <w:basedOn w:val="Normal"/>
    <w:uiPriority w:val="99"/>
    <w:rsid w:val="003A4AA6"/>
    <w:pPr>
      <w:shd w:val="clear" w:color="auto" w:fill="FFFFFF"/>
      <w:spacing w:before="100" w:beforeAutospacing="1" w:after="100" w:afterAutospacing="1" w:line="240" w:lineRule="auto"/>
      <w:ind w:left="-165"/>
    </w:pPr>
    <w:rPr>
      <w:rFonts w:ascii="Times New Roman" w:eastAsia="Times New Roman" w:hAnsi="Times New Roman"/>
      <w:sz w:val="24"/>
      <w:szCs w:val="24"/>
      <w:lang w:eastAsia="bg-BG"/>
    </w:rPr>
  </w:style>
  <w:style w:type="paragraph" w:customStyle="1" w:styleId="fasubparinclink">
    <w:name w:val="fasubparinclink"/>
    <w:basedOn w:val="Normal"/>
    <w:uiPriority w:val="99"/>
    <w:rsid w:val="003A4AA6"/>
    <w:pPr>
      <w:shd w:val="clear" w:color="auto"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ngeinnernew">
    <w:name w:val="changeinnernew"/>
    <w:basedOn w:val="Normal"/>
    <w:uiPriority w:val="99"/>
    <w:rsid w:val="003A4AA6"/>
    <w:pPr>
      <w:shd w:val="clear" w:color="auto" w:fill="FFC8C8"/>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changeinnernewcaption">
    <w:name w:val="changeinnernewcaption"/>
    <w:basedOn w:val="Normal"/>
    <w:uiPriority w:val="99"/>
    <w:rsid w:val="003A4AA6"/>
    <w:pPr>
      <w:shd w:val="clear" w:color="auto" w:fill="FFAAAA"/>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ngeinnerold">
    <w:name w:val="changeinnerold"/>
    <w:basedOn w:val="Normal"/>
    <w:uiPriority w:val="99"/>
    <w:rsid w:val="003A4AA6"/>
    <w:pPr>
      <w:shd w:val="clear" w:color="auto" w:fill="FFE6E6"/>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ectionc">
    <w:name w:val="section_c"/>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d">
    <w:name w:val="section_d"/>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g">
    <w:name w:val="section_g"/>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r">
    <w:name w:val="section_r"/>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pz">
    <w:name w:val="section_pz"/>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sa">
    <w:name w:val="section_sa"/>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
    <w:name w:val="section"/>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par">
    <w:name w:val="par"/>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parc">
    <w:name w:val="par_c"/>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parp">
    <w:name w:val="par_p"/>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parsupercapt">
    <w:name w:val="par_super_capt"/>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al">
    <w:name w:val="al"/>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a">
    <w:name w:val="al_a"/>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t">
    <w:name w:val="al_t"/>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b">
    <w:name w:val="al_b"/>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fa">
    <w:name w:val="fa"/>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arcapt">
    <w:name w:val="par_capt"/>
    <w:basedOn w:val="Normal"/>
    <w:uiPriority w:val="99"/>
    <w:rsid w:val="003A4AA6"/>
    <w:pPr>
      <w:spacing w:before="100" w:beforeAutospacing="1" w:after="100" w:afterAutospacing="1" w:line="240" w:lineRule="auto"/>
      <w:ind w:firstLine="480"/>
    </w:pPr>
    <w:rPr>
      <w:rFonts w:ascii="Times New Roman" w:eastAsia="Times New Roman" w:hAnsi="Times New Roman"/>
      <w:b/>
      <w:bCs/>
      <w:sz w:val="24"/>
      <w:szCs w:val="24"/>
      <w:lang w:eastAsia="bg-BG"/>
    </w:rPr>
  </w:style>
  <w:style w:type="paragraph" w:customStyle="1" w:styleId="alcapt">
    <w:name w:val="al_capt"/>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changed">
    <w:name w:val="changed"/>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p">
    <w:name w:val="p"/>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ldef">
    <w:name w:val="ldef"/>
    <w:basedOn w:val="Normal"/>
    <w:uiPriority w:val="99"/>
    <w:rsid w:val="003A4AA6"/>
    <w:pP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irefword">
    <w:name w:val="iref_word"/>
    <w:basedOn w:val="Normal"/>
    <w:uiPriority w:val="99"/>
    <w:rsid w:val="003A4AA6"/>
    <w:pP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ind">
    <w:name w:val="ind"/>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nl">
    <w:name w:val="nl"/>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electedinhint">
    <w:name w:val="selectedinhint"/>
    <w:basedOn w:val="Normal"/>
    <w:uiPriority w:val="99"/>
    <w:rsid w:val="003A4AA6"/>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whatsnewsection">
    <w:name w:val="whatsnew_section"/>
    <w:basedOn w:val="Normal"/>
    <w:uiPriority w:val="99"/>
    <w:rsid w:val="003A4AA6"/>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whatsnewpar">
    <w:name w:val="whatsnew_par"/>
    <w:basedOn w:val="Normal"/>
    <w:uiPriority w:val="99"/>
    <w:rsid w:val="003A4AA6"/>
    <w:pPr>
      <w:spacing w:before="100" w:beforeAutospacing="1" w:after="100" w:afterAutospacing="1" w:line="240" w:lineRule="auto"/>
      <w:ind w:firstLine="240"/>
    </w:pPr>
    <w:rPr>
      <w:rFonts w:ascii="Times New Roman" w:eastAsia="Times New Roman" w:hAnsi="Times New Roman"/>
      <w:b/>
      <w:bCs/>
      <w:sz w:val="24"/>
      <w:szCs w:val="24"/>
      <w:lang w:eastAsia="bg-BG"/>
    </w:rPr>
  </w:style>
  <w:style w:type="paragraph" w:customStyle="1" w:styleId="whatsnewul">
    <w:name w:val="whatsnew_ul"/>
    <w:basedOn w:val="Normal"/>
    <w:uiPriority w:val="99"/>
    <w:rsid w:val="003A4AA6"/>
    <w:pPr>
      <w:spacing w:before="75" w:after="75" w:line="240" w:lineRule="auto"/>
    </w:pPr>
    <w:rPr>
      <w:rFonts w:ascii="Times New Roman" w:eastAsia="Times New Roman" w:hAnsi="Times New Roman"/>
      <w:sz w:val="24"/>
      <w:szCs w:val="24"/>
      <w:lang w:eastAsia="bg-BG"/>
    </w:rPr>
  </w:style>
  <w:style w:type="paragraph" w:customStyle="1" w:styleId="ncp">
    <w:name w:val="ncp"/>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evabbrev">
    <w:name w:val="ev_abbrev"/>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evlang">
    <w:name w:val="ev_lang"/>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glostitle">
    <w:name w:val="glos_title"/>
    <w:basedOn w:val="Normal"/>
    <w:uiPriority w:val="99"/>
    <w:rsid w:val="003A4AA6"/>
    <w:pPr>
      <w:spacing w:before="100" w:beforeAutospacing="1" w:after="75" w:line="240" w:lineRule="auto"/>
      <w:ind w:firstLine="480"/>
    </w:pPr>
    <w:rPr>
      <w:rFonts w:ascii="Times New Roman" w:eastAsia="Times New Roman" w:hAnsi="Times New Roman"/>
      <w:b/>
      <w:bCs/>
      <w:sz w:val="24"/>
      <w:szCs w:val="24"/>
      <w:lang w:eastAsia="bg-BG"/>
    </w:rPr>
  </w:style>
  <w:style w:type="paragraph" w:customStyle="1" w:styleId="glosdesc">
    <w:name w:val="glos_desc"/>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articlehistory">
    <w:name w:val="article_history"/>
    <w:basedOn w:val="Normal"/>
    <w:uiPriority w:val="99"/>
    <w:rsid w:val="003A4AA6"/>
    <w:pPr>
      <w:pBdr>
        <w:bottom w:val="dotted" w:sz="6" w:space="0" w:color="000000"/>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opic">
    <w:name w:val="topic"/>
    <w:basedOn w:val="Normal"/>
    <w:uiPriority w:val="99"/>
    <w:rsid w:val="003A4AA6"/>
    <w:pPr>
      <w:spacing w:before="15" w:after="75" w:line="240" w:lineRule="auto"/>
    </w:pPr>
    <w:rPr>
      <w:rFonts w:ascii="Times New Roman" w:eastAsia="Times New Roman" w:hAnsi="Times New Roman"/>
      <w:sz w:val="24"/>
      <w:szCs w:val="24"/>
      <w:lang w:eastAsia="bg-BG"/>
    </w:rPr>
  </w:style>
  <w:style w:type="paragraph" w:customStyle="1" w:styleId="topicannotations">
    <w:name w:val="topic_annotations"/>
    <w:basedOn w:val="Normal"/>
    <w:uiPriority w:val="99"/>
    <w:rsid w:val="003A4AA6"/>
    <w:pPr>
      <w:shd w:val="clear" w:color="auto" w:fill="EFEFEF"/>
      <w:spacing w:before="100" w:beforeAutospacing="1" w:after="100" w:afterAutospacing="1" w:line="240" w:lineRule="auto"/>
    </w:pPr>
    <w:rPr>
      <w:rFonts w:ascii="Times New Roman" w:eastAsia="Times New Roman" w:hAnsi="Times New Roman"/>
      <w:vanish/>
      <w:sz w:val="24"/>
      <w:szCs w:val="24"/>
      <w:lang w:eastAsia="bg-BG"/>
    </w:rPr>
  </w:style>
  <w:style w:type="paragraph" w:customStyle="1" w:styleId="articletopiccaption">
    <w:name w:val="article_topic_caption"/>
    <w:basedOn w:val="Normal"/>
    <w:uiPriority w:val="99"/>
    <w:rsid w:val="003A4AA6"/>
    <w:pPr>
      <w:pBdr>
        <w:bottom w:val="dashed" w:sz="6" w:space="0" w:color="auto"/>
      </w:pBdr>
      <w:spacing w:before="100" w:beforeAutospacing="1" w:after="100" w:afterAutospacing="1" w:line="240" w:lineRule="auto"/>
    </w:pPr>
    <w:rPr>
      <w:rFonts w:ascii="Times New Roman" w:eastAsia="Times New Roman" w:hAnsi="Times New Roman"/>
      <w:color w:val="00007F"/>
      <w:sz w:val="24"/>
      <w:szCs w:val="24"/>
      <w:lang w:eastAsia="bg-BG"/>
    </w:rPr>
  </w:style>
  <w:style w:type="paragraph" w:customStyle="1" w:styleId="articletopicopen">
    <w:name w:val="article_topic_open"/>
    <w:basedOn w:val="Normal"/>
    <w:uiPriority w:val="99"/>
    <w:rsid w:val="003A4AA6"/>
    <w:pPr>
      <w:pBdr>
        <w:bottom w:val="dashed" w:sz="6" w:space="0" w:color="00007F"/>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nnotation">
    <w:name w:val="annotation"/>
    <w:basedOn w:val="Normal"/>
    <w:uiPriority w:val="99"/>
    <w:rsid w:val="003A4AA6"/>
    <w:pPr>
      <w:spacing w:before="100" w:beforeAutospacing="1" w:after="90" w:line="240" w:lineRule="auto"/>
      <w:ind w:left="240"/>
    </w:pPr>
    <w:rPr>
      <w:rFonts w:ascii="Times New Roman" w:eastAsia="Times New Roman" w:hAnsi="Times New Roman"/>
      <w:sz w:val="24"/>
      <w:szCs w:val="24"/>
      <w:lang w:eastAsia="bg-BG"/>
    </w:rPr>
  </w:style>
  <w:style w:type="paragraph" w:customStyle="1" w:styleId="annotationpar">
    <w:name w:val="annotation_par"/>
    <w:basedOn w:val="Normal"/>
    <w:uiPriority w:val="99"/>
    <w:rsid w:val="003A4AA6"/>
    <w:pPr>
      <w:spacing w:before="100" w:beforeAutospacing="1" w:after="100" w:afterAutospacing="1" w:line="240" w:lineRule="auto"/>
      <w:ind w:left="480"/>
    </w:pPr>
    <w:rPr>
      <w:rFonts w:ascii="Times New Roman" w:eastAsia="Times New Roman" w:hAnsi="Times New Roman"/>
      <w:sz w:val="24"/>
      <w:szCs w:val="24"/>
      <w:lang w:eastAsia="bg-BG"/>
    </w:rPr>
  </w:style>
  <w:style w:type="paragraph" w:customStyle="1" w:styleId="topicgroup">
    <w:name w:val="topic_group"/>
    <w:basedOn w:val="Normal"/>
    <w:uiPriority w:val="99"/>
    <w:rsid w:val="003A4AA6"/>
    <w:pPr>
      <w:spacing w:before="100" w:beforeAutospacing="1" w:after="120" w:line="240" w:lineRule="auto"/>
    </w:pPr>
    <w:rPr>
      <w:rFonts w:ascii="Times New Roman" w:eastAsia="Times New Roman" w:hAnsi="Times New Roman"/>
      <w:sz w:val="24"/>
      <w:szCs w:val="24"/>
      <w:lang w:eastAsia="bg-BG"/>
    </w:rPr>
  </w:style>
  <w:style w:type="paragraph" w:customStyle="1" w:styleId="topicgroupcaption">
    <w:name w:val="topic_group_caption"/>
    <w:basedOn w:val="Normal"/>
    <w:uiPriority w:val="99"/>
    <w:rsid w:val="003A4AA6"/>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topicinfo">
    <w:name w:val="topic_info"/>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doclinkhint">
    <w:name w:val="doclinkhint"/>
    <w:basedOn w:val="Normal"/>
    <w:uiPriority w:val="99"/>
    <w:rsid w:val="003A4AA6"/>
    <w:pPr>
      <w:spacing w:before="100" w:beforeAutospacing="1" w:after="100" w:afterAutospacing="1" w:line="240" w:lineRule="auto"/>
    </w:pPr>
    <w:rPr>
      <w:rFonts w:ascii="Tahoma" w:eastAsia="Times New Roman" w:hAnsi="Tahoma" w:cs="Tahoma"/>
      <w:color w:val="000000"/>
      <w:sz w:val="16"/>
      <w:szCs w:val="16"/>
      <w:lang w:eastAsia="bg-BG"/>
    </w:rPr>
  </w:style>
  <w:style w:type="paragraph" w:customStyle="1" w:styleId="popboximagesmall">
    <w:name w:val="popboximagesmall"/>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pboximagelarge">
    <w:name w:val="popboximagelarge"/>
    <w:basedOn w:val="Normal"/>
    <w:uiPriority w:val="99"/>
    <w:rsid w:val="003A4AA6"/>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pboximagemove">
    <w:name w:val="popboximagemove"/>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relatedsubjectspanel">
    <w:name w:val="related_subjects_panel"/>
    <w:basedOn w:val="Normal"/>
    <w:uiPriority w:val="99"/>
    <w:rsid w:val="003A4AA6"/>
    <w:pPr>
      <w:spacing w:before="150" w:after="100" w:afterAutospacing="1" w:line="240" w:lineRule="auto"/>
    </w:pPr>
    <w:rPr>
      <w:rFonts w:ascii="Times New Roman" w:eastAsia="Times New Roman" w:hAnsi="Times New Roman"/>
      <w:sz w:val="24"/>
      <w:szCs w:val="24"/>
      <w:lang w:eastAsia="bg-BG"/>
    </w:rPr>
  </w:style>
  <w:style w:type="paragraph" w:customStyle="1" w:styleId="relatedsubjectsinfo">
    <w:name w:val="related_subjects_info"/>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relatedsubjectselected">
    <w:name w:val="related_subject_selected"/>
    <w:basedOn w:val="Normal"/>
    <w:uiPriority w:val="99"/>
    <w:rsid w:val="003A4AA6"/>
    <w:pPr>
      <w:spacing w:before="100" w:beforeAutospacing="1" w:after="100" w:afterAutospacing="1" w:line="240" w:lineRule="auto"/>
    </w:pPr>
    <w:rPr>
      <w:rFonts w:ascii="Times New Roman" w:eastAsia="Times New Roman" w:hAnsi="Times New Roman"/>
      <w:color w:val="0000FF"/>
      <w:sz w:val="24"/>
      <w:szCs w:val="24"/>
      <w:u w:val="single"/>
      <w:lang w:eastAsia="bg-BG"/>
    </w:rPr>
  </w:style>
  <w:style w:type="paragraph" w:customStyle="1" w:styleId="joinedsubject">
    <w:name w:val="joined_subject"/>
    <w:basedOn w:val="Normal"/>
    <w:uiPriority w:val="99"/>
    <w:rsid w:val="003A4AA6"/>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joinedrelation">
    <w:name w:val="joined_relation"/>
    <w:basedOn w:val="Normal"/>
    <w:uiPriority w:val="99"/>
    <w:rsid w:val="003A4AA6"/>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articlecontent1">
    <w:name w:val="articlecontent1"/>
    <w:basedOn w:val="Normal"/>
    <w:uiPriority w:val="99"/>
    <w:rsid w:val="003A4AA6"/>
    <w:pPr>
      <w:shd w:val="clear" w:color="auto" w:fill="FFFFFF"/>
      <w:spacing w:before="100" w:beforeAutospacing="1" w:after="100" w:afterAutospacing="1" w:line="240" w:lineRule="auto"/>
      <w:ind w:left="150"/>
    </w:pPr>
    <w:rPr>
      <w:rFonts w:ascii="Times New Roman" w:eastAsia="Times New Roman" w:hAnsi="Times New Roman"/>
      <w:sz w:val="24"/>
      <w:szCs w:val="24"/>
      <w:lang w:eastAsia="bg-BG"/>
    </w:rPr>
  </w:style>
  <w:style w:type="paragraph" w:customStyle="1" w:styleId="hiddenref1">
    <w:name w:val="hiddenref1"/>
    <w:basedOn w:val="Normal"/>
    <w:uiPriority w:val="99"/>
    <w:rsid w:val="003A4AA6"/>
    <w:pPr>
      <w:spacing w:before="100" w:beforeAutospacing="1" w:after="100" w:afterAutospacing="1" w:line="240" w:lineRule="auto"/>
    </w:pPr>
    <w:rPr>
      <w:rFonts w:ascii="Times New Roman" w:eastAsia="Times New Roman" w:hAnsi="Times New Roman"/>
      <w:color w:val="000000"/>
      <w:sz w:val="24"/>
      <w:szCs w:val="24"/>
      <w:u w:val="single"/>
      <w:lang w:eastAsia="bg-BG"/>
    </w:rPr>
  </w:style>
  <w:style w:type="paragraph" w:customStyle="1" w:styleId="todo1">
    <w:name w:val="todo1"/>
    <w:basedOn w:val="Normal"/>
    <w:uiPriority w:val="99"/>
    <w:rsid w:val="003A4AA6"/>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paramerr1">
    <w:name w:val="param_err1"/>
    <w:basedOn w:val="Normal"/>
    <w:uiPriority w:val="99"/>
    <w:rsid w:val="003A4AA6"/>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sectionc1">
    <w:name w:val="section_c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d1">
    <w:name w:val="section_d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g1">
    <w:name w:val="section_g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r1">
    <w:name w:val="section_r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pz1">
    <w:name w:val="section_pz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sa1">
    <w:name w:val="section_sa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ection1">
    <w:name w:val="section1"/>
    <w:basedOn w:val="Normal"/>
    <w:uiPriority w:val="99"/>
    <w:rsid w:val="003A4AA6"/>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par1">
    <w:name w:val="par1"/>
    <w:basedOn w:val="Normal"/>
    <w:uiPriority w:val="99"/>
    <w:rsid w:val="003A4AA6"/>
    <w:pPr>
      <w:spacing w:before="100" w:beforeAutospacing="1" w:after="100" w:afterAutospacing="1" w:line="240" w:lineRule="auto"/>
      <w:ind w:firstLine="400"/>
    </w:pPr>
    <w:rPr>
      <w:rFonts w:ascii="Times New Roman" w:eastAsia="Times New Roman" w:hAnsi="Times New Roman"/>
      <w:sz w:val="24"/>
      <w:szCs w:val="24"/>
      <w:lang w:eastAsia="bg-BG"/>
    </w:rPr>
  </w:style>
  <w:style w:type="paragraph" w:customStyle="1" w:styleId="parc1">
    <w:name w:val="par_c1"/>
    <w:basedOn w:val="Normal"/>
    <w:uiPriority w:val="99"/>
    <w:rsid w:val="003A4AA6"/>
    <w:pPr>
      <w:spacing w:before="100" w:beforeAutospacing="1" w:after="100" w:afterAutospacing="1" w:line="240" w:lineRule="auto"/>
      <w:ind w:firstLine="400"/>
    </w:pPr>
    <w:rPr>
      <w:rFonts w:ascii="Times New Roman" w:eastAsia="Times New Roman" w:hAnsi="Times New Roman"/>
      <w:sz w:val="24"/>
      <w:szCs w:val="24"/>
      <w:lang w:eastAsia="bg-BG"/>
    </w:rPr>
  </w:style>
  <w:style w:type="paragraph" w:customStyle="1" w:styleId="parp1">
    <w:name w:val="par_p1"/>
    <w:basedOn w:val="Normal"/>
    <w:uiPriority w:val="99"/>
    <w:rsid w:val="003A4AA6"/>
    <w:pPr>
      <w:spacing w:before="100" w:beforeAutospacing="1" w:after="100" w:afterAutospacing="1" w:line="240" w:lineRule="auto"/>
      <w:ind w:firstLine="400"/>
    </w:pPr>
    <w:rPr>
      <w:rFonts w:ascii="Times New Roman" w:eastAsia="Times New Roman" w:hAnsi="Times New Roman"/>
      <w:sz w:val="24"/>
      <w:szCs w:val="24"/>
      <w:lang w:eastAsia="bg-BG"/>
    </w:rPr>
  </w:style>
  <w:style w:type="paragraph" w:customStyle="1" w:styleId="parsupercapt1">
    <w:name w:val="par_super_capt1"/>
    <w:basedOn w:val="Normal"/>
    <w:uiPriority w:val="99"/>
    <w:rsid w:val="003A4AA6"/>
    <w:pPr>
      <w:spacing w:before="100" w:beforeAutospacing="1" w:after="100" w:afterAutospacing="1" w:line="240" w:lineRule="auto"/>
      <w:ind w:firstLine="480"/>
    </w:pPr>
    <w:rPr>
      <w:rFonts w:ascii="Times New Roman" w:eastAsia="Times New Roman" w:hAnsi="Times New Roman"/>
      <w:sz w:val="24"/>
      <w:szCs w:val="24"/>
      <w:lang w:eastAsia="bg-BG"/>
    </w:rPr>
  </w:style>
  <w:style w:type="paragraph" w:customStyle="1" w:styleId="al1">
    <w:name w:val="al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a1">
    <w:name w:val="al_a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t1">
    <w:name w:val="al_t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alb1">
    <w:name w:val="al_b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fa1">
    <w:name w:val="fa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arcapt1">
    <w:name w:val="par_capt1"/>
    <w:basedOn w:val="Normal"/>
    <w:uiPriority w:val="99"/>
    <w:rsid w:val="003A4AA6"/>
    <w:pPr>
      <w:spacing w:before="100" w:beforeAutospacing="1" w:after="100" w:afterAutospacing="1" w:line="240" w:lineRule="auto"/>
      <w:ind w:firstLine="480"/>
    </w:pPr>
    <w:rPr>
      <w:rFonts w:ascii="Times New Roman" w:eastAsia="Times New Roman" w:hAnsi="Times New Roman"/>
      <w:b/>
      <w:bCs/>
      <w:sz w:val="24"/>
      <w:szCs w:val="24"/>
      <w:lang w:eastAsia="bg-BG"/>
    </w:rPr>
  </w:style>
  <w:style w:type="paragraph" w:customStyle="1" w:styleId="alcapt1">
    <w:name w:val="al_capt1"/>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changed1">
    <w:name w:val="changed1"/>
    <w:basedOn w:val="Normal"/>
    <w:uiPriority w:val="99"/>
    <w:rsid w:val="003A4AA6"/>
    <w:pPr>
      <w:spacing w:before="100" w:beforeAutospacing="1" w:after="100" w:afterAutospacing="1" w:line="240" w:lineRule="auto"/>
    </w:pPr>
    <w:rPr>
      <w:rFonts w:ascii="Times New Roman" w:eastAsia="Times New Roman" w:hAnsi="Times New Roman"/>
      <w:i/>
      <w:iCs/>
      <w:sz w:val="24"/>
      <w:szCs w:val="24"/>
      <w:lang w:eastAsia="bg-BG"/>
    </w:rPr>
  </w:style>
  <w:style w:type="paragraph" w:customStyle="1" w:styleId="p1">
    <w:name w:val="p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ldef1">
    <w:name w:val="ldef1"/>
    <w:basedOn w:val="Normal"/>
    <w:uiPriority w:val="99"/>
    <w:rsid w:val="003A4AA6"/>
    <w:pP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irefword1">
    <w:name w:val="iref_word1"/>
    <w:basedOn w:val="Normal"/>
    <w:uiPriority w:val="99"/>
    <w:rsid w:val="003A4AA6"/>
    <w:pP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ind1">
    <w:name w:val="ind1"/>
    <w:basedOn w:val="Normal"/>
    <w:uiPriority w:val="99"/>
    <w:rsid w:val="003A4AA6"/>
    <w:pPr>
      <w:spacing w:before="100" w:beforeAutospacing="1" w:after="100" w:afterAutospacing="1" w:line="240" w:lineRule="auto"/>
      <w:ind w:firstLine="400"/>
    </w:pPr>
    <w:rPr>
      <w:rFonts w:ascii="Times New Roman" w:eastAsia="Times New Roman" w:hAnsi="Times New Roman"/>
      <w:sz w:val="24"/>
      <w:szCs w:val="24"/>
      <w:lang w:eastAsia="bg-BG"/>
    </w:rPr>
  </w:style>
  <w:style w:type="paragraph" w:customStyle="1" w:styleId="nl1">
    <w:name w:val="nl1"/>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electedinhint1">
    <w:name w:val="selectedinhint1"/>
    <w:basedOn w:val="Normal"/>
    <w:uiPriority w:val="99"/>
    <w:rsid w:val="003A4AA6"/>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CharCharCharChar">
    <w:name w:val="Char Char Char Char Знак Знак"/>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character" w:customStyle="1" w:styleId="newdocreference12">
    <w:name w:val="newdocreference12"/>
    <w:uiPriority w:val="99"/>
    <w:rsid w:val="003A4AA6"/>
    <w:rPr>
      <w:color w:val="0000FF"/>
      <w:u w:val="single"/>
    </w:rPr>
  </w:style>
  <w:style w:type="character" w:customStyle="1" w:styleId="parcaptincomingparagraphlink">
    <w:name w:val="par_capt incomingparagraphlink"/>
    <w:uiPriority w:val="99"/>
    <w:rsid w:val="003A4AA6"/>
  </w:style>
  <w:style w:type="character" w:customStyle="1" w:styleId="FontStyle14">
    <w:name w:val="Font Style14"/>
    <w:uiPriority w:val="99"/>
    <w:rsid w:val="003A4AA6"/>
    <w:rPr>
      <w:rFonts w:ascii="Times New Roman" w:hAnsi="Times New Roman"/>
      <w:sz w:val="24"/>
    </w:rPr>
  </w:style>
  <w:style w:type="character" w:customStyle="1" w:styleId="articlehistory1">
    <w:name w:val="article_history1"/>
    <w:uiPriority w:val="99"/>
    <w:rsid w:val="003A4AA6"/>
    <w:rPr>
      <w:rFonts w:cs="Times New Roman"/>
    </w:rPr>
  </w:style>
  <w:style w:type="character" w:customStyle="1" w:styleId="fasubparinclinkincomingparagraphlink">
    <w:name w:val="fasubparinclink incomingparagraphlink"/>
    <w:uiPriority w:val="99"/>
    <w:rsid w:val="003A4AA6"/>
    <w:rPr>
      <w:rFonts w:cs="Times New Roman"/>
    </w:rPr>
  </w:style>
  <w:style w:type="character" w:customStyle="1" w:styleId="light1">
    <w:name w:val="light1"/>
    <w:uiPriority w:val="99"/>
    <w:rsid w:val="003A4AA6"/>
    <w:rPr>
      <w:shd w:val="clear" w:color="auto" w:fill="FFFF00"/>
    </w:rPr>
  </w:style>
  <w:style w:type="character" w:customStyle="1" w:styleId="parinclinkincomingparagraphlink">
    <w:name w:val="parinclink incomingparagraphlink"/>
    <w:uiPriority w:val="99"/>
    <w:rsid w:val="003A4AA6"/>
    <w:rPr>
      <w:rFonts w:cs="Times New Roman"/>
    </w:rPr>
  </w:style>
  <w:style w:type="character" w:customStyle="1" w:styleId="articletopicopen1">
    <w:name w:val="article_topic_open1"/>
    <w:uiPriority w:val="99"/>
    <w:rsid w:val="003A4AA6"/>
    <w:rPr>
      <w:u w:val="none"/>
      <w:effect w:val="none"/>
      <w:bdr w:val="none" w:sz="0" w:space="0" w:color="auto" w:frame="1"/>
    </w:rPr>
  </w:style>
  <w:style w:type="character" w:customStyle="1" w:styleId="articletopiccaption1">
    <w:name w:val="article_topic_caption1"/>
    <w:uiPriority w:val="99"/>
    <w:rsid w:val="003A4AA6"/>
    <w:rPr>
      <w:color w:val="00007F"/>
      <w:u w:val="none"/>
      <w:effect w:val="none"/>
    </w:rPr>
  </w:style>
  <w:style w:type="character" w:customStyle="1" w:styleId="articletopicopen2">
    <w:name w:val="article_topic_open2"/>
    <w:uiPriority w:val="99"/>
    <w:rsid w:val="003A4AA6"/>
    <w:rPr>
      <w:u w:val="none"/>
      <w:effect w:val="none"/>
      <w:bdr w:val="none" w:sz="0" w:space="0" w:color="auto" w:frame="1"/>
    </w:rPr>
  </w:style>
  <w:style w:type="character" w:customStyle="1" w:styleId="articletopiccaption2">
    <w:name w:val="article_topic_caption2"/>
    <w:uiPriority w:val="99"/>
    <w:rsid w:val="003A4AA6"/>
    <w:rPr>
      <w:color w:val="00007F"/>
      <w:u w:val="none"/>
      <w:effect w:val="none"/>
    </w:rPr>
  </w:style>
  <w:style w:type="character" w:customStyle="1" w:styleId="articletopicopen3">
    <w:name w:val="article_topic_open3"/>
    <w:uiPriority w:val="99"/>
    <w:rsid w:val="003A4AA6"/>
    <w:rPr>
      <w:u w:val="none"/>
      <w:effect w:val="none"/>
      <w:bdr w:val="none" w:sz="0" w:space="0" w:color="auto" w:frame="1"/>
    </w:rPr>
  </w:style>
  <w:style w:type="character" w:customStyle="1" w:styleId="articletopiccaption3">
    <w:name w:val="article_topic_caption3"/>
    <w:uiPriority w:val="99"/>
    <w:rsid w:val="003A4AA6"/>
    <w:rPr>
      <w:color w:val="00007F"/>
      <w:u w:val="none"/>
      <w:effect w:val="none"/>
    </w:rPr>
  </w:style>
  <w:style w:type="character" w:customStyle="1" w:styleId="alt5">
    <w:name w:val="al_t5"/>
    <w:uiPriority w:val="99"/>
    <w:rsid w:val="003A4AA6"/>
  </w:style>
  <w:style w:type="character" w:customStyle="1" w:styleId="alb2">
    <w:name w:val="al_b2"/>
    <w:uiPriority w:val="99"/>
    <w:rsid w:val="003A4AA6"/>
  </w:style>
  <w:style w:type="character" w:customStyle="1" w:styleId="articletopicopen4">
    <w:name w:val="article_topic_open4"/>
    <w:uiPriority w:val="99"/>
    <w:rsid w:val="003A4AA6"/>
    <w:rPr>
      <w:u w:val="none"/>
      <w:effect w:val="none"/>
      <w:bdr w:val="none" w:sz="0" w:space="0" w:color="auto" w:frame="1"/>
    </w:rPr>
  </w:style>
  <w:style w:type="character" w:customStyle="1" w:styleId="alt6">
    <w:name w:val="al_t6"/>
    <w:uiPriority w:val="99"/>
    <w:rsid w:val="003A4AA6"/>
  </w:style>
  <w:style w:type="character" w:customStyle="1" w:styleId="articletopiccaption4">
    <w:name w:val="article_topic_caption4"/>
    <w:uiPriority w:val="99"/>
    <w:rsid w:val="003A4AA6"/>
    <w:rPr>
      <w:color w:val="00007F"/>
      <w:u w:val="none"/>
      <w:effect w:val="none"/>
    </w:rPr>
  </w:style>
  <w:style w:type="character" w:customStyle="1" w:styleId="alt7">
    <w:name w:val="al_t7"/>
    <w:uiPriority w:val="99"/>
    <w:rsid w:val="003A4AA6"/>
  </w:style>
  <w:style w:type="character" w:customStyle="1" w:styleId="alt8">
    <w:name w:val="al_t8"/>
    <w:uiPriority w:val="99"/>
    <w:rsid w:val="003A4AA6"/>
  </w:style>
  <w:style w:type="paragraph" w:customStyle="1" w:styleId="ListParagraph1">
    <w:name w:val="List Paragraph1"/>
    <w:basedOn w:val="Normal"/>
    <w:uiPriority w:val="99"/>
    <w:rsid w:val="003A4AA6"/>
    <w:pPr>
      <w:spacing w:after="0" w:line="276" w:lineRule="auto"/>
      <w:ind w:left="720"/>
    </w:pPr>
    <w:rPr>
      <w:rFonts w:ascii="Times New Roman" w:eastAsia="Times New Roman" w:hAnsi="Times New Roman"/>
      <w:sz w:val="24"/>
      <w:szCs w:val="24"/>
      <w:lang w:val="en-GB"/>
    </w:rPr>
  </w:style>
  <w:style w:type="character" w:customStyle="1" w:styleId="FontStyle33">
    <w:name w:val="Font Style33"/>
    <w:uiPriority w:val="99"/>
    <w:rsid w:val="003A4AA6"/>
    <w:rPr>
      <w:rFonts w:ascii="Times New Roman" w:hAnsi="Times New Roman"/>
      <w:sz w:val="24"/>
    </w:rPr>
  </w:style>
  <w:style w:type="character" w:customStyle="1" w:styleId="apple-converted-space">
    <w:name w:val="apple-converted-space"/>
    <w:uiPriority w:val="99"/>
    <w:rsid w:val="003A4AA6"/>
    <w:rPr>
      <w:rFonts w:cs="Times New Roman"/>
    </w:rPr>
  </w:style>
  <w:style w:type="paragraph" w:customStyle="1" w:styleId="CharChar2CharCharCharChar">
    <w:name w:val="Char Char2 Char Char Char Char"/>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character" w:customStyle="1" w:styleId="greenlight1">
    <w:name w:val="greenlight1"/>
    <w:uiPriority w:val="99"/>
    <w:rsid w:val="003A4AA6"/>
    <w:rPr>
      <w:shd w:val="clear" w:color="auto" w:fill="90EE90"/>
    </w:rPr>
  </w:style>
  <w:style w:type="paragraph" w:styleId="BodyTextIndent2">
    <w:name w:val="Body Text Indent 2"/>
    <w:basedOn w:val="Normal"/>
    <w:link w:val="BodyTextIndent2Char"/>
    <w:uiPriority w:val="99"/>
    <w:rsid w:val="003A4AA6"/>
    <w:pPr>
      <w:spacing w:after="120" w:line="480" w:lineRule="auto"/>
      <w:ind w:left="283"/>
    </w:pPr>
    <w:rPr>
      <w:rFonts w:ascii="TmsCyr" w:eastAsia="Times New Roman" w:hAnsi="TmsCyr"/>
      <w:sz w:val="28"/>
      <w:szCs w:val="20"/>
      <w:lang w:eastAsia="bg-BG"/>
    </w:rPr>
  </w:style>
  <w:style w:type="character" w:customStyle="1" w:styleId="BodyTextIndent2Char">
    <w:name w:val="Body Text Indent 2 Char"/>
    <w:basedOn w:val="DefaultParagraphFont"/>
    <w:link w:val="BodyTextIndent2"/>
    <w:uiPriority w:val="99"/>
    <w:rsid w:val="003A4AA6"/>
    <w:rPr>
      <w:rFonts w:ascii="TmsCyr" w:eastAsia="Times New Roman" w:hAnsi="TmsCyr"/>
      <w:sz w:val="28"/>
      <w:szCs w:val="20"/>
    </w:rPr>
  </w:style>
  <w:style w:type="character" w:customStyle="1" w:styleId="samedocreference1">
    <w:name w:val="samedocreference1"/>
    <w:uiPriority w:val="99"/>
    <w:rsid w:val="003A4AA6"/>
    <w:rPr>
      <w:color w:val="8B0000"/>
      <w:u w:val="single"/>
    </w:rPr>
  </w:style>
  <w:style w:type="character" w:customStyle="1" w:styleId="newdocreference1">
    <w:name w:val="newdocreference1"/>
    <w:uiPriority w:val="99"/>
    <w:rsid w:val="003A4AA6"/>
    <w:rPr>
      <w:color w:val="0000FF"/>
      <w:u w:val="single"/>
    </w:rPr>
  </w:style>
  <w:style w:type="paragraph" w:styleId="ListParagraph">
    <w:name w:val="List Paragraph"/>
    <w:basedOn w:val="Normal"/>
    <w:uiPriority w:val="99"/>
    <w:qFormat/>
    <w:rsid w:val="003A4AA6"/>
    <w:pPr>
      <w:spacing w:after="200" w:line="276" w:lineRule="auto"/>
      <w:ind w:left="720"/>
      <w:contextualSpacing/>
    </w:pPr>
    <w:rPr>
      <w:rFonts w:eastAsia="Times New Roman"/>
    </w:rPr>
  </w:style>
  <w:style w:type="paragraph" w:styleId="NoSpacing">
    <w:name w:val="No Spacing"/>
    <w:uiPriority w:val="99"/>
    <w:qFormat/>
    <w:rsid w:val="003A4AA6"/>
    <w:rPr>
      <w:rFonts w:eastAsia="Times New Roman"/>
      <w:lang w:eastAsia="en-US"/>
    </w:rPr>
  </w:style>
  <w:style w:type="character" w:customStyle="1" w:styleId="Heading20">
    <w:name w:val="Heading #2_"/>
    <w:link w:val="Heading21"/>
    <w:uiPriority w:val="99"/>
    <w:locked/>
    <w:rsid w:val="003A4AA6"/>
    <w:rPr>
      <w:rFonts w:ascii="Tahoma" w:hAnsi="Tahoma"/>
      <w:b/>
      <w:bCs/>
      <w:sz w:val="25"/>
      <w:szCs w:val="25"/>
      <w:shd w:val="clear" w:color="auto" w:fill="FFFFFF"/>
    </w:rPr>
  </w:style>
  <w:style w:type="paragraph" w:customStyle="1" w:styleId="Heading21">
    <w:name w:val="Heading #2"/>
    <w:basedOn w:val="Normal"/>
    <w:link w:val="Heading20"/>
    <w:uiPriority w:val="99"/>
    <w:rsid w:val="003A4AA6"/>
    <w:pPr>
      <w:shd w:val="clear" w:color="auto" w:fill="FFFFFF"/>
      <w:spacing w:after="300" w:line="240" w:lineRule="atLeast"/>
      <w:outlineLvl w:val="1"/>
    </w:pPr>
    <w:rPr>
      <w:rFonts w:ascii="Tahoma" w:hAnsi="Tahoma"/>
      <w:b/>
      <w:bCs/>
      <w:sz w:val="25"/>
      <w:szCs w:val="25"/>
      <w:lang w:eastAsia="bg-BG"/>
    </w:rPr>
  </w:style>
  <w:style w:type="character" w:customStyle="1" w:styleId="Heading30">
    <w:name w:val="Heading #3_"/>
    <w:link w:val="Heading31"/>
    <w:uiPriority w:val="99"/>
    <w:locked/>
    <w:rsid w:val="003A4AA6"/>
    <w:rPr>
      <w:rFonts w:ascii="Tahoma" w:hAnsi="Tahoma"/>
      <w:b/>
      <w:bCs/>
      <w:sz w:val="21"/>
      <w:szCs w:val="21"/>
      <w:shd w:val="clear" w:color="auto" w:fill="FFFFFF"/>
    </w:rPr>
  </w:style>
  <w:style w:type="paragraph" w:customStyle="1" w:styleId="Heading31">
    <w:name w:val="Heading #3"/>
    <w:basedOn w:val="Normal"/>
    <w:link w:val="Heading30"/>
    <w:uiPriority w:val="99"/>
    <w:rsid w:val="003A4AA6"/>
    <w:pPr>
      <w:shd w:val="clear" w:color="auto" w:fill="FFFFFF"/>
      <w:spacing w:before="300" w:after="480" w:line="240" w:lineRule="atLeast"/>
      <w:ind w:hanging="340"/>
      <w:jc w:val="both"/>
      <w:outlineLvl w:val="2"/>
    </w:pPr>
    <w:rPr>
      <w:rFonts w:ascii="Tahoma" w:hAnsi="Tahoma"/>
      <w:b/>
      <w:bCs/>
      <w:sz w:val="21"/>
      <w:szCs w:val="21"/>
      <w:lang w:eastAsia="bg-BG"/>
    </w:rPr>
  </w:style>
  <w:style w:type="character" w:customStyle="1" w:styleId="Bodytext0">
    <w:name w:val="Body text_"/>
    <w:link w:val="BodyText1"/>
    <w:uiPriority w:val="99"/>
    <w:locked/>
    <w:rsid w:val="003A4AA6"/>
    <w:rPr>
      <w:rFonts w:ascii="Tahoma" w:hAnsi="Tahoma"/>
      <w:shd w:val="clear" w:color="auto" w:fill="FFFFFF"/>
    </w:rPr>
  </w:style>
  <w:style w:type="paragraph" w:customStyle="1" w:styleId="BodyText1">
    <w:name w:val="Body Text1"/>
    <w:basedOn w:val="Normal"/>
    <w:link w:val="Bodytext0"/>
    <w:uiPriority w:val="99"/>
    <w:rsid w:val="003A4AA6"/>
    <w:pPr>
      <w:shd w:val="clear" w:color="auto" w:fill="FFFFFF"/>
      <w:spacing w:before="480" w:after="300" w:line="240" w:lineRule="atLeast"/>
      <w:ind w:hanging="360"/>
      <w:jc w:val="both"/>
    </w:pPr>
    <w:rPr>
      <w:rFonts w:ascii="Tahoma" w:hAnsi="Tahoma"/>
      <w:lang w:eastAsia="bg-BG"/>
    </w:rPr>
  </w:style>
  <w:style w:type="character" w:customStyle="1" w:styleId="Bodytext20">
    <w:name w:val="Body text (2)_"/>
    <w:link w:val="Bodytext22"/>
    <w:uiPriority w:val="99"/>
    <w:locked/>
    <w:rsid w:val="003A4AA6"/>
    <w:rPr>
      <w:rFonts w:ascii="Tahoma" w:hAnsi="Tahoma"/>
      <w:b/>
      <w:bCs/>
      <w:sz w:val="21"/>
      <w:szCs w:val="21"/>
      <w:shd w:val="clear" w:color="auto" w:fill="FFFFFF"/>
    </w:rPr>
  </w:style>
  <w:style w:type="paragraph" w:customStyle="1" w:styleId="Bodytext22">
    <w:name w:val="Body text (2)"/>
    <w:basedOn w:val="Normal"/>
    <w:link w:val="Bodytext20"/>
    <w:uiPriority w:val="99"/>
    <w:rsid w:val="003A4AA6"/>
    <w:pPr>
      <w:shd w:val="clear" w:color="auto" w:fill="FFFFFF"/>
      <w:spacing w:before="180" w:after="0" w:line="240" w:lineRule="atLeast"/>
    </w:pPr>
    <w:rPr>
      <w:rFonts w:ascii="Tahoma" w:hAnsi="Tahoma"/>
      <w:b/>
      <w:bCs/>
      <w:sz w:val="21"/>
      <w:szCs w:val="21"/>
      <w:lang w:eastAsia="bg-BG"/>
    </w:rPr>
  </w:style>
  <w:style w:type="character" w:customStyle="1" w:styleId="Heading10">
    <w:name w:val="Heading #1_"/>
    <w:link w:val="Heading11"/>
    <w:uiPriority w:val="99"/>
    <w:locked/>
    <w:rsid w:val="003A4AA6"/>
    <w:rPr>
      <w:rFonts w:ascii="Franklin Gothic Medium" w:hAnsi="Franklin Gothic Medium"/>
      <w:i/>
      <w:iCs/>
      <w:sz w:val="29"/>
      <w:szCs w:val="29"/>
      <w:shd w:val="clear" w:color="auto" w:fill="FFFFFF"/>
      <w:lang w:val="en-US" w:eastAsia="en-US"/>
    </w:rPr>
  </w:style>
  <w:style w:type="paragraph" w:customStyle="1" w:styleId="Heading11">
    <w:name w:val="Heading #1"/>
    <w:basedOn w:val="Normal"/>
    <w:link w:val="Heading10"/>
    <w:uiPriority w:val="99"/>
    <w:rsid w:val="003A4AA6"/>
    <w:pPr>
      <w:shd w:val="clear" w:color="auto" w:fill="FFFFFF"/>
      <w:spacing w:after="0" w:line="240" w:lineRule="atLeast"/>
      <w:outlineLvl w:val="0"/>
    </w:pPr>
    <w:rPr>
      <w:rFonts w:ascii="Franklin Gothic Medium" w:hAnsi="Franklin Gothic Medium"/>
      <w:i/>
      <w:iCs/>
      <w:sz w:val="29"/>
      <w:szCs w:val="29"/>
      <w:lang w:val="en-US"/>
    </w:rPr>
  </w:style>
  <w:style w:type="paragraph" w:styleId="NormalWeb">
    <w:name w:val="Normal (Web)"/>
    <w:basedOn w:val="Normal"/>
    <w:uiPriority w:val="99"/>
    <w:rsid w:val="003A4AA6"/>
    <w:pPr>
      <w:spacing w:after="0" w:line="240" w:lineRule="auto"/>
      <w:ind w:firstLine="629"/>
      <w:jc w:val="both"/>
    </w:pPr>
    <w:rPr>
      <w:rFonts w:ascii="Times New Roman" w:eastAsia="Times New Roman" w:hAnsi="Times New Roman"/>
      <w:color w:val="000000"/>
      <w:sz w:val="24"/>
      <w:szCs w:val="24"/>
      <w:lang w:eastAsia="bg-BG"/>
    </w:rPr>
  </w:style>
  <w:style w:type="paragraph" w:customStyle="1" w:styleId="m">
    <w:name w:val="m"/>
    <w:basedOn w:val="Normal"/>
    <w:uiPriority w:val="99"/>
    <w:rsid w:val="003A4AA6"/>
    <w:pPr>
      <w:spacing w:after="0" w:line="240" w:lineRule="auto"/>
      <w:ind w:firstLine="629"/>
      <w:jc w:val="both"/>
    </w:pPr>
    <w:rPr>
      <w:rFonts w:ascii="Times New Roman" w:eastAsia="Times New Roman" w:hAnsi="Times New Roman"/>
      <w:color w:val="000000"/>
      <w:sz w:val="24"/>
      <w:szCs w:val="24"/>
      <w:lang w:eastAsia="bg-BG"/>
    </w:rPr>
  </w:style>
  <w:style w:type="character" w:customStyle="1" w:styleId="blue1">
    <w:name w:val="blue1"/>
    <w:uiPriority w:val="99"/>
    <w:rsid w:val="003A4AA6"/>
    <w:rPr>
      <w:rFonts w:ascii="Times New Roman" w:hAnsi="Times New Roman" w:cs="Times New Roman"/>
      <w:color w:val="0000FF"/>
      <w:sz w:val="24"/>
      <w:szCs w:val="24"/>
    </w:rPr>
  </w:style>
  <w:style w:type="paragraph" w:customStyle="1" w:styleId="CM4">
    <w:name w:val="CM4"/>
    <w:basedOn w:val="Normal"/>
    <w:next w:val="Normal"/>
    <w:uiPriority w:val="99"/>
    <w:rsid w:val="003A4AA6"/>
    <w:pPr>
      <w:autoSpaceDE w:val="0"/>
      <w:autoSpaceDN w:val="0"/>
      <w:adjustRightInd w:val="0"/>
      <w:spacing w:after="0" w:line="240" w:lineRule="auto"/>
    </w:pPr>
    <w:rPr>
      <w:rFonts w:ascii="EUAlbertina" w:eastAsia="Times New Roman" w:hAnsi="EUAlbertina"/>
      <w:sz w:val="24"/>
      <w:szCs w:val="24"/>
      <w:lang w:eastAsia="bg-BG"/>
    </w:rPr>
  </w:style>
  <w:style w:type="paragraph" w:customStyle="1" w:styleId="Default">
    <w:name w:val="Default"/>
    <w:uiPriority w:val="99"/>
    <w:rsid w:val="003A4AA6"/>
    <w:pPr>
      <w:autoSpaceDE w:val="0"/>
      <w:autoSpaceDN w:val="0"/>
      <w:adjustRightInd w:val="0"/>
    </w:pPr>
    <w:rPr>
      <w:rFonts w:ascii="EUAlbertina" w:eastAsia="Times New Roman" w:hAnsi="EUAlbertina" w:cs="EUAlbertina"/>
      <w:color w:val="000000"/>
      <w:sz w:val="24"/>
      <w:szCs w:val="24"/>
      <w:lang w:eastAsia="en-US"/>
    </w:rPr>
  </w:style>
  <w:style w:type="character" w:styleId="FollowedHyperlink">
    <w:name w:val="FollowedHyperlink"/>
    <w:uiPriority w:val="99"/>
    <w:rsid w:val="003A4AA6"/>
    <w:rPr>
      <w:rFonts w:cs="Times New Roman"/>
      <w:color w:val="800080"/>
      <w:u w:val="single"/>
    </w:rPr>
  </w:style>
  <w:style w:type="paragraph" w:styleId="HTMLPreformatted">
    <w:name w:val="HTML Preformatted"/>
    <w:basedOn w:val="Normal"/>
    <w:link w:val="HTMLPreformattedChar"/>
    <w:uiPriority w:val="99"/>
    <w:rsid w:val="003A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rsid w:val="003A4AA6"/>
    <w:rPr>
      <w:rFonts w:ascii="Courier" w:eastAsia="Times New Roman" w:hAnsi="Courier" w:cs="Courier New"/>
      <w:sz w:val="20"/>
      <w:szCs w:val="20"/>
    </w:rPr>
  </w:style>
  <w:style w:type="paragraph" w:styleId="CommentSubject">
    <w:name w:val="annotation subject"/>
    <w:basedOn w:val="CommentText"/>
    <w:next w:val="CommentText"/>
    <w:link w:val="CommentSubjectChar"/>
    <w:uiPriority w:val="99"/>
    <w:rsid w:val="003A4AA6"/>
    <w:rPr>
      <w:rFonts w:ascii="Times New Roman" w:hAnsi="Times New Roman"/>
      <w:b/>
      <w:bCs/>
      <w:lang w:val="bg-BG" w:eastAsia="bg-BG"/>
    </w:rPr>
  </w:style>
  <w:style w:type="character" w:customStyle="1" w:styleId="CommentSubjectChar">
    <w:name w:val="Comment Subject Char"/>
    <w:basedOn w:val="CommentTextChar"/>
    <w:link w:val="CommentSubject"/>
    <w:uiPriority w:val="99"/>
    <w:rsid w:val="003A4AA6"/>
    <w:rPr>
      <w:rFonts w:ascii="Times New Roman" w:eastAsia="Times New Roman" w:hAnsi="Times New Roman"/>
      <w:b/>
      <w:bCs/>
      <w:sz w:val="20"/>
      <w:szCs w:val="20"/>
      <w:lang w:val="en-GB" w:eastAsia="en-US"/>
    </w:rPr>
  </w:style>
  <w:style w:type="paragraph" w:customStyle="1" w:styleId="CharCharCharCharChar">
    <w:name w:val="Знак Знак Знак Char Char Char Char Char"/>
    <w:basedOn w:val="Normal"/>
    <w:uiPriority w:val="99"/>
    <w:rsid w:val="003A4AA6"/>
    <w:pPr>
      <w:spacing w:after="0" w:line="240" w:lineRule="auto"/>
    </w:pPr>
    <w:rPr>
      <w:rFonts w:ascii="Times New Roman" w:eastAsia="Times New Roman" w:hAnsi="Times New Roman"/>
      <w:sz w:val="24"/>
      <w:szCs w:val="24"/>
      <w:lang w:val="pl-PL" w:eastAsia="pl-PL"/>
    </w:rPr>
  </w:style>
  <w:style w:type="paragraph" w:customStyle="1" w:styleId="CharChar3CharChar">
    <w:name w:val="Char Char3 Char Char"/>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paragraph" w:customStyle="1" w:styleId="CM1">
    <w:name w:val="CM1"/>
    <w:basedOn w:val="Normal"/>
    <w:next w:val="Normal"/>
    <w:uiPriority w:val="99"/>
    <w:rsid w:val="003A4AA6"/>
    <w:pPr>
      <w:autoSpaceDE w:val="0"/>
      <w:autoSpaceDN w:val="0"/>
      <w:adjustRightInd w:val="0"/>
      <w:spacing w:after="0" w:line="240" w:lineRule="auto"/>
    </w:pPr>
    <w:rPr>
      <w:rFonts w:ascii="EUAlbertina" w:eastAsia="Times New Roman" w:hAnsi="EUAlbertina" w:cs="Arial"/>
      <w:sz w:val="24"/>
      <w:szCs w:val="24"/>
      <w:lang w:eastAsia="bg-BG"/>
    </w:rPr>
  </w:style>
  <w:style w:type="paragraph" w:customStyle="1" w:styleId="CM3">
    <w:name w:val="CM3"/>
    <w:basedOn w:val="Normal"/>
    <w:next w:val="Normal"/>
    <w:uiPriority w:val="99"/>
    <w:rsid w:val="003A4AA6"/>
    <w:pPr>
      <w:autoSpaceDE w:val="0"/>
      <w:autoSpaceDN w:val="0"/>
      <w:adjustRightInd w:val="0"/>
      <w:spacing w:after="0" w:line="240" w:lineRule="auto"/>
    </w:pPr>
    <w:rPr>
      <w:rFonts w:ascii="EUAlbertina" w:eastAsia="Times New Roman" w:hAnsi="EUAlbertina" w:cs="Arial"/>
      <w:sz w:val="24"/>
      <w:szCs w:val="24"/>
      <w:lang w:eastAsia="bg-BG"/>
    </w:rPr>
  </w:style>
  <w:style w:type="paragraph" w:customStyle="1" w:styleId="Char1">
    <w:name w:val="Char1 Знак Знак"/>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paragraph" w:customStyle="1" w:styleId="NumPar1">
    <w:name w:val="NumPar 1"/>
    <w:basedOn w:val="Normal"/>
    <w:next w:val="Normal"/>
    <w:link w:val="NumPar1Tegn"/>
    <w:uiPriority w:val="99"/>
    <w:rsid w:val="003A4AA6"/>
    <w:pPr>
      <w:numPr>
        <w:numId w:val="1"/>
      </w:numPr>
      <w:spacing w:before="120" w:after="120" w:line="240" w:lineRule="auto"/>
      <w:jc w:val="both"/>
    </w:pPr>
    <w:rPr>
      <w:rFonts w:ascii="Times New Roman" w:eastAsia="Times New Roman" w:hAnsi="Times New Roman"/>
      <w:sz w:val="24"/>
      <w:szCs w:val="20"/>
      <w:lang w:val="en-GB" w:eastAsia="zh-CN"/>
    </w:rPr>
  </w:style>
  <w:style w:type="character" w:customStyle="1" w:styleId="NumPar1Tegn">
    <w:name w:val="NumPar 1 Tegn"/>
    <w:link w:val="NumPar1"/>
    <w:uiPriority w:val="99"/>
    <w:locked/>
    <w:rsid w:val="003A4AA6"/>
    <w:rPr>
      <w:rFonts w:ascii="Times New Roman" w:eastAsia="Times New Roman" w:hAnsi="Times New Roman"/>
      <w:sz w:val="24"/>
      <w:szCs w:val="20"/>
      <w:lang w:val="en-GB" w:eastAsia="zh-CN"/>
    </w:rPr>
  </w:style>
  <w:style w:type="paragraph" w:customStyle="1" w:styleId="CharChar0">
    <w:name w:val="Char Char"/>
    <w:basedOn w:val="Normal"/>
    <w:uiPriority w:val="99"/>
    <w:semiHidden/>
    <w:rsid w:val="003A4AA6"/>
    <w:pPr>
      <w:tabs>
        <w:tab w:val="left" w:pos="709"/>
      </w:tabs>
      <w:spacing w:after="0" w:line="240" w:lineRule="auto"/>
    </w:pPr>
    <w:rPr>
      <w:rFonts w:ascii="Futura Bk" w:eastAsia="Times New Roman" w:hAnsi="Futura Bk"/>
      <w:sz w:val="24"/>
      <w:szCs w:val="24"/>
      <w:lang w:val="pl-PL" w:eastAsia="pl-PL"/>
    </w:rPr>
  </w:style>
  <w:style w:type="paragraph" w:customStyle="1" w:styleId="CharCharCharChar0">
    <w:name w:val="Char Char Char Char"/>
    <w:basedOn w:val="Normal"/>
    <w:uiPriority w:val="99"/>
    <w:rsid w:val="003A4AA6"/>
    <w:pPr>
      <w:tabs>
        <w:tab w:val="left" w:pos="709"/>
      </w:tabs>
      <w:spacing w:after="0" w:line="240" w:lineRule="auto"/>
    </w:pPr>
    <w:rPr>
      <w:rFonts w:ascii="Tahoma" w:eastAsia="Times New Roman" w:hAnsi="Tahoma"/>
      <w:sz w:val="24"/>
      <w:szCs w:val="24"/>
      <w:lang w:val="pl-PL" w:eastAsia="pl-PL"/>
    </w:rPr>
  </w:style>
  <w:style w:type="character" w:styleId="FootnoteReference">
    <w:name w:val="footnote reference"/>
    <w:uiPriority w:val="99"/>
    <w:semiHidden/>
    <w:rsid w:val="003A4AA6"/>
    <w:rPr>
      <w:rFonts w:cs="Times New Roman"/>
      <w:b/>
      <w:vertAlign w:val="superscript"/>
    </w:rPr>
  </w:style>
  <w:style w:type="paragraph" w:styleId="FootnoteText">
    <w:name w:val="footnote text"/>
    <w:basedOn w:val="Normal"/>
    <w:link w:val="FootnoteTextChar"/>
    <w:uiPriority w:val="99"/>
    <w:semiHidden/>
    <w:rsid w:val="003A4AA6"/>
    <w:pPr>
      <w:widowControl w:val="0"/>
      <w:tabs>
        <w:tab w:val="left" w:pos="567"/>
      </w:tabs>
      <w:spacing w:after="0" w:line="240" w:lineRule="auto"/>
      <w:ind w:left="567" w:hanging="567"/>
    </w:pPr>
    <w:rPr>
      <w:rFonts w:ascii="Times New Roman" w:eastAsia="Times New Roman" w:hAnsi="Times New Roman"/>
      <w:sz w:val="24"/>
      <w:szCs w:val="24"/>
      <w:lang w:val="en-GB" w:eastAsia="en-GB"/>
    </w:rPr>
  </w:style>
  <w:style w:type="character" w:customStyle="1" w:styleId="FootnoteTextChar">
    <w:name w:val="Footnote Text Char"/>
    <w:basedOn w:val="DefaultParagraphFont"/>
    <w:link w:val="FootnoteText"/>
    <w:uiPriority w:val="99"/>
    <w:semiHidden/>
    <w:rsid w:val="003A4AA6"/>
    <w:rPr>
      <w:rFonts w:ascii="Times New Roman" w:eastAsia="Times New Roman" w:hAnsi="Times New Roman"/>
      <w:sz w:val="24"/>
      <w:szCs w:val="24"/>
      <w:lang w:val="en-GB" w:eastAsia="en-GB"/>
    </w:rPr>
  </w:style>
  <w:style w:type="paragraph" w:customStyle="1" w:styleId="Text1">
    <w:name w:val="Text 1"/>
    <w:basedOn w:val="Normal"/>
    <w:uiPriority w:val="99"/>
    <w:rsid w:val="003A4AA6"/>
    <w:pPr>
      <w:spacing w:before="120" w:after="120" w:line="360" w:lineRule="auto"/>
      <w:ind w:left="850"/>
    </w:pPr>
    <w:rPr>
      <w:rFonts w:ascii="Times New Roman" w:eastAsia="Times New Roman" w:hAnsi="Times New Roman"/>
      <w:sz w:val="24"/>
      <w:szCs w:val="24"/>
      <w:lang w:val="en-GB" w:eastAsia="en-GB"/>
    </w:rPr>
  </w:style>
  <w:style w:type="paragraph" w:customStyle="1" w:styleId="NormalCentered">
    <w:name w:val="Normal Centered"/>
    <w:basedOn w:val="Normal"/>
    <w:uiPriority w:val="99"/>
    <w:rsid w:val="003A4AA6"/>
    <w:pPr>
      <w:spacing w:before="120" w:after="120" w:line="360" w:lineRule="auto"/>
      <w:jc w:val="center"/>
    </w:pPr>
    <w:rPr>
      <w:rFonts w:ascii="Times New Roman" w:eastAsia="Times New Roman" w:hAnsi="Times New Roman"/>
      <w:sz w:val="24"/>
      <w:szCs w:val="24"/>
      <w:lang w:val="en-GB" w:eastAsia="en-GB"/>
    </w:rPr>
  </w:style>
  <w:style w:type="paragraph" w:customStyle="1" w:styleId="QuotedText">
    <w:name w:val="Quoted Text"/>
    <w:basedOn w:val="Normal"/>
    <w:uiPriority w:val="99"/>
    <w:rsid w:val="003A4AA6"/>
    <w:pPr>
      <w:spacing w:before="120" w:after="120" w:line="360" w:lineRule="auto"/>
      <w:ind w:left="1417"/>
    </w:pPr>
    <w:rPr>
      <w:rFonts w:ascii="Times New Roman" w:eastAsia="Times New Roman" w:hAnsi="Times New Roman"/>
      <w:sz w:val="24"/>
      <w:szCs w:val="24"/>
      <w:lang w:val="en-GB" w:eastAsia="en-GB"/>
    </w:rPr>
  </w:style>
  <w:style w:type="paragraph" w:customStyle="1" w:styleId="Point0">
    <w:name w:val="Point 0"/>
    <w:basedOn w:val="Normal"/>
    <w:uiPriority w:val="99"/>
    <w:rsid w:val="003A4AA6"/>
    <w:pPr>
      <w:spacing w:before="120" w:after="120" w:line="360" w:lineRule="auto"/>
      <w:ind w:left="850" w:hanging="850"/>
    </w:pPr>
    <w:rPr>
      <w:rFonts w:ascii="Times New Roman" w:eastAsia="Times New Roman" w:hAnsi="Times New Roman"/>
      <w:sz w:val="24"/>
      <w:szCs w:val="24"/>
      <w:lang w:val="en-GB" w:eastAsia="en-GB"/>
    </w:rPr>
  </w:style>
  <w:style w:type="paragraph" w:customStyle="1" w:styleId="Point1">
    <w:name w:val="Point 1"/>
    <w:basedOn w:val="Normal"/>
    <w:uiPriority w:val="99"/>
    <w:rsid w:val="003A4AA6"/>
    <w:pPr>
      <w:spacing w:before="120" w:after="120" w:line="360" w:lineRule="auto"/>
      <w:ind w:left="1417" w:hanging="567"/>
    </w:pPr>
    <w:rPr>
      <w:rFonts w:ascii="Times New Roman" w:eastAsia="Times New Roman" w:hAnsi="Times New Roman"/>
      <w:sz w:val="24"/>
      <w:szCs w:val="24"/>
      <w:lang w:val="en-GB" w:eastAsia="en-GB"/>
    </w:rPr>
  </w:style>
  <w:style w:type="paragraph" w:customStyle="1" w:styleId="Point2">
    <w:name w:val="Point 2"/>
    <w:basedOn w:val="Normal"/>
    <w:uiPriority w:val="99"/>
    <w:rsid w:val="003A4AA6"/>
    <w:pPr>
      <w:spacing w:before="120" w:after="120" w:line="360" w:lineRule="auto"/>
      <w:ind w:left="1984" w:hanging="567"/>
    </w:pPr>
    <w:rPr>
      <w:rFonts w:ascii="Times New Roman" w:eastAsia="Times New Roman" w:hAnsi="Times New Roman"/>
      <w:sz w:val="24"/>
      <w:szCs w:val="24"/>
      <w:lang w:val="en-GB" w:eastAsia="en-GB"/>
    </w:rPr>
  </w:style>
  <w:style w:type="paragraph" w:customStyle="1" w:styleId="Point3">
    <w:name w:val="Point 3"/>
    <w:basedOn w:val="Normal"/>
    <w:uiPriority w:val="99"/>
    <w:rsid w:val="003A4AA6"/>
    <w:pPr>
      <w:spacing w:before="120" w:after="120" w:line="360" w:lineRule="auto"/>
      <w:ind w:left="2551" w:hanging="567"/>
    </w:pPr>
    <w:rPr>
      <w:rFonts w:ascii="Times New Roman" w:eastAsia="Times New Roman" w:hAnsi="Times New Roman"/>
      <w:sz w:val="24"/>
      <w:szCs w:val="24"/>
      <w:lang w:val="en-GB" w:eastAsia="en-GB"/>
    </w:rPr>
  </w:style>
  <w:style w:type="paragraph" w:customStyle="1" w:styleId="PointDouble0">
    <w:name w:val="PointDouble 0"/>
    <w:basedOn w:val="Normal"/>
    <w:uiPriority w:val="99"/>
    <w:rsid w:val="003A4AA6"/>
    <w:pPr>
      <w:tabs>
        <w:tab w:val="left" w:pos="850"/>
      </w:tabs>
      <w:spacing w:before="120" w:after="120" w:line="360" w:lineRule="auto"/>
      <w:ind w:left="1417" w:hanging="1417"/>
    </w:pPr>
    <w:rPr>
      <w:rFonts w:ascii="Times New Roman" w:eastAsia="Times New Roman" w:hAnsi="Times New Roman"/>
      <w:sz w:val="24"/>
      <w:szCs w:val="24"/>
      <w:lang w:val="en-GB" w:eastAsia="en-GB"/>
    </w:rPr>
  </w:style>
  <w:style w:type="paragraph" w:customStyle="1" w:styleId="PointDouble1">
    <w:name w:val="PointDouble 1"/>
    <w:basedOn w:val="Normal"/>
    <w:uiPriority w:val="99"/>
    <w:rsid w:val="003A4AA6"/>
    <w:pPr>
      <w:tabs>
        <w:tab w:val="left" w:pos="1417"/>
      </w:tabs>
      <w:spacing w:before="120" w:after="120" w:line="360" w:lineRule="auto"/>
      <w:ind w:left="1984" w:hanging="1134"/>
    </w:pPr>
    <w:rPr>
      <w:rFonts w:ascii="Times New Roman" w:eastAsia="Times New Roman" w:hAnsi="Times New Roman"/>
      <w:sz w:val="24"/>
      <w:szCs w:val="24"/>
      <w:lang w:val="en-GB" w:eastAsia="en-GB"/>
    </w:rPr>
  </w:style>
  <w:style w:type="paragraph" w:customStyle="1" w:styleId="PointDouble2">
    <w:name w:val="PointDouble 2"/>
    <w:basedOn w:val="Normal"/>
    <w:uiPriority w:val="99"/>
    <w:rsid w:val="003A4AA6"/>
    <w:pPr>
      <w:tabs>
        <w:tab w:val="left" w:pos="1984"/>
      </w:tabs>
      <w:spacing w:before="120" w:after="120" w:line="360" w:lineRule="auto"/>
      <w:ind w:left="2551" w:hanging="1134"/>
    </w:pPr>
    <w:rPr>
      <w:rFonts w:ascii="Times New Roman" w:eastAsia="Times New Roman" w:hAnsi="Times New Roman"/>
      <w:sz w:val="24"/>
      <w:szCs w:val="24"/>
      <w:lang w:val="en-GB" w:eastAsia="en-GB"/>
    </w:rPr>
  </w:style>
  <w:style w:type="table" w:styleId="TableGrid">
    <w:name w:val="Table Grid"/>
    <w:basedOn w:val="TableNormal"/>
    <w:uiPriority w:val="99"/>
    <w:locked/>
    <w:rsid w:val="003A4AA6"/>
    <w:pPr>
      <w:spacing w:before="120" w:after="120" w:line="360" w:lineRule="auto"/>
    </w:pPr>
    <w:rPr>
      <w:rFonts w:ascii="Times New Roman" w:eastAsia="Times New Roman" w:hAnsi="Times New Roman"/>
      <w:sz w:val="20"/>
      <w:szCs w:val="20"/>
      <w:lang w:val="fr-B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A4AA6"/>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3A4AA6"/>
    <w:rPr>
      <w:rFonts w:ascii="Tahoma" w:eastAsia="Times New Roman" w:hAnsi="Tahoma" w:cs="Tahoma"/>
      <w:sz w:val="20"/>
      <w:szCs w:val="20"/>
      <w:shd w:val="clear" w:color="auto" w:fill="000080"/>
    </w:rPr>
  </w:style>
  <w:style w:type="character" w:customStyle="1" w:styleId="search22">
    <w:name w:val="search22"/>
    <w:uiPriority w:val="99"/>
    <w:rsid w:val="003A4AA6"/>
    <w:rPr>
      <w:shd w:val="clear" w:color="auto" w:fill="FF9999"/>
    </w:rPr>
  </w:style>
  <w:style w:type="character" w:customStyle="1" w:styleId="historyitem">
    <w:name w:val="historyitem"/>
    <w:uiPriority w:val="99"/>
    <w:rsid w:val="003A4AA6"/>
  </w:style>
  <w:style w:type="character" w:customStyle="1" w:styleId="historyitemselected1">
    <w:name w:val="historyitemselected1"/>
    <w:uiPriority w:val="99"/>
    <w:rsid w:val="003A4AA6"/>
    <w:rPr>
      <w:b/>
      <w:color w:val="0086C6"/>
    </w:rPr>
  </w:style>
  <w:style w:type="paragraph" w:customStyle="1" w:styleId="a">
    <w:name w:val="Редакция"/>
    <w:hidden/>
    <w:uiPriority w:val="99"/>
    <w:semiHidden/>
    <w:rsid w:val="003A4AA6"/>
    <w:rPr>
      <w:rFonts w:ascii="Times New Roman" w:eastAsia="Times New Roman" w:hAnsi="Times New Roman"/>
      <w:sz w:val="24"/>
      <w:szCs w:val="24"/>
    </w:rPr>
  </w:style>
  <w:style w:type="paragraph" w:customStyle="1" w:styleId="a0">
    <w:name w:val="Без разредка"/>
    <w:uiPriority w:val="99"/>
    <w:rsid w:val="003A4AA6"/>
    <w:rPr>
      <w:rFonts w:ascii="Times New Roman" w:eastAsia="Times New Roman" w:hAnsi="Times New Roman"/>
      <w:sz w:val="24"/>
      <w:szCs w:val="24"/>
    </w:rPr>
  </w:style>
  <w:style w:type="paragraph" w:customStyle="1" w:styleId="xmsonormal">
    <w:name w:val="x_msonormal"/>
    <w:basedOn w:val="Normal"/>
    <w:uiPriority w:val="99"/>
    <w:rsid w:val="003A4AA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nospacing0">
    <w:name w:val="nospacing"/>
    <w:basedOn w:val="Normal"/>
    <w:uiPriority w:val="99"/>
    <w:rsid w:val="003A4AA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earch0">
    <w:name w:val="search0"/>
    <w:uiPriority w:val="99"/>
    <w:rsid w:val="003A4AA6"/>
    <w:rPr>
      <w:rFonts w:cs="Times New Roman"/>
    </w:rPr>
  </w:style>
  <w:style w:type="character" w:customStyle="1" w:styleId="search1">
    <w:name w:val="search1"/>
    <w:uiPriority w:val="99"/>
    <w:rsid w:val="003A4AA6"/>
    <w:rPr>
      <w:rFonts w:cs="Times New Roman"/>
    </w:rPr>
  </w:style>
  <w:style w:type="character" w:customStyle="1" w:styleId="search2">
    <w:name w:val="search2"/>
    <w:uiPriority w:val="99"/>
    <w:rsid w:val="003A4AA6"/>
    <w:rPr>
      <w:rFonts w:cs="Times New Roman"/>
    </w:rPr>
  </w:style>
  <w:style w:type="character" w:customStyle="1" w:styleId="search3">
    <w:name w:val="search3"/>
    <w:uiPriority w:val="99"/>
    <w:rsid w:val="003A4AA6"/>
    <w:rPr>
      <w:rFonts w:cs="Times New Roman"/>
    </w:rPr>
  </w:style>
  <w:style w:type="character" w:customStyle="1" w:styleId="search4">
    <w:name w:val="search4"/>
    <w:uiPriority w:val="99"/>
    <w:rsid w:val="003A4A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BG/TXT/HTML/?uri=CELEX:32022L2555&amp;qid=1697571812062" TargetMode="External"/><Relationship Id="rId26" Type="http://schemas.openxmlformats.org/officeDocument/2006/relationships/hyperlink" Target="https://eur-lex.europa.eu/legal-content/BG/TXT/HTML/?uri=CELEX:32022L2555&amp;qid=1697571812062" TargetMode="External"/><Relationship Id="rId39" Type="http://schemas.openxmlformats.org/officeDocument/2006/relationships/hyperlink" Target="https://eur-lex.europa.eu/legal-content/BG/TXT/HTML/?uri=CELEX:32022L2555&amp;qid=1697571812062" TargetMode="External"/><Relationship Id="rId21" Type="http://schemas.openxmlformats.org/officeDocument/2006/relationships/hyperlink" Target="https://eur-lex.europa.eu/legal-content/BG/TXT/HTML/?uri=CELEX:32022L2555&amp;qid=1697571812062" TargetMode="External"/><Relationship Id="rId34" Type="http://schemas.openxmlformats.org/officeDocument/2006/relationships/hyperlink" Target="https://eur-lex.europa.eu/legal-content/BG/TXT/HTML/?uri=CELEX:32022L2555&amp;qid=1697571812062" TargetMode="External"/><Relationship Id="rId42" Type="http://schemas.openxmlformats.org/officeDocument/2006/relationships/hyperlink" Target="https://eur-lex.europa.eu/legal-content/BG/TXT/HTML/?uri=CELEX:32022L2555&amp;qid=169757181206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ur-lex.europa.eu/legal-content/BG/TXT/HTML/?uri=CELEX:32022L2555&amp;qid=1697571812062" TargetMode="External"/><Relationship Id="rId29" Type="http://schemas.openxmlformats.org/officeDocument/2006/relationships/hyperlink" Target="https://eur-lex.europa.eu/legal-content/BG/TXT/HTML/?uri=CELEX:32022L2555&amp;qid=16975718120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ur-lex.europa.eu/legal-content/BG/TXT/HTML/?uri=CELEX:32022L2555&amp;qid=1697571812062" TargetMode="External"/><Relationship Id="rId32" Type="http://schemas.openxmlformats.org/officeDocument/2006/relationships/hyperlink" Target="https://eur-lex.europa.eu/legal-content/BG/TXT/HTML/?uri=CELEX:32022L2555&amp;qid=1697571812062" TargetMode="External"/><Relationship Id="rId37" Type="http://schemas.openxmlformats.org/officeDocument/2006/relationships/hyperlink" Target="https://eur-lex.europa.eu/legal-content/BG/TXT/HTML/?uri=CELEX:32022L2555&amp;qid=1697571812062" TargetMode="External"/><Relationship Id="rId40" Type="http://schemas.openxmlformats.org/officeDocument/2006/relationships/hyperlink" Target="https://eur-lex.europa.eu/legal-content/BG/TXT/HTML/?uri=CELEX:32022L2555&amp;qid=169757181206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legal-content/BG/TXT/HTML/?uri=CELEX:32022L2555&amp;qid=1697571812062" TargetMode="External"/><Relationship Id="rId23" Type="http://schemas.openxmlformats.org/officeDocument/2006/relationships/hyperlink" Target="https://eur-lex.europa.eu/legal-content/BG/TXT/HTML/?uri=CELEX:32022L2555&amp;qid=1697571812062" TargetMode="External"/><Relationship Id="rId28" Type="http://schemas.openxmlformats.org/officeDocument/2006/relationships/hyperlink" Target="https://eur-lex.europa.eu/legal-content/BG/TXT/HTML/?uri=CELEX:32022L2555&amp;qid=1697571812062" TargetMode="External"/><Relationship Id="rId36" Type="http://schemas.openxmlformats.org/officeDocument/2006/relationships/hyperlink" Target="https://eur-lex.europa.eu/legal-content/BG/TXT/HTML/?uri=CELEX:32022L2555&amp;qid=1697571812062" TargetMode="External"/><Relationship Id="rId10" Type="http://schemas.openxmlformats.org/officeDocument/2006/relationships/image" Target="media/image4.png"/><Relationship Id="rId19" Type="http://schemas.openxmlformats.org/officeDocument/2006/relationships/hyperlink" Target="https://eur-lex.europa.eu/legal-content/BG/TXT/HTML/?uri=CELEX:32022L2555&amp;qid=1697571812062" TargetMode="External"/><Relationship Id="rId31" Type="http://schemas.openxmlformats.org/officeDocument/2006/relationships/hyperlink" Target="https://eur-lex.europa.eu/legal-content/BG/TXT/HTML/?uri=CELEX:32022L2555&amp;qid=169757181206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hyperlink" Target="https://eur-lex.europa.eu/legal-content/BG/TXT/HTML/?uri=CELEX:32022L2555&amp;qid=1697571812062" TargetMode="External"/><Relationship Id="rId27" Type="http://schemas.openxmlformats.org/officeDocument/2006/relationships/hyperlink" Target="https://eur-lex.europa.eu/legal-content/BG/TXT/HTML/?uri=CELEX:32022L2555&amp;qid=1697571812062" TargetMode="External"/><Relationship Id="rId30" Type="http://schemas.openxmlformats.org/officeDocument/2006/relationships/hyperlink" Target="https://eur-lex.europa.eu/legal-content/BG/TXT/HTML/?uri=CELEX:32022L2555&amp;qid=1697571812062" TargetMode="External"/><Relationship Id="rId35" Type="http://schemas.openxmlformats.org/officeDocument/2006/relationships/hyperlink" Target="https://eur-lex.europa.eu/legal-content/BG/TXT/HTML/?uri=CELEX:32022L2555&amp;qid=1697571812062" TargetMode="External"/><Relationship Id="rId43" Type="http://schemas.openxmlformats.org/officeDocument/2006/relationships/footer" Target="footer3.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BG/TXT/HTML/?uri=CELEX:32022L2555&amp;qid=1697571812062" TargetMode="External"/><Relationship Id="rId25" Type="http://schemas.openxmlformats.org/officeDocument/2006/relationships/hyperlink" Target="https://eur-lex.europa.eu/legal-content/BG/TXT/HTML/?uri=CELEX:32022L2555&amp;qid=1697571812062" TargetMode="External"/><Relationship Id="rId33" Type="http://schemas.openxmlformats.org/officeDocument/2006/relationships/hyperlink" Target="https://eur-lex.europa.eu/legal-content/BG/TXT/HTML/?uri=CELEX:32022L2555&amp;qid=1697571812062" TargetMode="External"/><Relationship Id="rId38" Type="http://schemas.openxmlformats.org/officeDocument/2006/relationships/hyperlink" Target="https://eur-lex.europa.eu/legal-content/BG/TXT/HTML/?uri=CELEX:32022L2555&amp;qid=1697571812062" TargetMode="External"/><Relationship Id="rId20" Type="http://schemas.openxmlformats.org/officeDocument/2006/relationships/hyperlink" Target="https://eur-lex.europa.eu/legal-content/BG/TXT/HTML/?uri=CELEX:32022L2555&amp;qid=1697571812062" TargetMode="External"/><Relationship Id="rId41" Type="http://schemas.openxmlformats.org/officeDocument/2006/relationships/hyperlink" Target="https://eur-lex.europa.eu/legal-content/BG/TXT/HTML/?uri=CELEX:32022L2555&amp;qid=169757181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18035</Words>
  <Characters>102805</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M. Герогиева</dc:creator>
  <cp:keywords/>
  <dc:description/>
  <cp:lastModifiedBy>Антоанета Стоянова</cp:lastModifiedBy>
  <cp:revision>2</cp:revision>
  <cp:lastPrinted>2022-01-11T11:24:00Z</cp:lastPrinted>
  <dcterms:created xsi:type="dcterms:W3CDTF">2024-12-12T06:34:00Z</dcterms:created>
  <dcterms:modified xsi:type="dcterms:W3CDTF">2024-12-12T06:34:00Z</dcterms:modified>
</cp:coreProperties>
</file>