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0F111DF3F6814F83984FFBD6661B2149" style="width:451pt;height:339pt">
            <v:imagedata r:id="rId9" o:title=""/>
          </v:shape>
        </w:pict>
      </w:r>
    </w:p>
    <w:p>
      <w:pPr>
        <w:rPr>
          <w:noProof/>
          <w:highlight w:val="green"/>
        </w:rPr>
        <w:sectPr>
          <w:footerReference w:type="default" r:id="rId10"/>
          <w:pgSz w:w="11907" w:h="16839"/>
          <w:pgMar w:top="1134" w:right="1417" w:bottom="1134" w:left="1417" w:header="720" w:footer="720" w:gutter="0"/>
          <w:pgNumType w:start="1"/>
          <w:cols w:space="720"/>
          <w:docGrid w:linePitch="326"/>
        </w:sectPr>
      </w:pPr>
    </w:p>
    <w:p>
      <w:pPr>
        <w:pStyle w:val="Exposdesmotifstitre"/>
        <w:rPr>
          <w:noProof/>
        </w:rPr>
      </w:pPr>
      <w:bookmarkStart w:id="0" w:name="_GoBack"/>
      <w:bookmarkEnd w:id="0"/>
    </w:p>
    <w:p>
      <w:pPr>
        <w:rPr>
          <w:noProof/>
        </w:rPr>
      </w:pPr>
    </w:p>
    <w:p>
      <w:pPr>
        <w:pStyle w:val="Statut"/>
        <w:rPr>
          <w:noProof/>
        </w:rPr>
      </w:pPr>
      <w:r>
        <w:rPr>
          <w:noProof/>
        </w:rPr>
        <w:t>Препоръка за</w:t>
      </w:r>
    </w:p>
    <w:p>
      <w:pPr>
        <w:pStyle w:val="Typedudocument"/>
        <w:rPr>
          <w:noProof/>
        </w:rPr>
      </w:pPr>
      <w:r>
        <w:rPr>
          <w:noProof/>
        </w:rPr>
        <w:t>РЕШЕНИЕ НА СЪВЕТА</w:t>
      </w:r>
    </w:p>
    <w:p>
      <w:pPr>
        <w:pStyle w:val="Titreobjet"/>
        <w:rPr>
          <w:noProof/>
        </w:rPr>
      </w:pPr>
      <w:r>
        <w:rPr>
          <w:noProof/>
        </w:rPr>
        <w:t>за отмяна на Решение 2013/319/ЕС относно наличието на прекомерен дефицит в Малта</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126, параграф 12 от него,</w:t>
      </w:r>
    </w:p>
    <w:p>
      <w:pPr>
        <w:rPr>
          <w:noProof/>
        </w:rPr>
      </w:pPr>
      <w:r>
        <w:rPr>
          <w:noProof/>
        </w:rPr>
        <w:t>като взе предвид препоръката на Комисията,</w:t>
      </w:r>
    </w:p>
    <w:p>
      <w:pPr>
        <w:rPr>
          <w:noProof/>
        </w:rPr>
      </w:pPr>
      <w:r>
        <w:rPr>
          <w:noProof/>
        </w:rPr>
        <w:t xml:space="preserve">като има предвид, че: </w:t>
      </w:r>
    </w:p>
    <w:p>
      <w:pPr>
        <w:pStyle w:val="ManualConsidrant"/>
        <w:rPr>
          <w:noProof/>
        </w:rPr>
      </w:pPr>
      <w:r>
        <w:t>(1)</w:t>
      </w:r>
      <w:r>
        <w:tab/>
      </w:r>
      <w:r>
        <w:rPr>
          <w:noProof/>
        </w:rPr>
        <w:t>Въз основа на препоръка, отправена от Комисията, с Решение 2013/319/ЕС на Съвета от 21 юни 2013 г.</w:t>
      </w:r>
      <w:r>
        <w:rPr>
          <w:rStyle w:val="FootnoteReference"/>
          <w:noProof/>
        </w:rPr>
        <w:footnoteReference w:id="2"/>
      </w:r>
      <w:r>
        <w:rPr>
          <w:noProof/>
        </w:rPr>
        <w:t xml:space="preserve"> бе установено, че в Малта е налице прекомерен бюджетен дефицит. Съветът отбеляза, че дефицитът по консолидирания държавен бюджет в Малта е достигнал 3,3 % от БВП през 2012 г., надвишавайки по този начин заложената в Договора референтна стойност от 3 % от БВП. Същевременно </w:t>
      </w:r>
      <w:r>
        <w:rPr>
          <w:noProof/>
          <w:color w:val="000000"/>
        </w:rPr>
        <w:t>брутният консолидиран държавен дълг</w:t>
      </w:r>
      <w:r>
        <w:rPr>
          <w:noProof/>
        </w:rPr>
        <w:t xml:space="preserve"> е бил над посочената в Договора референтна стойност от 60 % от БВП, а след коригирането на прекомерния си дефицит през 2012 г</w:t>
      </w:r>
      <w:r>
        <w:rPr>
          <w:rStyle w:val="FootnoteReference"/>
          <w:noProof/>
        </w:rPr>
        <w:footnoteReference w:id="3"/>
      </w:r>
      <w:r>
        <w:rPr>
          <w:noProof/>
        </w:rPr>
        <w:t xml:space="preserve"> Малта не е постигнала достатъчен напредък по отношение на спазването на целевия показател за намаляване на дълга в съответствие с изискванията в рамките на преходния период</w:t>
      </w:r>
      <w:r>
        <w:rPr>
          <w:rStyle w:val="FootnoteReference"/>
          <w:noProof/>
        </w:rPr>
        <w:footnoteReference w:id="4"/>
      </w:r>
      <w:r>
        <w:rPr>
          <w:noProof/>
        </w:rPr>
        <w:t>.</w:t>
      </w:r>
    </w:p>
    <w:p>
      <w:pPr>
        <w:pStyle w:val="ManualConsidrant"/>
        <w:rPr>
          <w:noProof/>
        </w:rPr>
      </w:pPr>
      <w:r>
        <w:t>(2)</w:t>
      </w:r>
      <w:r>
        <w:tab/>
      </w:r>
      <w:r>
        <w:rPr>
          <w:noProof/>
        </w:rPr>
        <w:t xml:space="preserve">На 21 юни 2013 г. в съответствие с член 126, параграф 7 от ДФЕС и член 3, параграф 4 от Регламент (ЕО) № 1467/97 на Съвета от 7 юли 1997 г. за </w:t>
      </w:r>
      <w:r>
        <w:rPr>
          <w:noProof/>
        </w:rPr>
        <w:lastRenderedPageBreak/>
        <w:t>определяне и изясняване на прилагането на процедурата при прекомерен дефицит</w:t>
      </w:r>
      <w:r>
        <w:rPr>
          <w:rStyle w:val="FootnoteReference"/>
          <w:noProof/>
        </w:rPr>
        <w:footnoteReference w:id="5"/>
      </w:r>
      <w:r>
        <w:rPr>
          <w:noProof/>
        </w:rPr>
        <w:t xml:space="preserve"> и по препоръка на Комисията Съветът отправи препоръка към Малта за преодоляване на прекомерния дефицит най-късно до 2014 г. Препоръката бе публично оповестена.</w:t>
      </w:r>
    </w:p>
    <w:p>
      <w:pPr>
        <w:pStyle w:val="ManualConsidrant"/>
        <w:rPr>
          <w:noProof/>
        </w:rPr>
      </w:pPr>
      <w:r>
        <w:t>(3)</w:t>
      </w:r>
      <w:r>
        <w:tab/>
      </w:r>
      <w:r>
        <w:rPr>
          <w:noProof/>
        </w:rPr>
        <w:t>В съответствие с член 4 от приложения към Договорите Протокол относно процедурата при прекомерен дефицит Комисията предоставя данните за изпълнението на процедурата. Като част от прилагането на посочения протокол държавите членки предоставят данни за бюджетния дефицит и държавния дълг, както и за други свързани с тях показатели два пъти годишно — до 1 април и до 1 октомври, в съответствие с член 3 от Регламент (ЕО) 479/2009 на Съвета от 25 май 2009 г. за прилагане на Протокола за процедурата при прекомерен дефицит, приложен към Договора за създаване на Европейската общност</w:t>
      </w:r>
      <w:r>
        <w:rPr>
          <w:rStyle w:val="FootnoteReference"/>
          <w:noProof/>
        </w:rPr>
        <w:footnoteReference w:id="6"/>
      </w:r>
      <w:r>
        <w:rPr>
          <w:noProof/>
        </w:rPr>
        <w:t xml:space="preserve">. </w:t>
      </w:r>
    </w:p>
    <w:p>
      <w:pPr>
        <w:pStyle w:val="ManualConsidrant"/>
        <w:rPr>
          <w:noProof/>
        </w:rPr>
      </w:pPr>
      <w:r>
        <w:t>(4)</w:t>
      </w:r>
      <w:r>
        <w:tab/>
      </w:r>
      <w:r>
        <w:rPr>
          <w:noProof/>
        </w:rPr>
        <w:t>Съветът следва да вземе решение за отмяна на решение за наличие на прекомерен дефицит въз основа на предоставените данни. Същевременно дадено решение за наличие на прекомерен дефицит следва да се отмени само ако i) прогнозите на Комисията сочат, че през прогнозния период дефицитът няма да превиши референтната стойност от 3 % от БВП</w:t>
      </w:r>
      <w:r>
        <w:rPr>
          <w:rStyle w:val="FootnoteReference"/>
          <w:noProof/>
        </w:rPr>
        <w:footnoteReference w:id="7"/>
      </w:r>
      <w:r>
        <w:rPr>
          <w:noProof/>
        </w:rPr>
        <w:t>; и ii) съотношението на дълга съответства на ориентирания към бъдещето елемент на целевия показател по отношение на дълга.</w:t>
      </w:r>
    </w:p>
    <w:p>
      <w:pPr>
        <w:pStyle w:val="ManualConsidrant"/>
        <w:rPr>
          <w:noProof/>
        </w:rPr>
      </w:pPr>
      <w:r>
        <w:t>(5)</w:t>
      </w:r>
      <w:r>
        <w:tab/>
      </w:r>
      <w:r>
        <w:rPr>
          <w:noProof/>
        </w:rPr>
        <w:t>След уведомлението, изпратено от Малта през април 2015 г., и въз основа на данните, предоставени от Комисията (Евростат) в съответствие с член 14 от Регламент (ЕО) № 479/2015, програмата за стабилност и прогнозата на Комисията от пролетта на 2015 г. се налагат следните заключения:</w:t>
      </w:r>
    </w:p>
    <w:p>
      <w:pPr>
        <w:pStyle w:val="Tiret1"/>
        <w:numPr>
          <w:ilvl w:val="0"/>
          <w:numId w:val="10"/>
        </w:numPr>
        <w:rPr>
          <w:noProof/>
        </w:rPr>
      </w:pPr>
      <w:r>
        <w:rPr>
          <w:noProof/>
        </w:rPr>
        <w:t xml:space="preserve">След като през 2012 г. отбеляза най-високата си стойност от 3,6 % от БВП, дефицитът по консолидирания държавен бюджет намаля през 2013 г. до 2,6 %, за да достигне 2,1 % от БВП през 2014 г. Намаляването на дефицита през 2014 г. се дължи главно на подобрение на цикличните условия и на бюджетните мерки, които доведоха до значително нарастване на текущите приходи (с 2,5 % от БВП), което компенсира изцяло и надхвърли нарастването на текущите разходи (с 0,8 % от БВП), както и на нетните капиталови разходи (с 0,1 % от БВП), което се обяснява с по-високата степен на усвояване на средства от фондовете на ЕС. </w:t>
      </w:r>
    </w:p>
    <w:p>
      <w:pPr>
        <w:pStyle w:val="Tiret1"/>
        <w:rPr>
          <w:noProof/>
        </w:rPr>
      </w:pPr>
      <w:r>
        <w:rPr>
          <w:noProof/>
        </w:rPr>
        <w:t xml:space="preserve">Според Програмата за стабилност за 2015—2018 г., представена от малтийското правителство на 30 април 2015 г., през 2016 г. се планира дефицитът да намалее до 1,6 % от БВП и през 2015 г. да спадне до 1,1 % от БВП. В прогнозата на Комисията от пролетта на 2015 г. се предвижда дефицитът да възлиза на 1,8 % от БВП през 2015 г. и 1,5 % от БВП през 2016 г. Следователно се очаква през прогнозния период дефицитът да се </w:t>
      </w:r>
      <w:r>
        <w:rPr>
          <w:noProof/>
        </w:rPr>
        <w:lastRenderedPageBreak/>
        <w:t>задържи под определената в Договора референтна стойност от 3 % от БВП.</w:t>
      </w:r>
    </w:p>
    <w:p>
      <w:pPr>
        <w:pStyle w:val="Tiret1"/>
        <w:rPr>
          <w:noProof/>
        </w:rPr>
      </w:pPr>
      <w:r>
        <w:rPr>
          <w:noProof/>
        </w:rPr>
        <w:t xml:space="preserve">През периода 2013—2014 г. структурното салдо, т.е. салдото по консолидирания държавен бюджет, коригирано спрямо фазата на икономическия цикъл, минус еднократните и другите временни мерки, се е подобрило с 1,3 % от БВП. </w:t>
      </w:r>
    </w:p>
    <w:p>
      <w:pPr>
        <w:pStyle w:val="Tiret1"/>
        <w:rPr>
          <w:noProof/>
        </w:rPr>
      </w:pPr>
      <w:r>
        <w:rPr>
          <w:noProof/>
        </w:rPr>
        <w:t xml:space="preserve">Съотношението на дълга към БВП нарасна от 67,4 % от БВП през 2012 г. до 69,2 % от БВП през 2013 г. вследствие на корекцията наличности-потоци, водеща до временно нарастване на дълга, след което намаля до 68,0 % от БВП през 2014 г. Очаква се брутният държавен дълг да продължи да се понижава до 65,4 % от БВП през 2016 г. също благодарение на оптимистичния макроикономически сценарий. Спазването на ориентираното към бъдещето правило за дълга е осигурено през 2014 г. </w:t>
      </w:r>
    </w:p>
    <w:p>
      <w:pPr>
        <w:pStyle w:val="ManualConsidrant"/>
        <w:rPr>
          <w:noProof/>
        </w:rPr>
      </w:pPr>
      <w:r>
        <w:t>(6)</w:t>
      </w:r>
      <w:r>
        <w:tab/>
      </w:r>
      <w:r>
        <w:rPr>
          <w:noProof/>
        </w:rPr>
        <w:t>От 2015 г., т.е. годината след корекцията на прекомерния дефицит, по отношение на Малта се прилага превантивната част на Пакта за стабилност и растеж и тя следва да напредва с подходящ темп към постигане на средносрочната бюджетна цел, включително като спазва целевия показател за разходите и съблюдава критерия за дълга по член 2, параграф 1а от Регламент (ЕО) №1467/97. В тази връзка изглежда, че съществува риск от известно отклонение от изискваната корекция от 0,6 % от БВП за постигане на средносрочната цел както през 2015 г., така и през 2016 г. През 2015 г. се очаква подобряването на структурното салдо да бъде с 0,1 % от БВП под изискваното. Въпреки че предвидената за 2016 г. корекция е в съответствие с изискването, съществува риск от известно отклонение през 2015 г. и 2016 г., разглеждани заедно. Поради това ще са необходими допълнителни мерки през 2015 г. и 2016 г.</w:t>
      </w:r>
    </w:p>
    <w:p>
      <w:pPr>
        <w:pStyle w:val="ManualConsidrant"/>
        <w:rPr>
          <w:noProof/>
        </w:rPr>
      </w:pPr>
      <w:r>
        <w:t>(7)</w:t>
      </w:r>
      <w:r>
        <w:tab/>
      </w:r>
      <w:r>
        <w:rPr>
          <w:noProof/>
        </w:rPr>
        <w:t>Съгласно член 126, параграф 12 от Договора решенията на Съвета за наличието на прекомерен дефицит се отменят, когато по мнение на Съвета прекомерният дефицит в съответната държава членка е бил коригиран.</w:t>
      </w:r>
    </w:p>
    <w:p>
      <w:pPr>
        <w:pStyle w:val="ManualConsidrant"/>
        <w:rPr>
          <w:noProof/>
        </w:rPr>
      </w:pPr>
      <w:r>
        <w:t>(8)</w:t>
      </w:r>
      <w:r>
        <w:tab/>
      </w:r>
      <w:r>
        <w:rPr>
          <w:noProof/>
        </w:rPr>
        <w:t>По мнение на Съвета прекомерният дефицит в Малта е бил коригиран, поради което Решение 2013/319/EС следва да бъде отменено,</w:t>
      </w:r>
    </w:p>
    <w:p>
      <w:pPr>
        <w:pStyle w:val="Formuledadoption"/>
        <w:rPr>
          <w:noProof/>
        </w:rPr>
      </w:pPr>
      <w:r>
        <w:rPr>
          <w:noProof/>
        </w:rPr>
        <w:t>ПРИЕ НАСТОЯЩОТО РЕШЕНИЕ:</w:t>
      </w:r>
    </w:p>
    <w:p>
      <w:pPr>
        <w:pStyle w:val="Titrearticle"/>
        <w:rPr>
          <w:noProof/>
        </w:rPr>
      </w:pPr>
      <w:r>
        <w:rPr>
          <w:noProof/>
        </w:rPr>
        <w:t>Член 1</w:t>
      </w:r>
    </w:p>
    <w:p>
      <w:pPr>
        <w:rPr>
          <w:noProof/>
        </w:rPr>
      </w:pPr>
      <w:r>
        <w:rPr>
          <w:noProof/>
        </w:rPr>
        <w:t>Въз основа на цялостната оценка прекомерният дефицит в Малта се счита за коригиран.</w:t>
      </w:r>
    </w:p>
    <w:p>
      <w:pPr>
        <w:pStyle w:val="Titrearticle"/>
        <w:rPr>
          <w:noProof/>
        </w:rPr>
      </w:pPr>
      <w:r>
        <w:rPr>
          <w:noProof/>
        </w:rPr>
        <w:t>Член 2</w:t>
      </w:r>
    </w:p>
    <w:p>
      <w:pPr>
        <w:rPr>
          <w:noProof/>
        </w:rPr>
      </w:pPr>
      <w:r>
        <w:rPr>
          <w:noProof/>
        </w:rPr>
        <w:t>Решение 2013/319/ЕС се отменя.</w:t>
      </w:r>
    </w:p>
    <w:p>
      <w:pPr>
        <w:pStyle w:val="Titrearticle"/>
        <w:rPr>
          <w:noProof/>
        </w:rPr>
      </w:pPr>
      <w:r>
        <w:rPr>
          <w:noProof/>
        </w:rPr>
        <w:t>Член 3</w:t>
      </w:r>
    </w:p>
    <w:p>
      <w:pPr>
        <w:rPr>
          <w:noProof/>
        </w:rPr>
      </w:pPr>
      <w:r>
        <w:rPr>
          <w:noProof/>
        </w:rPr>
        <w:t>Адресат на настоящото решение е Република Малта.</w:t>
      </w:r>
    </w:p>
    <w:p>
      <w:pPr>
        <w:pStyle w:val="Fait"/>
        <w:rPr>
          <w:noProof/>
        </w:rPr>
      </w:pPr>
      <w:r>
        <w:rPr>
          <w:noProof/>
        </w:rPr>
        <w:t>Съставено в Брюксел на  година.</w:t>
      </w:r>
    </w:p>
    <w:p>
      <w:pPr>
        <w:pStyle w:val="Institutionquisigne"/>
        <w:rPr>
          <w:noProof/>
        </w:rPr>
      </w:pPr>
      <w:r>
        <w:rPr>
          <w:noProof/>
        </w:rPr>
        <w:tab/>
        <w:t>За Съвета</w:t>
      </w:r>
    </w:p>
    <w:p>
      <w:pPr>
        <w:pStyle w:val="Personnequisigne"/>
        <w:rPr>
          <w:noProof/>
        </w:rPr>
      </w:pPr>
      <w:r>
        <w:rPr>
          <w:noProof/>
        </w:rPr>
        <w:tab/>
        <w:t>Председател</w:t>
      </w:r>
      <w:bookmarkStart w:id="1" w:name="_CopyToNewDocument_"/>
      <w:bookmarkEnd w:id="1"/>
    </w:p>
    <w:sectPr>
      <w:footerReference w:type="default" r:id="rId11"/>
      <w:footerReference w:type="first" r:id="rId12"/>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before="0" w:after="0"/>
      </w:pPr>
    </w:p>
  </w:footnote>
  <w:footnote w:id="2">
    <w:p>
      <w:pPr>
        <w:pStyle w:val="FootnoteText"/>
      </w:pPr>
      <w:r>
        <w:rPr>
          <w:rStyle w:val="FootnoteReference"/>
        </w:rPr>
        <w:footnoteRef/>
      </w:r>
      <w:r>
        <w:tab/>
        <w:t>ОВ L 173, 26.6.2013 г., стр. 52.</w:t>
      </w:r>
    </w:p>
  </w:footnote>
  <w:footnote w:id="3">
    <w:p>
      <w:pPr>
        <w:pStyle w:val="FootnoteText"/>
      </w:pPr>
      <w:r>
        <w:rPr>
          <w:rStyle w:val="FootnoteReference"/>
        </w:rPr>
        <w:footnoteRef/>
      </w:r>
      <w:r>
        <w:tab/>
        <w:t>Данните за дефицита по консолидирания държавен бюджет и консолидирания държавен дълг за 2012 г. бяха впоследствие коригирани — съответно на 3,6 % и 67,4 % от БВП.</w:t>
      </w:r>
    </w:p>
  </w:footnote>
  <w:footnote w:id="4">
    <w:p>
      <w:pPr>
        <w:pStyle w:val="FootnoteText"/>
      </w:pPr>
      <w:r>
        <w:rPr>
          <w:rStyle w:val="FootnoteReference"/>
        </w:rPr>
        <w:footnoteRef/>
      </w:r>
      <w:r>
        <w:tab/>
        <w:t>След прекратяването на ППД през декември 2012 г., в съответствие с Пакта за стабилност и растеж, Малта се възползва от тригодишен преходен период, започващ през 2012 г., през който да постигне целевия показател за намаляване на дълга. Изискванията по време на преходния период са установени в член 2, параграф 1а, втора алинея от Регламент (ЕО) № 1467/97 и допълнително разяснени в „Подробните указания за изпълнението на Пакта за стабилност и растеж и насоките относно формата и съдържанието на програмите за стабилност и за конвергенция“ от 3 септември 2012 г. (вж.:</w:t>
      </w:r>
      <w:r>
        <w:tab/>
      </w:r>
      <w:r>
        <w:br/>
        <w:t>http://ec.europa.eu/economy_finance/economic_governance/sgp/pdf/coc/code_of_conduct_en.pdf). Въпреки изискваната за 2012 г. минимална линейна структурна корекция (MLSA) в размер на 0,4 процентни пункта от БВП структурният дефицит се влоши с 0,5 процентни пункта от БВП през 2012 г.</w:t>
      </w:r>
    </w:p>
  </w:footnote>
  <w:footnote w:id="5">
    <w:p>
      <w:pPr>
        <w:pStyle w:val="FootnoteText"/>
      </w:pPr>
      <w:r>
        <w:rPr>
          <w:rStyle w:val="FootnoteReference"/>
        </w:rPr>
        <w:footnoteRef/>
      </w:r>
      <w:r>
        <w:tab/>
        <w:t>ОВ L 209, 2.8.1997 г., стр. 6.</w:t>
      </w:r>
    </w:p>
  </w:footnote>
  <w:footnote w:id="6">
    <w:p>
      <w:pPr>
        <w:pStyle w:val="FootnoteText"/>
      </w:pPr>
      <w:r>
        <w:rPr>
          <w:rStyle w:val="FootnoteReference"/>
        </w:rPr>
        <w:footnoteRef/>
      </w:r>
      <w:r>
        <w:tab/>
        <w:t>ОВ L 145, 10.6.2009 г., стр. 1.</w:t>
      </w:r>
    </w:p>
  </w:footnote>
  <w:footnote w:id="7">
    <w:p>
      <w:pPr>
        <w:pStyle w:val="FootnoteText"/>
      </w:pPr>
      <w:r>
        <w:rPr>
          <w:rStyle w:val="FootnoteReference"/>
        </w:rPr>
        <w:footnoteRef/>
      </w:r>
      <w:r>
        <w:tab/>
        <w:t>Съгласно Подробните указания за изпълнението на Пакта за стабилност и растеж и насоките относно формата и съдържанието на програмите за стабилност и за конвергенция.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27EB6F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47E39B6"/>
    <w:lvl w:ilvl="0">
      <w:start w:val="1"/>
      <w:numFmt w:val="decimal"/>
      <w:pStyle w:val="ListNumber3"/>
      <w:lvlText w:val="%1."/>
      <w:lvlJc w:val="left"/>
      <w:pPr>
        <w:tabs>
          <w:tab w:val="num" w:pos="926"/>
        </w:tabs>
        <w:ind w:left="926" w:hanging="360"/>
      </w:pPr>
    </w:lvl>
  </w:abstractNum>
  <w:abstractNum w:abstractNumId="2">
    <w:nsid w:val="FFFFFF7F"/>
    <w:multiLevelType w:val="singleLevel"/>
    <w:tmpl w:val="D9CC148A"/>
    <w:lvl w:ilvl="0">
      <w:start w:val="1"/>
      <w:numFmt w:val="decimal"/>
      <w:pStyle w:val="ListNumber2"/>
      <w:lvlText w:val="%1."/>
      <w:lvlJc w:val="left"/>
      <w:pPr>
        <w:tabs>
          <w:tab w:val="num" w:pos="643"/>
        </w:tabs>
        <w:ind w:left="643" w:hanging="360"/>
      </w:pPr>
    </w:lvl>
  </w:abstractNum>
  <w:abstractNum w:abstractNumId="3">
    <w:nsid w:val="FFFFFF81"/>
    <w:multiLevelType w:val="singleLevel"/>
    <w:tmpl w:val="0CBCE7C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8828F8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2B6F12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B80C372"/>
    <w:lvl w:ilvl="0">
      <w:start w:val="1"/>
      <w:numFmt w:val="decimal"/>
      <w:pStyle w:val="ListNumber"/>
      <w:lvlText w:val="%1."/>
      <w:lvlJc w:val="left"/>
      <w:pPr>
        <w:tabs>
          <w:tab w:val="num" w:pos="360"/>
        </w:tabs>
        <w:ind w:left="360" w:hanging="360"/>
      </w:pPr>
    </w:lvl>
  </w:abstractNum>
  <w:abstractNum w:abstractNumId="7">
    <w:nsid w:val="FFFFFF89"/>
    <w:multiLevelType w:val="singleLevel"/>
    <w:tmpl w:val="0AD6F97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F76E7A"/>
    <w:multiLevelType w:val="singleLevel"/>
    <w:tmpl w:val="C74C5A32"/>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BA736C9"/>
    <w:multiLevelType w:val="singleLevel"/>
    <w:tmpl w:val="F00A6C0C"/>
    <w:name w:val="Tiret 0"/>
    <w:lvl w:ilvl="0">
      <w:start w:val="1"/>
      <w:numFmt w:val="bullet"/>
      <w:lvlRestart w:val="0"/>
      <w:lvlText w:val="–"/>
      <w:lvlJc w:val="left"/>
      <w:pPr>
        <w:tabs>
          <w:tab w:val="num" w:pos="850"/>
        </w:tabs>
        <w:ind w:left="850" w:hanging="850"/>
      </w:pPr>
    </w:lvl>
  </w:abstractNum>
  <w:abstractNum w:abstractNumId="15">
    <w:nsid w:val="3C90278F"/>
    <w:multiLevelType w:val="singleLevel"/>
    <w:tmpl w:val="0FE08974"/>
    <w:name w:val="Tiret 3"/>
    <w:lvl w:ilvl="0">
      <w:start w:val="1"/>
      <w:numFmt w:val="bullet"/>
      <w:lvlRestart w:val="0"/>
      <w:lvlText w:val="–"/>
      <w:lvlJc w:val="left"/>
      <w:pPr>
        <w:tabs>
          <w:tab w:val="num" w:pos="2551"/>
        </w:tabs>
        <w:ind w:left="2551" w:hanging="567"/>
      </w:p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8842C30"/>
    <w:multiLevelType w:val="singleLevel"/>
    <w:tmpl w:val="4FA60B90"/>
    <w:name w:val="Bullet 4"/>
    <w:lvl w:ilvl="0">
      <w:start w:val="1"/>
      <w:numFmt w:val="bullet"/>
      <w:lvlRestart w:val="0"/>
      <w:lvlText w:val=""/>
      <w:lvlJc w:val="left"/>
      <w:pPr>
        <w:tabs>
          <w:tab w:val="num" w:pos="3118"/>
        </w:tabs>
        <w:ind w:left="3118" w:hanging="567"/>
      </w:pPr>
      <w:rPr>
        <w:rFonts w:ascii="Symbol" w:hAnsi="Symbol" w:hint="default"/>
      </w:rPr>
    </w:lvl>
  </w:abstractNum>
  <w:abstractNum w:abstractNumId="20">
    <w:nsid w:val="54593082"/>
    <w:multiLevelType w:val="singleLevel"/>
    <w:tmpl w:val="EDE069AC"/>
    <w:name w:val="List Dash"/>
    <w:lvl w:ilvl="0">
      <w:start w:val="1"/>
      <w:numFmt w:val="bullet"/>
      <w:lvlRestart w:val="0"/>
      <w:lvlText w:val=""/>
      <w:lvlJc w:val="left"/>
      <w:pPr>
        <w:tabs>
          <w:tab w:val="num" w:pos="850"/>
        </w:tabs>
        <w:ind w:left="850" w:hanging="850"/>
      </w:pPr>
      <w:rPr>
        <w:rFonts w:ascii="Symbol" w:hAnsi="Symbol" w:hint="default"/>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68864DC"/>
    <w:multiLevelType w:val="singleLevel"/>
    <w:tmpl w:val="485EBDAC"/>
    <w:name w:val="Bullet 0"/>
    <w:lvl w:ilvl="0">
      <w:start w:val="1"/>
      <w:numFmt w:val="bullet"/>
      <w:lvlRestart w:val="0"/>
      <w:lvlText w:val="–"/>
      <w:lvlJc w:val="left"/>
      <w:pPr>
        <w:tabs>
          <w:tab w:val="num" w:pos="3118"/>
        </w:tabs>
        <w:ind w:left="3118" w:hanging="567"/>
      </w:p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5F342530"/>
    <w:multiLevelType w:val="singleLevel"/>
    <w:tmpl w:val="D5444702"/>
    <w:name w:val="Tiret 4"/>
    <w:lvl w:ilvl="0">
      <w:start w:val="1"/>
      <w:numFmt w:val="bullet"/>
      <w:lvlRestart w:val="0"/>
      <w:lvlText w:val=""/>
      <w:lvlJc w:val="left"/>
      <w:pPr>
        <w:tabs>
          <w:tab w:val="num" w:pos="2551"/>
        </w:tabs>
        <w:ind w:left="2551" w:hanging="567"/>
      </w:pPr>
      <w:rPr>
        <w:rFonts w:ascii="Symbol" w:hAnsi="Symbol" w:hint="default"/>
      </w:rPr>
    </w:lvl>
  </w:abstractNum>
  <w:abstractNum w:abstractNumId="27">
    <w:nsid w:val="5F9C40AA"/>
    <w:multiLevelType w:val="singleLevel"/>
    <w:tmpl w:val="B89CB5A2"/>
    <w:name w:val="Bullet 3"/>
    <w:lvl w:ilvl="0">
      <w:start w:val="1"/>
      <w:numFmt w:val="bullet"/>
      <w:lvlRestart w:val="0"/>
      <w:lvlText w:val=""/>
      <w:lvlJc w:val="left"/>
      <w:pPr>
        <w:tabs>
          <w:tab w:val="num" w:pos="1984"/>
        </w:tabs>
        <w:ind w:left="1984" w:hanging="567"/>
      </w:pPr>
      <w:rPr>
        <w:rFonts w:ascii="Symbol" w:hAnsi="Symbol" w:hint="default"/>
      </w:rPr>
    </w:lvl>
  </w:abstractNum>
  <w:abstractNum w:abstractNumId="28">
    <w:nsid w:val="62970F71"/>
    <w:multiLevelType w:val="singleLevel"/>
    <w:tmpl w:val="5AFA8C72"/>
    <w:name w:val="Bullet 2"/>
    <w:lvl w:ilvl="0">
      <w:start w:val="1"/>
      <w:numFmt w:val="bullet"/>
      <w:lvlRestart w:val="0"/>
      <w:lvlText w:val="–"/>
      <w:lvlJc w:val="left"/>
      <w:pPr>
        <w:tabs>
          <w:tab w:val="num" w:pos="1984"/>
        </w:tabs>
        <w:ind w:left="1984" w:hanging="567"/>
      </w:pPr>
    </w:lvl>
  </w:abstractNum>
  <w:abstractNum w:abstractNumId="2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1">
    <w:nsid w:val="69995580"/>
    <w:multiLevelType w:val="singleLevel"/>
    <w:tmpl w:val="75CC7CBA"/>
    <w:name w:val="Tiret 2"/>
    <w:lvl w:ilvl="0">
      <w:start w:val="1"/>
      <w:numFmt w:val="decimal"/>
      <w:lvlRestart w:val="0"/>
      <w:lvlText w:val="(%1)"/>
      <w:lvlJc w:val="left"/>
      <w:pPr>
        <w:tabs>
          <w:tab w:val="num" w:pos="709"/>
        </w:tabs>
        <w:ind w:left="709" w:hanging="709"/>
      </w:pPr>
    </w:lvl>
  </w:abstractNum>
  <w:abstractNum w:abstractNumId="32">
    <w:nsid w:val="711167E2"/>
    <w:multiLevelType w:val="multilevel"/>
    <w:tmpl w:val="C3843A7A"/>
    <w:name w:val="Considérant"/>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5C26F71"/>
    <w:multiLevelType w:val="multilevel"/>
    <w:tmpl w:val="E01E7708"/>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BE95D7F"/>
    <w:multiLevelType w:val="multilevel"/>
    <w:tmpl w:val="F126F780"/>
    <w:name w:val="Heading"/>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2"/>
  </w:num>
  <w:num w:numId="3">
    <w:abstractNumId w:val="1"/>
  </w:num>
  <w:num w:numId="4">
    <w:abstractNumId w:val="0"/>
  </w:num>
  <w:num w:numId="5">
    <w:abstractNumId w:val="7"/>
  </w:num>
  <w:num w:numId="6">
    <w:abstractNumId w:val="5"/>
  </w:num>
  <w:num w:numId="7">
    <w:abstractNumId w:val="4"/>
  </w:num>
  <w:num w:numId="8">
    <w:abstractNumId w:val="3"/>
  </w:num>
  <w:num w:numId="9">
    <w:abstractNumId w:val="35"/>
    <w:lvlOverride w:ilvl="0">
      <w:startOverride w:val="1"/>
    </w:lvlOverride>
  </w:num>
  <w:num w:numId="10">
    <w:abstractNumId w:val="16"/>
    <w:lvlOverride w:ilvl="0">
      <w:startOverride w:val="1"/>
    </w:lvlOverride>
  </w:num>
  <w:num w:numId="11">
    <w:abstractNumId w:val="25"/>
  </w:num>
  <w:num w:numId="12">
    <w:abstractNumId w:val="16"/>
  </w:num>
  <w:num w:numId="13">
    <w:abstractNumId w:val="30"/>
  </w:num>
  <w:num w:numId="14">
    <w:abstractNumId w:val="12"/>
  </w:num>
  <w:num w:numId="15">
    <w:abstractNumId w:val="17"/>
  </w:num>
  <w:num w:numId="16">
    <w:abstractNumId w:val="9"/>
  </w:num>
  <w:num w:numId="17">
    <w:abstractNumId w:val="29"/>
  </w:num>
  <w:num w:numId="18">
    <w:abstractNumId w:val="8"/>
  </w:num>
  <w:num w:numId="19">
    <w:abstractNumId w:val="18"/>
  </w:num>
  <w:num w:numId="20">
    <w:abstractNumId w:val="23"/>
  </w:num>
  <w:num w:numId="21">
    <w:abstractNumId w:val="24"/>
  </w:num>
  <w:num w:numId="22">
    <w:abstractNumId w:val="11"/>
  </w:num>
  <w:num w:numId="23">
    <w:abstractNumId w:val="21"/>
  </w:num>
  <w:num w:numId="24">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drawingGridHorizontalSpacing w:val="120"/>
  <w:displayHorizontalDrawingGridEvery w:val="2"/>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5-05-18 14:03:5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1"/>
    <w:docVar w:name="DQCResult_UnknownFonts" w:val="0;0"/>
    <w:docVar w:name="DQCResult_UnknownStyles" w:val="0;0"/>
    <w:docVar w:name="DQCStatus" w:val="Green"/>
    <w:docVar w:name="DQCVersion" w:val="2"/>
    <w:docVar w:name="DQCWithWarnings" w:val="0"/>
    <w:docVar w:name="LW_CONFIDENCE" w:val=" "/>
    <w:docVar w:name="LW_CONST_RESTREINT_UE" w:val="RESTREINT UE"/>
    <w:docVar w:name="LW_CORRIGENDUM" w:val="&lt;UNUSED&gt;"/>
    <w:docVar w:name="LW_COVERPAGE_GUID" w:val="0F111DF3F6814F83984FFBD6661B2149"/>
    <w:docVar w:name="LW_CROSSREFERENCE" w:val="&lt;UNUSED&gt;"/>
    <w:docVar w:name="LW_DocType" w:val="COM"/>
    <w:docVar w:name="LW_EMISSION" w:val="13.5.2015"/>
    <w:docVar w:name="LW_EMISSION_ISODATE" w:val="2015-05-13"/>
    <w:docVar w:name="LW_EMISSION_LOCATION" w:val="BRX"/>
    <w:docVar w:name="LW_EMISSION_PREFIX" w:val="Брюксел, "/>
    <w:docVar w:name="LW_EMISSION_SUFFIX" w:val=" \u1075?."/>
    <w:docVar w:name="LW_FAITA" w:val="Done at Brussels,"/>
    <w:docVar w:name="LW_ID_DOCMODEL" w:val="rc00"/>
    <w:docVar w:name="LW_ID_DOCSIGNATURE" w:val="SG-001"/>
    <w:docVar w:name="LW_ID_DOCSTRUCTURE" w:val="COM/PL/ORG"/>
    <w:docVar w:name="LW_ID_DOCTYPE" w:val="SG-001"/>
    <w:docVar w:name="LW_ID_STATUT" w:val="RECOMM"/>
    <w:docVar w:name="LW_INST.SIGNE" w:val="_x0009_For the Council"/>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PERS.SIGNE" w:val="_x0009_The President"/>
    <w:docVar w:name="LW_REF.II.NEW.CP" w:val="&lt;UNUSED&gt;"/>
    <w:docVar w:name="LW_REF.II.NEW.CP_NUMBER" w:val="&lt;UNUSED&gt;"/>
    <w:docVar w:name="LW_REF.II.NEW.CP_YEAR" w:val="2015"/>
    <w:docVar w:name="LW_REF.INST.NEW" w:val="COM"/>
    <w:docVar w:name="LW_REF.INST.NEW_ADOPTED" w:val="final"/>
    <w:docVar w:name="LW_REF.INST.NEW_TEXT" w:val="(2015) 242"/>
    <w:docVar w:name="LW_REF.INTERNE" w:val="&lt;UNUSED&gt;"/>
    <w:docVar w:name="LW_SOUS.TITRE.OBJ.CP" w:val="&lt;UNUSED&gt;"/>
    <w:docVar w:name="LW_STATUT.CP" w:val="\u1055?\u1088?\u1077?\u1087?\u1086?\u1088?\u1098?\u1082?\u1072? \u1079?\u1072?"/>
    <w:docVar w:name="LW_SUPERTITRE" w:val="&lt;UNUSED&gt;"/>
    <w:docVar w:name="LW_TITRE.OBJ.CP" w:val="\u1079?\u1072? \u1086?\u1090?\u1084?\u1103?\u1085?\u1072? \u1085?\u1072? \u1056?\u1077?\u1096?\u1077?\u1085?\u1080?\u1077? 2013/319/\u1045?\u1057? \u1086?\u1090?\u1085?\u1086?\u1089?\u1085?\u1086? \u1085?\u1072?\u1083?\u1080?\u1095?\u1080?\u1077?\u1090?\u1086? \u1085?\u1072? \u1087?\u1088?\u1077?\u1082?\u1086?\u1084?\u1077?\u1088?\u1077?\u1085? \u1076?\u1077?\u1092?\u1080?\u1094?\u1080?\u1090? \u1074? \u1052?\u1072?\u1083?\u1090?\u1072?"/>
    <w:docVar w:name="LW_TITRE.OBJ.CP_PREVIOUS" w:val="&lt;UNUSED&gt;"/>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bg-BG"/>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Pr>
      <w:rFonts w:cs="Times New Roman"/>
      <w:color w:val="0000FF"/>
      <w:u w:val="single"/>
      <w:shd w:val="clear" w:color="auto" w:fill="auto"/>
    </w:rPr>
  </w:style>
  <w:style w:type="paragraph" w:styleId="ListNumber">
    <w:name w:val="List Number"/>
    <w:basedOn w:val="Normal"/>
    <w:pPr>
      <w:numPr>
        <w:numId w:val="1"/>
      </w:numPr>
    </w:pPr>
  </w:style>
  <w:style w:type="paragraph" w:styleId="ListNumber2">
    <w:name w:val="List Number 2"/>
    <w:basedOn w:val="Normal"/>
    <w:pPr>
      <w:numPr>
        <w:numId w:val="2"/>
      </w:numPr>
    </w:pPr>
  </w:style>
  <w:style w:type="paragraph" w:styleId="ListNumber3">
    <w:name w:val="List Number 3"/>
    <w:basedOn w:val="Normal"/>
    <w:pPr>
      <w:numPr>
        <w:numId w:val="3"/>
      </w:numPr>
    </w:pPr>
  </w:style>
  <w:style w:type="paragraph" w:styleId="ListNumber4">
    <w:name w:val="List Number 4"/>
    <w:basedOn w:val="Normal"/>
    <w:pPr>
      <w:numPr>
        <w:numId w:val="4"/>
      </w:numPr>
    </w:pPr>
  </w:style>
  <w:style w:type="paragraph" w:styleId="ListBullet">
    <w:name w:val="List Bullet"/>
    <w:basedOn w:val="Normal"/>
    <w:pPr>
      <w:numPr>
        <w:numId w:val="5"/>
      </w:numPr>
    </w:pPr>
  </w:style>
  <w:style w:type="paragraph" w:styleId="ListBullet2">
    <w:name w:val="List Bullet 2"/>
    <w:basedOn w:val="Normal"/>
    <w:pPr>
      <w:numPr>
        <w:numId w:val="6"/>
      </w:numPr>
    </w:pPr>
  </w:style>
  <w:style w:type="paragraph" w:styleId="ListBullet3">
    <w:name w:val="List Bullet 3"/>
    <w:basedOn w:val="Normal"/>
    <w:pPr>
      <w:numPr>
        <w:numId w:val="7"/>
      </w:numPr>
    </w:pPr>
  </w:style>
  <w:style w:type="paragraph" w:styleId="ListBullet4">
    <w:name w:val="List Bullet 4"/>
    <w:basedOn w:val="Normal"/>
    <w:pPr>
      <w:numPr>
        <w:numId w:val="8"/>
      </w:numPr>
    </w:p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character" w:styleId="CommentReference">
    <w:name w:val="annotation reference"/>
    <w:rPr>
      <w:sz w:val="16"/>
      <w:szCs w:val="16"/>
      <w:shd w:val="clear" w:color="auto" w:fill="auto"/>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shd w:val="clear" w:color="auto" w:fill="auto"/>
      <w:lang w:eastAsia="bg-BG"/>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shd w:val="clear" w:color="auto" w:fill="auto"/>
      <w:lang w:eastAsia="bg-BG"/>
    </w:rPr>
  </w:style>
  <w:style w:type="paragraph" w:styleId="Revision">
    <w:name w:val="Revision"/>
    <w:hidden/>
    <w:uiPriority w:val="99"/>
    <w:semiHidden/>
    <w:rPr>
      <w:sz w:val="24"/>
      <w:szCs w:val="24"/>
    </w:rPr>
  </w:style>
  <w:style w:type="paragraph" w:styleId="Header">
    <w:name w:val="header"/>
    <w:basedOn w:val="Normal"/>
    <w:link w:val="HeaderChar"/>
    <w:uiPriority w:val="99"/>
    <w:unhideWhenUsed/>
    <w:pPr>
      <w:tabs>
        <w:tab w:val="center" w:pos="4535"/>
        <w:tab w:val="right" w:pos="9071"/>
      </w:tabs>
      <w:spacing w:before="0"/>
    </w:pPr>
    <w:rPr>
      <w:rFonts w:eastAsia="Calibri"/>
      <w:lang w:eastAsia="en-US" w:bidi="ar-SA"/>
    </w:rPr>
  </w:style>
  <w:style w:type="character" w:customStyle="1" w:styleId="HeaderChar">
    <w:name w:val="Header Char"/>
    <w:link w:val="Header"/>
    <w:uiPriority w:val="99"/>
    <w:rPr>
      <w:rFonts w:eastAsia="Calibr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 w:val="24"/>
      <w:szCs w:val="28"/>
      <w:lang w:val="en-GB"/>
    </w:rPr>
  </w:style>
  <w:style w:type="character" w:customStyle="1" w:styleId="Heading2Char">
    <w:name w:val="Heading 2 Char"/>
    <w:basedOn w:val="DefaultParagraphFont"/>
    <w:link w:val="Heading2"/>
    <w:uiPriority w:val="9"/>
    <w:semiHidden/>
    <w:rPr>
      <w:rFonts w:eastAsiaTheme="majorEastAsia"/>
      <w:b/>
      <w:bCs/>
      <w:sz w:val="24"/>
      <w:szCs w:val="26"/>
      <w:lang w:val="en-GB"/>
    </w:rPr>
  </w:style>
  <w:style w:type="character" w:customStyle="1" w:styleId="Heading3Char">
    <w:name w:val="Heading 3 Char"/>
    <w:basedOn w:val="DefaultParagraphFont"/>
    <w:link w:val="Heading3"/>
    <w:uiPriority w:val="9"/>
    <w:semiHidden/>
    <w:rPr>
      <w:rFonts w:eastAsiaTheme="majorEastAsia"/>
      <w:bCs/>
      <w:i/>
      <w:sz w:val="24"/>
      <w:lang w:val="en-GB"/>
    </w:rPr>
  </w:style>
  <w:style w:type="character" w:customStyle="1" w:styleId="Heading4Char">
    <w:name w:val="Heading 4 Char"/>
    <w:basedOn w:val="DefaultParagraphFont"/>
    <w:link w:val="Heading4"/>
    <w:uiPriority w:val="9"/>
    <w:semiHidden/>
    <w:rPr>
      <w:rFonts w:eastAsiaTheme="majorEastAsia"/>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Calibr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447791">
      <w:bodyDiv w:val="1"/>
      <w:marLeft w:val="0"/>
      <w:marRight w:val="0"/>
      <w:marTop w:val="0"/>
      <w:marBottom w:val="0"/>
      <w:divBdr>
        <w:top w:val="none" w:sz="0" w:space="0" w:color="auto"/>
        <w:left w:val="none" w:sz="0" w:space="0" w:color="auto"/>
        <w:bottom w:val="none" w:sz="0" w:space="0" w:color="auto"/>
        <w:right w:val="none" w:sz="0" w:space="0" w:color="auto"/>
      </w:divBdr>
    </w:div>
    <w:div w:id="1515221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8CE6E-E535-4FDF-A57F-D7CA5478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Pages>
  <Words>993</Words>
  <Characters>5036</Characters>
  <Application>Microsoft Office Word</Application>
  <DocSecurity>0</DocSecurity>
  <Lines>107</Lines>
  <Paragraphs>34</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DIGIT/A3</cp:lastModifiedBy>
  <cp:revision>17</cp:revision>
  <cp:lastPrinted>2015-04-27T16:25:00Z</cp:lastPrinted>
  <dcterms:created xsi:type="dcterms:W3CDTF">2015-05-13T10:54:00Z</dcterms:created>
  <dcterms:modified xsi:type="dcterms:W3CDTF">2015-05-18T12:03:00Z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5.8.22.0</vt:lpwstr>
  </property>
  <property fmtid="{D5CDD505-2E9C-101B-9397-08002B2CF9AE}" pid="5" name="Last edited using">
    <vt:lpwstr>LW 5.8.4, Build 20150407</vt:lpwstr>
  </property>
  <property fmtid="{D5CDD505-2E9C-101B-9397-08002B2CF9AE}" pid="6" name="Created using">
    <vt:lpwstr>LW 5.8, Build 20110311</vt:lpwstr>
  </property>
  <property fmtid="{D5CDD505-2E9C-101B-9397-08002B2CF9AE}" pid="7" name="_NewReviewCycle">
    <vt:lpwstr/>
  </property>
  <property fmtid="{D5CDD505-2E9C-101B-9397-08002B2CF9AE}" pid="8" name="LWTemplateID">
    <vt:lpwstr>SG-001</vt:lpwstr>
  </property>
  <property fmtid="{D5CDD505-2E9C-101B-9397-08002B2CF9AE}" pid="9" name="Part">
    <vt:lpwstr>1</vt:lpwstr>
  </property>
  <property fmtid="{D5CDD505-2E9C-101B-9397-08002B2CF9AE}" pid="10" name="Total parts">
    <vt:lpwstr>1</vt:lpwstr>
  </property>
  <property fmtid="{D5CDD505-2E9C-101B-9397-08002B2CF9AE}" pid="11" name="DQCStatus">
    <vt:lpwstr>Green (DQC version 02)</vt:lpwstr>
  </property>
</Properties>
</file>