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bookmarkStart w:id="0" w:name="LW_BM_COVERPAGE"/>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7" type="#_x0000_t75" alt="9B1C6888A69F4EF5B3DB534DE051C57E" style="width:450.5pt;height:555.9pt">
            <v:imagedata r:id="rId9" o:title=""/>
          </v:shape>
        </w:pict>
      </w:r>
    </w:p>
    <w:bookmarkEnd w:id="0"/>
    <w:p>
      <w:pPr>
        <w:rPr>
          <w:noProof/>
        </w:rPr>
        <w:sectPr>
          <w:headerReference w:type="even" r:id="rId10"/>
          <w:headerReference w:type="default" r:id="rId11"/>
          <w:footerReference w:type="even" r:id="rId12"/>
          <w:footerReference w:type="default" r:id="rId13"/>
          <w:headerReference w:type="first" r:id="rId14"/>
          <w:footerReference w:type="first" r:id="rId15"/>
          <w:pgSz w:w="11906" w:h="16838"/>
          <w:pgMar w:top="1134" w:right="1417" w:bottom="1134" w:left="1417" w:header="709" w:footer="709" w:gutter="0"/>
          <w:pgNumType w:start="1"/>
          <w:cols w:space="720"/>
          <w:docGrid w:linePitch="360"/>
        </w:sectPr>
      </w:pPr>
    </w:p>
    <w:bookmarkStart w:id="1" w:name="_GoBack" w:displacedByCustomXml="next"/>
    <w:bookmarkEnd w:id="1" w:displacedByCustomXml="next"/>
    <w:sdt>
      <w:sdtPr>
        <w:rPr>
          <w:rFonts w:asciiTheme="minorHAnsi" w:eastAsiaTheme="minorHAnsi" w:hAnsiTheme="minorHAnsi" w:cstheme="minorBidi"/>
          <w:b w:val="0"/>
          <w:bCs w:val="0"/>
          <w:noProof/>
          <w:color w:val="auto"/>
          <w:sz w:val="22"/>
          <w:szCs w:val="22"/>
          <w:lang w:val="fr-FR" w:eastAsia="fr-FR" w:bidi="fr-FR"/>
        </w:rPr>
        <w:id w:val="1423527112"/>
        <w:docPartObj>
          <w:docPartGallery w:val="Table of Contents"/>
          <w:docPartUnique/>
        </w:docPartObj>
      </w:sdtPr>
      <w:sdtContent>
        <w:p>
          <w:pPr>
            <w:pStyle w:val="TOCHeading"/>
            <w:spacing w:before="100" w:beforeAutospacing="1" w:after="200"/>
            <w:rPr>
              <w:noProof/>
              <w:color w:val="auto"/>
              <w:sz w:val="32"/>
              <w:szCs w:val="32"/>
            </w:rPr>
          </w:pPr>
          <w:r>
            <w:rPr>
              <w:rFonts w:asciiTheme="minorHAnsi" w:hAnsiTheme="minorHAnsi"/>
              <w:noProof/>
              <w:color w:val="auto"/>
              <w:sz w:val="32"/>
              <w:szCs w:val="32"/>
            </w:rPr>
            <w:t>Table des matières</w:t>
          </w:r>
        </w:p>
        <w:p>
          <w:pPr>
            <w:pStyle w:val="TOC1"/>
            <w:rPr>
              <w:rFonts w:eastAsiaTheme="minorEastAsia"/>
              <w:noProof/>
              <w:lang w:val="en-GB" w:eastAsia="en-GB" w:bidi="ar-SA"/>
            </w:rPr>
          </w:pPr>
          <w:r>
            <w:rPr>
              <w:noProof/>
            </w:rPr>
            <w:fldChar w:fldCharType="begin"/>
          </w:r>
          <w:r>
            <w:rPr>
              <w:noProof/>
            </w:rPr>
            <w:instrText xml:space="preserve"> TOC \o "1-3" \h \z \u </w:instrText>
          </w:r>
          <w:r>
            <w:rPr>
              <w:noProof/>
            </w:rPr>
            <w:fldChar w:fldCharType="separate"/>
          </w:r>
          <w:hyperlink w:anchor="_Toc482714240" w:history="1">
            <w:r>
              <w:rPr>
                <w:rStyle w:val="Hyperlink"/>
                <w:noProof/>
                <w:highlight w:val="green"/>
              </w:rPr>
              <w:t>1</w:t>
            </w:r>
            <w:r>
              <w:rPr>
                <w:rStyle w:val="Hyperlink"/>
                <w:noProof/>
              </w:rPr>
              <w:t>.</w:t>
            </w:r>
            <w:r>
              <w:rPr>
                <w:rFonts w:eastAsiaTheme="minorEastAsia"/>
                <w:noProof/>
                <w:lang w:val="en-GB" w:eastAsia="en-GB" w:bidi="ar-SA"/>
              </w:rPr>
              <w:tab/>
            </w:r>
            <w:r>
              <w:rPr>
                <w:rStyle w:val="Hyperlink"/>
                <w:noProof/>
              </w:rPr>
              <w:t>Introduction</w:t>
            </w:r>
            <w:r>
              <w:rPr>
                <w:noProof/>
                <w:webHidden/>
              </w:rPr>
              <w:tab/>
            </w:r>
            <w:r>
              <w:rPr>
                <w:noProof/>
                <w:webHidden/>
              </w:rPr>
              <w:fldChar w:fldCharType="begin"/>
            </w:r>
            <w:r>
              <w:rPr>
                <w:noProof/>
                <w:webHidden/>
              </w:rPr>
              <w:instrText xml:space="preserve"> PAGEREF _Toc482714240 \h </w:instrText>
            </w:r>
            <w:r>
              <w:rPr>
                <w:noProof/>
                <w:webHidden/>
              </w:rPr>
            </w:r>
            <w:r>
              <w:rPr>
                <w:noProof/>
                <w:webHidden/>
              </w:rPr>
              <w:fldChar w:fldCharType="separate"/>
            </w:r>
            <w:r>
              <w:rPr>
                <w:noProof/>
                <w:webHidden/>
                <w:highlight w:val="green"/>
              </w:rPr>
              <w:t>3</w:t>
            </w:r>
            <w:r>
              <w:rPr>
                <w:noProof/>
                <w:webHidden/>
              </w:rPr>
              <w:fldChar w:fldCharType="end"/>
            </w:r>
          </w:hyperlink>
        </w:p>
        <w:p>
          <w:pPr>
            <w:pStyle w:val="TOC1"/>
            <w:rPr>
              <w:rFonts w:eastAsiaTheme="minorEastAsia"/>
              <w:noProof/>
              <w:lang w:val="en-GB" w:eastAsia="en-GB" w:bidi="ar-SA"/>
            </w:rPr>
          </w:pPr>
          <w:hyperlink w:anchor="_Toc482714241" w:history="1">
            <w:r>
              <w:rPr>
                <w:rStyle w:val="Hyperlink"/>
                <w:noProof/>
                <w:highlight w:val="green"/>
              </w:rPr>
              <w:t>2</w:t>
            </w:r>
            <w:r>
              <w:rPr>
                <w:rStyle w:val="Hyperlink"/>
                <w:noProof/>
              </w:rPr>
              <w:t>.</w:t>
            </w:r>
            <w:r>
              <w:rPr>
                <w:rFonts w:eastAsiaTheme="minorEastAsia"/>
                <w:noProof/>
                <w:lang w:val="en-GB" w:eastAsia="en-GB" w:bidi="ar-SA"/>
              </w:rPr>
              <w:tab/>
            </w:r>
            <w:r>
              <w:rPr>
                <w:rStyle w:val="Hyperlink"/>
                <w:noProof/>
              </w:rPr>
              <w:t>Résultats des consultations publiques</w:t>
            </w:r>
            <w:r>
              <w:rPr>
                <w:noProof/>
                <w:webHidden/>
              </w:rPr>
              <w:tab/>
            </w:r>
            <w:r>
              <w:rPr>
                <w:noProof/>
                <w:webHidden/>
              </w:rPr>
              <w:fldChar w:fldCharType="begin"/>
            </w:r>
            <w:r>
              <w:rPr>
                <w:noProof/>
                <w:webHidden/>
              </w:rPr>
              <w:instrText xml:space="preserve"> PAGEREF _Toc482714241 \h </w:instrText>
            </w:r>
            <w:r>
              <w:rPr>
                <w:noProof/>
                <w:webHidden/>
              </w:rPr>
            </w:r>
            <w:r>
              <w:rPr>
                <w:noProof/>
                <w:webHidden/>
              </w:rPr>
              <w:fldChar w:fldCharType="separate"/>
            </w:r>
            <w:r>
              <w:rPr>
                <w:noProof/>
                <w:webHidden/>
                <w:highlight w:val="green"/>
              </w:rPr>
              <w:t>3</w:t>
            </w:r>
            <w:r>
              <w:rPr>
                <w:noProof/>
                <w:webHidden/>
              </w:rPr>
              <w:fldChar w:fldCharType="end"/>
            </w:r>
          </w:hyperlink>
        </w:p>
        <w:p>
          <w:pPr>
            <w:pStyle w:val="TOC2"/>
            <w:rPr>
              <w:rFonts w:eastAsiaTheme="minorEastAsia"/>
              <w:noProof/>
              <w:lang w:val="en-GB" w:eastAsia="en-GB" w:bidi="ar-SA"/>
            </w:rPr>
          </w:pPr>
          <w:hyperlink w:anchor="_Toc482714242" w:history="1">
            <w:r>
              <w:rPr>
                <w:rStyle w:val="Hyperlink"/>
                <w:noProof/>
                <w:highlight w:val="green"/>
                <w14:scene3d>
                  <w14:camera w14:prst="orthographicFront"/>
                  <w14:lightRig w14:rig="threePt" w14:dir="t">
                    <w14:rot w14:lat="0" w14:lon="0" w14:rev="0"/>
                  </w14:lightRig>
                </w14:scene3d>
              </w:rPr>
              <w:t>2</w:t>
            </w:r>
            <w:r>
              <w:rPr>
                <w:rStyle w:val="Hyperlink"/>
                <w:noProof/>
                <w14:scene3d>
                  <w14:camera w14:prst="orthographicFront"/>
                  <w14:lightRig w14:rig="threePt" w14:dir="t">
                    <w14:rot w14:lat="0" w14:lon="0" w14:rev="0"/>
                  </w14:lightRig>
                </w14:scene3d>
              </w:rPr>
              <w:t>.</w:t>
            </w:r>
            <w:r>
              <w:rPr>
                <w:rStyle w:val="Hyperlink"/>
                <w:noProof/>
                <w:highlight w:val="green"/>
                <w14:scene3d>
                  <w14:camera w14:prst="orthographicFront"/>
                  <w14:lightRig w14:rig="threePt" w14:dir="t">
                    <w14:rot w14:lat="0" w14:lon="0" w14:rev="0"/>
                  </w14:lightRig>
                </w14:scene3d>
              </w:rPr>
              <w:t>1</w:t>
            </w:r>
            <w:r>
              <w:rPr>
                <w:rStyle w:val="Hyperlink"/>
                <w:noProof/>
                <w14:scene3d>
                  <w14:camera w14:prst="orthographicFront"/>
                  <w14:lightRig w14:rig="threePt" w14:dir="t">
                    <w14:rot w14:lat="0" w14:lon="0" w14:rev="0"/>
                  </w14:lightRig>
                </w14:scene3d>
              </w:rPr>
              <w:t>.</w:t>
            </w:r>
            <w:r>
              <w:rPr>
                <w:rFonts w:eastAsiaTheme="minorEastAsia"/>
                <w:noProof/>
                <w:lang w:val="en-GB" w:eastAsia="en-GB" w:bidi="ar-SA"/>
              </w:rPr>
              <w:tab/>
            </w:r>
            <w:r>
              <w:rPr>
                <w:rStyle w:val="Hyperlink"/>
                <w:noProof/>
              </w:rPr>
              <w:t>Description des répondants</w:t>
            </w:r>
            <w:r>
              <w:rPr>
                <w:noProof/>
                <w:webHidden/>
              </w:rPr>
              <w:tab/>
            </w:r>
            <w:r>
              <w:rPr>
                <w:noProof/>
                <w:webHidden/>
              </w:rPr>
              <w:fldChar w:fldCharType="begin"/>
            </w:r>
            <w:r>
              <w:rPr>
                <w:noProof/>
                <w:webHidden/>
              </w:rPr>
              <w:instrText xml:space="preserve"> PAGEREF _Toc482714242 \h </w:instrText>
            </w:r>
            <w:r>
              <w:rPr>
                <w:noProof/>
                <w:webHidden/>
              </w:rPr>
            </w:r>
            <w:r>
              <w:rPr>
                <w:noProof/>
                <w:webHidden/>
              </w:rPr>
              <w:fldChar w:fldCharType="separate"/>
            </w:r>
            <w:r>
              <w:rPr>
                <w:noProof/>
                <w:webHidden/>
                <w:highlight w:val="green"/>
              </w:rPr>
              <w:t>3</w:t>
            </w:r>
            <w:r>
              <w:rPr>
                <w:noProof/>
                <w:webHidden/>
              </w:rPr>
              <w:fldChar w:fldCharType="end"/>
            </w:r>
          </w:hyperlink>
        </w:p>
        <w:p>
          <w:pPr>
            <w:pStyle w:val="TOC2"/>
            <w:rPr>
              <w:rFonts w:eastAsiaTheme="minorEastAsia"/>
              <w:noProof/>
              <w:lang w:val="en-GB" w:eastAsia="en-GB" w:bidi="ar-SA"/>
            </w:rPr>
          </w:pPr>
          <w:hyperlink w:anchor="_Toc482714243" w:history="1">
            <w:r>
              <w:rPr>
                <w:rStyle w:val="Hyperlink"/>
                <w:noProof/>
                <w:highlight w:val="green"/>
                <w14:scene3d>
                  <w14:camera w14:prst="orthographicFront"/>
                  <w14:lightRig w14:rig="threePt" w14:dir="t">
                    <w14:rot w14:lat="0" w14:lon="0" w14:rev="0"/>
                  </w14:lightRig>
                </w14:scene3d>
              </w:rPr>
              <w:t>2</w:t>
            </w:r>
            <w:r>
              <w:rPr>
                <w:rStyle w:val="Hyperlink"/>
                <w:noProof/>
                <w14:scene3d>
                  <w14:camera w14:prst="orthographicFront"/>
                  <w14:lightRig w14:rig="threePt" w14:dir="t">
                    <w14:rot w14:lat="0" w14:lon="0" w14:rev="0"/>
                  </w14:lightRig>
                </w14:scene3d>
              </w:rPr>
              <w:t>.</w:t>
            </w:r>
            <w:r>
              <w:rPr>
                <w:rStyle w:val="Hyperlink"/>
                <w:noProof/>
                <w:highlight w:val="green"/>
                <w14:scene3d>
                  <w14:camera w14:prst="orthographicFront"/>
                  <w14:lightRig w14:rig="threePt" w14:dir="t">
                    <w14:rot w14:lat="0" w14:lon="0" w14:rev="0"/>
                  </w14:lightRig>
                </w14:scene3d>
              </w:rPr>
              <w:t>2</w:t>
            </w:r>
            <w:r>
              <w:rPr>
                <w:rStyle w:val="Hyperlink"/>
                <w:noProof/>
                <w14:scene3d>
                  <w14:camera w14:prst="orthographicFront"/>
                  <w14:lightRig w14:rig="threePt" w14:dir="t">
                    <w14:rot w14:lat="0" w14:lon="0" w14:rev="0"/>
                  </w14:lightRig>
                </w14:scene3d>
              </w:rPr>
              <w:t>.</w:t>
            </w:r>
            <w:r>
              <w:rPr>
                <w:rFonts w:eastAsiaTheme="minorEastAsia"/>
                <w:noProof/>
                <w:lang w:val="en-GB" w:eastAsia="en-GB" w:bidi="ar-SA"/>
              </w:rPr>
              <w:tab/>
            </w:r>
            <w:r>
              <w:rPr>
                <w:rStyle w:val="Hyperlink"/>
                <w:noProof/>
              </w:rPr>
              <w:t>Analyse des réponses</w:t>
            </w:r>
            <w:r>
              <w:rPr>
                <w:noProof/>
                <w:webHidden/>
              </w:rPr>
              <w:tab/>
            </w:r>
            <w:r>
              <w:rPr>
                <w:noProof/>
                <w:webHidden/>
              </w:rPr>
              <w:fldChar w:fldCharType="begin"/>
            </w:r>
            <w:r>
              <w:rPr>
                <w:noProof/>
                <w:webHidden/>
              </w:rPr>
              <w:instrText xml:space="preserve"> PAGEREF _Toc482714243 \h </w:instrText>
            </w:r>
            <w:r>
              <w:rPr>
                <w:noProof/>
                <w:webHidden/>
              </w:rPr>
            </w:r>
            <w:r>
              <w:rPr>
                <w:noProof/>
                <w:webHidden/>
              </w:rPr>
              <w:fldChar w:fldCharType="separate"/>
            </w:r>
            <w:r>
              <w:rPr>
                <w:noProof/>
                <w:webHidden/>
                <w:highlight w:val="green"/>
              </w:rPr>
              <w:t>4</w:t>
            </w:r>
            <w:r>
              <w:rPr>
                <w:noProof/>
                <w:webHidden/>
              </w:rPr>
              <w:fldChar w:fldCharType="end"/>
            </w:r>
          </w:hyperlink>
        </w:p>
        <w:p>
          <w:pPr>
            <w:pStyle w:val="TOC1"/>
            <w:rPr>
              <w:rFonts w:eastAsiaTheme="minorEastAsia"/>
              <w:noProof/>
              <w:lang w:val="en-GB" w:eastAsia="en-GB" w:bidi="ar-SA"/>
            </w:rPr>
          </w:pPr>
          <w:hyperlink w:anchor="_Toc482714249" w:history="1">
            <w:r>
              <w:rPr>
                <w:rStyle w:val="Hyperlink"/>
                <w:noProof/>
                <w:highlight w:val="green"/>
              </w:rPr>
              <w:t>3</w:t>
            </w:r>
            <w:r>
              <w:rPr>
                <w:rStyle w:val="Hyperlink"/>
                <w:noProof/>
              </w:rPr>
              <w:t>.</w:t>
            </w:r>
            <w:r>
              <w:rPr>
                <w:rFonts w:eastAsiaTheme="minorEastAsia"/>
                <w:noProof/>
                <w:lang w:val="en-GB" w:eastAsia="en-GB" w:bidi="ar-SA"/>
              </w:rPr>
              <w:tab/>
            </w:r>
            <w:r>
              <w:rPr>
                <w:rStyle w:val="Hyperlink"/>
                <w:noProof/>
              </w:rPr>
              <w:t>Résultats des consultations ciblées</w:t>
            </w:r>
            <w:r>
              <w:rPr>
                <w:noProof/>
                <w:webHidden/>
              </w:rPr>
              <w:tab/>
            </w:r>
            <w:r>
              <w:rPr>
                <w:noProof/>
                <w:webHidden/>
              </w:rPr>
              <w:fldChar w:fldCharType="begin"/>
            </w:r>
            <w:r>
              <w:rPr>
                <w:noProof/>
                <w:webHidden/>
              </w:rPr>
              <w:instrText xml:space="preserve"> PAGEREF _Toc482714249 \h </w:instrText>
            </w:r>
            <w:r>
              <w:rPr>
                <w:noProof/>
                <w:webHidden/>
              </w:rPr>
            </w:r>
            <w:r>
              <w:rPr>
                <w:noProof/>
                <w:webHidden/>
              </w:rPr>
              <w:fldChar w:fldCharType="separate"/>
            </w:r>
            <w:r>
              <w:rPr>
                <w:noProof/>
                <w:webHidden/>
                <w:highlight w:val="green"/>
              </w:rPr>
              <w:t>11</w:t>
            </w:r>
            <w:r>
              <w:rPr>
                <w:noProof/>
                <w:webHidden/>
              </w:rPr>
              <w:fldChar w:fldCharType="end"/>
            </w:r>
          </w:hyperlink>
        </w:p>
        <w:p>
          <w:pPr>
            <w:pStyle w:val="TOC1"/>
            <w:rPr>
              <w:rFonts w:eastAsiaTheme="minorEastAsia"/>
              <w:noProof/>
              <w:lang w:val="en-GB" w:eastAsia="en-GB" w:bidi="ar-SA"/>
            </w:rPr>
          </w:pPr>
          <w:hyperlink w:anchor="_Toc482714250" w:history="1">
            <w:r>
              <w:rPr>
                <w:rStyle w:val="Hyperlink"/>
                <w:noProof/>
                <w:highlight w:val="green"/>
              </w:rPr>
              <w:t>4</w:t>
            </w:r>
            <w:r>
              <w:rPr>
                <w:rStyle w:val="Hyperlink"/>
                <w:noProof/>
              </w:rPr>
              <w:t>.</w:t>
            </w:r>
            <w:r>
              <w:rPr>
                <w:rFonts w:eastAsiaTheme="minorEastAsia"/>
                <w:noProof/>
                <w:lang w:val="en-GB" w:eastAsia="en-GB" w:bidi="ar-SA"/>
              </w:rPr>
              <w:tab/>
            </w:r>
            <w:r>
              <w:rPr>
                <w:rStyle w:val="Hyperlink"/>
                <w:noProof/>
              </w:rPr>
              <w:t>Comment les résultats des consultations ont-ils été utilisés?</w:t>
            </w:r>
            <w:r>
              <w:rPr>
                <w:noProof/>
                <w:webHidden/>
              </w:rPr>
              <w:tab/>
            </w:r>
            <w:r>
              <w:rPr>
                <w:noProof/>
                <w:webHidden/>
              </w:rPr>
              <w:fldChar w:fldCharType="begin"/>
            </w:r>
            <w:r>
              <w:rPr>
                <w:noProof/>
                <w:webHidden/>
              </w:rPr>
              <w:instrText xml:space="preserve"> PAGEREF _Toc482714250 \h </w:instrText>
            </w:r>
            <w:r>
              <w:rPr>
                <w:noProof/>
                <w:webHidden/>
              </w:rPr>
            </w:r>
            <w:r>
              <w:rPr>
                <w:noProof/>
                <w:webHidden/>
              </w:rPr>
              <w:fldChar w:fldCharType="separate"/>
            </w:r>
            <w:r>
              <w:rPr>
                <w:noProof/>
                <w:webHidden/>
                <w:highlight w:val="green"/>
              </w:rPr>
              <w:t>12</w:t>
            </w:r>
            <w:r>
              <w:rPr>
                <w:noProof/>
                <w:webHidden/>
              </w:rPr>
              <w:fldChar w:fldCharType="end"/>
            </w:r>
          </w:hyperlink>
        </w:p>
        <w:p>
          <w:pPr>
            <w:rPr>
              <w:noProof/>
            </w:rPr>
          </w:pPr>
          <w:r>
            <w:rPr>
              <w:b/>
              <w:bCs/>
              <w:noProof/>
            </w:rPr>
            <w:fldChar w:fldCharType="end"/>
          </w:r>
        </w:p>
      </w:sdtContent>
    </w:sdt>
    <w:p>
      <w:pPr>
        <w:rPr>
          <w:noProof/>
        </w:rPr>
      </w:pPr>
      <w:r>
        <w:rPr>
          <w:noProof/>
        </w:rPr>
        <w:br w:type="page"/>
      </w:r>
    </w:p>
    <w:p>
      <w:pPr>
        <w:pStyle w:val="Heading1"/>
        <w:rPr>
          <w:noProof/>
        </w:rPr>
      </w:pPr>
      <w:bookmarkStart w:id="2" w:name="_Toc480284790"/>
      <w:bookmarkStart w:id="3" w:name="_Toc482714240"/>
      <w:bookmarkStart w:id="4" w:name="_Toc468447082"/>
      <w:bookmarkStart w:id="5" w:name="_Toc468455495"/>
      <w:bookmarkStart w:id="6" w:name="_Toc468456618"/>
      <w:bookmarkStart w:id="7" w:name="_Toc468895757"/>
      <w:bookmarkStart w:id="8" w:name="_Toc468898756"/>
      <w:bookmarkStart w:id="9" w:name="_Toc468899029"/>
      <w:bookmarkStart w:id="10" w:name="_Toc468973766"/>
      <w:bookmarkStart w:id="11" w:name="_Toc468975141"/>
      <w:bookmarkStart w:id="12" w:name="_Toc468975399"/>
      <w:bookmarkStart w:id="13" w:name="_Toc469047330"/>
      <w:bookmarkStart w:id="14" w:name="_Toc469062279"/>
      <w:bookmarkStart w:id="15" w:name="_Toc469062688"/>
      <w:bookmarkStart w:id="16" w:name="_Toc469071773"/>
      <w:bookmarkStart w:id="17" w:name="_Toc469319831"/>
      <w:bookmarkStart w:id="18" w:name="_Toc469324689"/>
      <w:bookmarkStart w:id="19" w:name="_Toc469332470"/>
      <w:bookmarkStart w:id="20" w:name="_Toc469335150"/>
      <w:bookmarkStart w:id="21" w:name="_Toc469399774"/>
      <w:bookmarkStart w:id="22" w:name="_Toc469401883"/>
      <w:bookmarkStart w:id="23" w:name="_Toc469406317"/>
      <w:bookmarkStart w:id="24" w:name="_Toc474333302"/>
      <w:bookmarkStart w:id="25" w:name="_Toc474339057"/>
      <w:bookmarkStart w:id="26" w:name="_Toc474509373"/>
      <w:bookmarkStart w:id="27" w:name="_Toc474762683"/>
      <w:bookmarkStart w:id="28" w:name="_Toc474766244"/>
      <w:bookmarkStart w:id="29" w:name="_Toc474770430"/>
      <w:bookmarkStart w:id="30" w:name="_Toc474773706"/>
      <w:r>
        <w:rPr>
          <w:noProof/>
        </w:rPr>
        <w:t>Introduction</w:t>
      </w:r>
      <w:bookmarkEnd w:id="2"/>
      <w:bookmarkEnd w:id="3"/>
    </w:p>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p>
      <w:pPr>
        <w:jc w:val="both"/>
        <w:rPr>
          <w:noProof/>
        </w:rPr>
      </w:pPr>
      <w:r>
        <w:rPr>
          <w:noProof/>
        </w:rPr>
        <w:t xml:space="preserve">La présente synthèse dresse l’inventaire de toutes les activités de consultation accompagnant l’élaboration de la proposition visant à introduire un outil d’information sur le marché unique. </w:t>
      </w:r>
    </w:p>
    <w:p>
      <w:pPr>
        <w:jc w:val="both"/>
        <w:rPr>
          <w:noProof/>
        </w:rPr>
      </w:pPr>
      <w:r>
        <w:rPr>
          <w:noProof/>
        </w:rPr>
        <w:t xml:space="preserve">La consultation publique relative à la proposition a eu lieu entre le </w:t>
      </w:r>
      <w:r>
        <w:rPr>
          <w:noProof/>
          <w:highlight w:val="green"/>
        </w:rPr>
        <w:t>2</w:t>
      </w:r>
      <w:r>
        <w:rPr>
          <w:noProof/>
        </w:rPr>
        <w:t xml:space="preserve"> août et le </w:t>
      </w:r>
      <w:r>
        <w:rPr>
          <w:noProof/>
          <w:highlight w:val="green"/>
        </w:rPr>
        <w:t>7</w:t>
      </w:r>
      <w:r>
        <w:rPr>
          <w:noProof/>
        </w:rPr>
        <w:t> novembre </w:t>
      </w:r>
      <w:r>
        <w:rPr>
          <w:noProof/>
          <w:highlight w:val="green"/>
        </w:rPr>
        <w:t>2016</w:t>
      </w:r>
      <w:r>
        <w:rPr>
          <w:noProof/>
        </w:rPr>
        <w:t xml:space="preserve">. D’autres consultations ciblées se sont tenues, en </w:t>
      </w:r>
      <w:r>
        <w:rPr>
          <w:noProof/>
          <w:highlight w:val="green"/>
        </w:rPr>
        <w:t>2016</w:t>
      </w:r>
      <w:r>
        <w:rPr>
          <w:noProof/>
        </w:rPr>
        <w:t xml:space="preserve">, avec les représentants d’entreprises suivants: BusinessEurope, EuroCommerce, UEAPME et PostEurop. La question a également été examinée avec les États membres lors de plusieurs réunions de groupes de travail au Conseil en </w:t>
      </w:r>
      <w:r>
        <w:rPr>
          <w:noProof/>
          <w:highlight w:val="green"/>
        </w:rPr>
        <w:t>2015</w:t>
      </w:r>
      <w:r>
        <w:rPr>
          <w:noProof/>
        </w:rPr>
        <w:t xml:space="preserve"> et en </w:t>
      </w:r>
      <w:r>
        <w:rPr>
          <w:noProof/>
          <w:highlight w:val="green"/>
        </w:rPr>
        <w:t>2016</w:t>
      </w:r>
      <w:r>
        <w:rPr>
          <w:noProof/>
        </w:rPr>
        <w:t>.</w:t>
      </w:r>
    </w:p>
    <w:p>
      <w:pPr>
        <w:jc w:val="both"/>
        <w:rPr>
          <w:noProof/>
        </w:rPr>
      </w:pPr>
      <w:r>
        <w:rPr>
          <w:noProof/>
        </w:rPr>
        <w:t>Les résultats de ces consultations ont été utilisés pour élaborer la proposition et l’analyse d’impact qui l’accompagne.</w:t>
      </w:r>
    </w:p>
    <w:p>
      <w:pPr>
        <w:pStyle w:val="Heading1"/>
        <w:rPr>
          <w:noProof/>
        </w:rPr>
      </w:pPr>
      <w:bookmarkStart w:id="31" w:name="_Toc467168150"/>
      <w:bookmarkStart w:id="32" w:name="_Toc467857894"/>
      <w:bookmarkStart w:id="33" w:name="_Toc468290773"/>
      <w:bookmarkStart w:id="34" w:name="_Toc468376267"/>
      <w:bookmarkStart w:id="35" w:name="_Toc468382185"/>
      <w:bookmarkStart w:id="36" w:name="_Toc468382253"/>
      <w:bookmarkStart w:id="37" w:name="_Toc468447115"/>
      <w:bookmarkStart w:id="38" w:name="_Toc468455536"/>
      <w:bookmarkStart w:id="39" w:name="_Toc468456659"/>
      <w:bookmarkStart w:id="40" w:name="_Toc468895791"/>
      <w:bookmarkStart w:id="41" w:name="_Toc468898791"/>
      <w:bookmarkStart w:id="42" w:name="_Toc468899063"/>
      <w:bookmarkStart w:id="43" w:name="_Toc468973801"/>
      <w:bookmarkStart w:id="44" w:name="_Toc468975229"/>
      <w:bookmarkStart w:id="45" w:name="_Toc468975525"/>
      <w:bookmarkStart w:id="46" w:name="_Toc469047456"/>
      <w:bookmarkStart w:id="47" w:name="_Toc469047906"/>
      <w:bookmarkStart w:id="48" w:name="_Toc469061120"/>
      <w:bookmarkStart w:id="49" w:name="_Toc469062503"/>
      <w:bookmarkStart w:id="50" w:name="_Toc469071011"/>
      <w:bookmarkStart w:id="51" w:name="_Toc469071961"/>
      <w:bookmarkStart w:id="52" w:name="_Toc469319877"/>
      <w:bookmarkStart w:id="53" w:name="_Toc469324821"/>
      <w:bookmarkStart w:id="54" w:name="_Toc469332602"/>
      <w:bookmarkStart w:id="55" w:name="_Toc469335282"/>
      <w:bookmarkStart w:id="56" w:name="_Toc469399803"/>
      <w:bookmarkStart w:id="57" w:name="_Toc469401916"/>
      <w:bookmarkStart w:id="58" w:name="_Toc469406348"/>
      <w:bookmarkStart w:id="59" w:name="_Toc474333336"/>
      <w:bookmarkStart w:id="60" w:name="_Toc474339100"/>
      <w:bookmarkStart w:id="61" w:name="_Toc474509415"/>
      <w:bookmarkStart w:id="62" w:name="_Toc474762729"/>
      <w:bookmarkStart w:id="63" w:name="_Toc474766290"/>
      <w:bookmarkStart w:id="64" w:name="_Toc474770476"/>
      <w:bookmarkStart w:id="65" w:name="_Toc474773752"/>
      <w:bookmarkStart w:id="66" w:name="_Toc480284791"/>
      <w:bookmarkStart w:id="67" w:name="_Toc482714241"/>
      <w:r>
        <w:rPr>
          <w:noProof/>
        </w:rPr>
        <w:t xml:space="preserve">Résultats des </w:t>
      </w:r>
      <w:bookmarkEnd w:id="31"/>
      <w:bookmarkEnd w:id="32"/>
      <w:bookmarkEnd w:id="33"/>
      <w:bookmarkEnd w:id="34"/>
      <w:bookmarkEnd w:id="35"/>
      <w:bookmarkEnd w:id="36"/>
      <w:bookmarkEnd w:id="37"/>
      <w:r>
        <w:rPr>
          <w:noProof/>
        </w:rPr>
        <w:t>consultations publiques</w:t>
      </w:r>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p>
    <w:p>
      <w:pPr>
        <w:jc w:val="both"/>
        <w:rPr>
          <w:noProof/>
        </w:rPr>
      </w:pPr>
      <w:r>
        <w:rPr>
          <w:noProof/>
        </w:rPr>
        <w:t>Les consultations publiques en ligne portant sur cette initiative ont été annoncées sur la page «Votre point de vue sur l’Europe»</w:t>
      </w:r>
      <w:r>
        <w:rPr>
          <w:rStyle w:val="FootnoteReference"/>
          <w:noProof/>
        </w:rPr>
        <w:footnoteReference w:id="1"/>
      </w:r>
      <w:r>
        <w:rPr>
          <w:noProof/>
        </w:rPr>
        <w:t xml:space="preserve">, ont été menées au moyen de l’outil de consultation EUSurvey et ont duré </w:t>
      </w:r>
      <w:r>
        <w:rPr>
          <w:noProof/>
          <w:highlight w:val="green"/>
        </w:rPr>
        <w:t>14</w:t>
      </w:r>
      <w:r>
        <w:rPr>
          <w:noProof/>
        </w:rPr>
        <w:t xml:space="preserve"> semaines. Elles ont consisté en </w:t>
      </w:r>
      <w:r>
        <w:rPr>
          <w:noProof/>
          <w:highlight w:val="green"/>
        </w:rPr>
        <w:t>3</w:t>
      </w:r>
      <w:r>
        <w:rPr>
          <w:noProof/>
        </w:rPr>
        <w:t xml:space="preserve"> questionnaires ciblés adressés aux citoyens, aux entreprises et aux États membres, et disponibles en </w:t>
      </w:r>
      <w:r>
        <w:rPr>
          <w:noProof/>
          <w:highlight w:val="green"/>
        </w:rPr>
        <w:t>3</w:t>
      </w:r>
      <w:r>
        <w:rPr>
          <w:noProof/>
        </w:rPr>
        <w:t xml:space="preserve"> langues: allemand, anglais et français. </w:t>
      </w:r>
      <w:r>
        <w:rPr>
          <w:noProof/>
          <w:highlight w:val="green"/>
        </w:rPr>
        <w:t>5</w:t>
      </w:r>
      <w:r>
        <w:rPr>
          <w:noProof/>
        </w:rPr>
        <w:t xml:space="preserve"> contributions prenant uniquement la forme de documents de prises de position ont été envoyées par courrier</w:t>
      </w:r>
      <w:r>
        <w:rPr>
          <w:rStyle w:val="FootnoteReference"/>
          <w:noProof/>
        </w:rPr>
        <w:footnoteReference w:id="2"/>
      </w:r>
      <w:r>
        <w:rPr>
          <w:noProof/>
        </w:rPr>
        <w:t>. Les contributions à la consultation publique sont volontaires et ne représentent que le point de vue de leur auteur. Par conséquent, elles ne sauraient être considérées comme étant représentatives de l’Union européenne (UE) dans son ensemble d’un point de vue statistique.</w:t>
      </w:r>
    </w:p>
    <w:p>
      <w:pPr>
        <w:pStyle w:val="Heading2"/>
        <w:rPr>
          <w:noProof/>
        </w:rPr>
      </w:pPr>
      <w:bookmarkStart w:id="68" w:name="_Toc467168151"/>
      <w:bookmarkStart w:id="69" w:name="_Toc467857895"/>
      <w:bookmarkStart w:id="70" w:name="_Toc468290774"/>
      <w:bookmarkStart w:id="71" w:name="_Toc468376268"/>
      <w:bookmarkStart w:id="72" w:name="_Toc468382186"/>
      <w:bookmarkStart w:id="73" w:name="_Toc468382254"/>
      <w:bookmarkStart w:id="74" w:name="_Toc468447116"/>
      <w:bookmarkStart w:id="75" w:name="_Toc480284792"/>
      <w:bookmarkStart w:id="76" w:name="_Toc482714242"/>
      <w:r>
        <w:rPr>
          <w:noProof/>
        </w:rPr>
        <w:t>Description des répondants</w:t>
      </w:r>
      <w:bookmarkEnd w:id="68"/>
      <w:bookmarkEnd w:id="69"/>
      <w:bookmarkEnd w:id="70"/>
      <w:bookmarkEnd w:id="71"/>
      <w:bookmarkEnd w:id="72"/>
      <w:bookmarkEnd w:id="73"/>
      <w:bookmarkEnd w:id="74"/>
      <w:bookmarkEnd w:id="75"/>
      <w:bookmarkEnd w:id="76"/>
    </w:p>
    <w:p>
      <w:pPr>
        <w:jc w:val="both"/>
        <w:rPr>
          <w:noProof/>
        </w:rPr>
      </w:pPr>
      <w:r>
        <w:rPr>
          <w:noProof/>
        </w:rPr>
        <w:t xml:space="preserve">Les réponses sont classées sur la base d’une auto-identification par le répondant. À la fin de la période de consultation, la Commission avait reçu </w:t>
      </w:r>
      <w:r>
        <w:rPr>
          <w:noProof/>
          <w:highlight w:val="green"/>
        </w:rPr>
        <w:t>71</w:t>
      </w:r>
      <w:r>
        <w:rPr>
          <w:noProof/>
        </w:rPr>
        <w:t xml:space="preserve"> réponses: </w:t>
      </w:r>
      <w:r>
        <w:rPr>
          <w:noProof/>
          <w:highlight w:val="green"/>
        </w:rPr>
        <w:t>44</w:t>
      </w:r>
      <w:r>
        <w:rPr>
          <w:noProof/>
        </w:rPr>
        <w:t xml:space="preserve"> réponses provenant d’entreprises (dont </w:t>
      </w:r>
      <w:r>
        <w:rPr>
          <w:noProof/>
          <w:highlight w:val="green"/>
        </w:rPr>
        <w:t>31</w:t>
      </w:r>
      <w:r>
        <w:rPr>
          <w:noProof/>
        </w:rPr>
        <w:t xml:space="preserve"> associations et </w:t>
      </w:r>
      <w:r>
        <w:rPr>
          <w:noProof/>
          <w:highlight w:val="green"/>
        </w:rPr>
        <w:t>13</w:t>
      </w:r>
      <w:r>
        <w:rPr>
          <w:noProof/>
        </w:rPr>
        <w:t xml:space="preserve"> entreprises individuelles), </w:t>
      </w:r>
      <w:r>
        <w:rPr>
          <w:noProof/>
          <w:highlight w:val="green"/>
        </w:rPr>
        <w:t>16</w:t>
      </w:r>
      <w:r>
        <w:rPr>
          <w:noProof/>
        </w:rPr>
        <w:t xml:space="preserve"> provenant de citoyens (dont </w:t>
      </w:r>
      <w:r>
        <w:rPr>
          <w:noProof/>
          <w:highlight w:val="green"/>
        </w:rPr>
        <w:t>4</w:t>
      </w:r>
      <w:r>
        <w:rPr>
          <w:noProof/>
        </w:rPr>
        <w:t xml:space="preserve"> d’organisations de consommateurs, de la société civile ou d’organisations non gouvernementales en Grèce, en Italie, au Portugal et en Espagne) et </w:t>
      </w:r>
      <w:r>
        <w:rPr>
          <w:noProof/>
          <w:highlight w:val="green"/>
        </w:rPr>
        <w:t>11</w:t>
      </w:r>
      <w:r>
        <w:rPr>
          <w:noProof/>
        </w:rPr>
        <w:t xml:space="preserve"> provenant d’autorités représentant </w:t>
      </w:r>
      <w:r>
        <w:rPr>
          <w:noProof/>
          <w:highlight w:val="green"/>
        </w:rPr>
        <w:t>10</w:t>
      </w:r>
      <w:r>
        <w:rPr>
          <w:noProof/>
        </w:rPr>
        <w:t> États membres</w:t>
      </w:r>
      <w:r>
        <w:rPr>
          <w:rStyle w:val="FootnoteReference"/>
          <w:noProof/>
        </w:rPr>
        <w:footnoteReference w:id="3"/>
      </w:r>
      <w:r>
        <w:rPr>
          <w:noProof/>
        </w:rPr>
        <w:t xml:space="preserve"> (dont </w:t>
      </w:r>
      <w:r>
        <w:rPr>
          <w:noProof/>
          <w:highlight w:val="green"/>
        </w:rPr>
        <w:t>9</w:t>
      </w:r>
      <w:r>
        <w:rPr>
          <w:noProof/>
        </w:rPr>
        <w:t xml:space="preserve"> au niveau national et </w:t>
      </w:r>
      <w:r>
        <w:rPr>
          <w:noProof/>
          <w:highlight w:val="green"/>
        </w:rPr>
        <w:t>2</w:t>
      </w:r>
      <w:r>
        <w:rPr>
          <w:noProof/>
        </w:rPr>
        <w:t xml:space="preserve"> au niveau régional). Les réponses provenaient de </w:t>
      </w:r>
      <w:r>
        <w:rPr>
          <w:noProof/>
          <w:highlight w:val="green"/>
        </w:rPr>
        <w:t>18</w:t>
      </w:r>
      <w:r>
        <w:rPr>
          <w:noProof/>
        </w:rPr>
        <w:t xml:space="preserve"> États membres de l’UE, de </w:t>
      </w:r>
      <w:r>
        <w:rPr>
          <w:noProof/>
          <w:highlight w:val="green"/>
        </w:rPr>
        <w:t>1</w:t>
      </w:r>
      <w:r>
        <w:rPr>
          <w:noProof/>
        </w:rPr>
        <w:t xml:space="preserve"> pays de l’EEE et de </w:t>
      </w:r>
      <w:r>
        <w:rPr>
          <w:noProof/>
          <w:highlight w:val="green"/>
        </w:rPr>
        <w:t>1</w:t>
      </w:r>
      <w:r>
        <w:rPr>
          <w:noProof/>
        </w:rPr>
        <w:t xml:space="preserve"> pays non européen. La répartition géographique des réponses est représentée à la figure </w:t>
      </w:r>
      <w:r>
        <w:rPr>
          <w:noProof/>
          <w:highlight w:val="green"/>
        </w:rPr>
        <w:t>1</w:t>
      </w:r>
      <w:r>
        <w:rPr>
          <w:noProof/>
        </w:rPr>
        <w:t>.</w:t>
      </w:r>
    </w:p>
    <w:p>
      <w:pPr>
        <w:jc w:val="both"/>
        <w:rPr>
          <w:noProof/>
        </w:rPr>
      </w:pPr>
      <w:r>
        <w:rPr>
          <w:noProof/>
        </w:rPr>
        <w:t xml:space="preserve">Parmi les </w:t>
      </w:r>
      <w:r>
        <w:rPr>
          <w:noProof/>
          <w:highlight w:val="green"/>
        </w:rPr>
        <w:t>13</w:t>
      </w:r>
      <w:r>
        <w:rPr>
          <w:noProof/>
        </w:rPr>
        <w:t xml:space="preserve"> entreprises individuelles ayant répondu, </w:t>
      </w:r>
      <w:r>
        <w:rPr>
          <w:noProof/>
          <w:highlight w:val="green"/>
        </w:rPr>
        <w:t>4</w:t>
      </w:r>
      <w:r>
        <w:rPr>
          <w:noProof/>
        </w:rPr>
        <w:t xml:space="preserve"> étaient des micro-entreprises, </w:t>
      </w:r>
      <w:r>
        <w:rPr>
          <w:noProof/>
          <w:highlight w:val="green"/>
        </w:rPr>
        <w:t>3</w:t>
      </w:r>
      <w:r>
        <w:rPr>
          <w:noProof/>
        </w:rPr>
        <w:t xml:space="preserve"> des petites entreprises, </w:t>
      </w:r>
      <w:r>
        <w:rPr>
          <w:noProof/>
          <w:highlight w:val="green"/>
        </w:rPr>
        <w:t>2</w:t>
      </w:r>
      <w:r>
        <w:rPr>
          <w:noProof/>
        </w:rPr>
        <w:t xml:space="preserve"> des entreprises moyennes et </w:t>
      </w:r>
      <w:r>
        <w:rPr>
          <w:noProof/>
          <w:highlight w:val="green"/>
        </w:rPr>
        <w:t>4</w:t>
      </w:r>
      <w:r>
        <w:rPr>
          <w:noProof/>
        </w:rPr>
        <w:t xml:space="preserve"> des grandes entreprises. Toutes les entreprises étaient situées en Allemagne, sauf les grandes, basées en Espagne, en France, en Pologne et au Portugal. </w:t>
      </w:r>
      <w:r>
        <w:rPr>
          <w:noProof/>
          <w:highlight w:val="green"/>
        </w:rPr>
        <w:t>5</w:t>
      </w:r>
      <w:r>
        <w:rPr>
          <w:noProof/>
        </w:rPr>
        <w:t xml:space="preserve"> entreprises étaient présentes dans l’industrie manufacturière, </w:t>
      </w:r>
      <w:r>
        <w:rPr>
          <w:noProof/>
          <w:highlight w:val="green"/>
        </w:rPr>
        <w:t>2</w:t>
      </w:r>
      <w:r>
        <w:rPr>
          <w:noProof/>
        </w:rPr>
        <w:t xml:space="preserve"> dans le commerce de gros, </w:t>
      </w:r>
      <w:r>
        <w:rPr>
          <w:noProof/>
          <w:highlight w:val="green"/>
        </w:rPr>
        <w:t>2</w:t>
      </w:r>
      <w:r>
        <w:rPr>
          <w:noProof/>
        </w:rPr>
        <w:t xml:space="preserve"> dans le secteur du transport, </w:t>
      </w:r>
      <w:r>
        <w:rPr>
          <w:noProof/>
          <w:highlight w:val="green"/>
        </w:rPr>
        <w:t>2</w:t>
      </w:r>
      <w:r>
        <w:rPr>
          <w:noProof/>
        </w:rPr>
        <w:t xml:space="preserve"> dans le secteur des activités professionnelles, </w:t>
      </w:r>
      <w:r>
        <w:rPr>
          <w:noProof/>
          <w:highlight w:val="green"/>
        </w:rPr>
        <w:t>1</w:t>
      </w:r>
      <w:r>
        <w:rPr>
          <w:noProof/>
        </w:rPr>
        <w:t xml:space="preserve"> dans le secteur administratif et </w:t>
      </w:r>
      <w:r>
        <w:rPr>
          <w:noProof/>
          <w:highlight w:val="green"/>
        </w:rPr>
        <w:t>1</w:t>
      </w:r>
      <w:r>
        <w:rPr>
          <w:noProof/>
        </w:rPr>
        <w:t xml:space="preserve"> dans le secteur des technologies de l’information. </w:t>
      </w:r>
      <w:r>
        <w:rPr>
          <w:noProof/>
          <w:highlight w:val="green"/>
        </w:rPr>
        <w:t>3</w:t>
      </w:r>
      <w:r>
        <w:rPr>
          <w:noProof/>
        </w:rPr>
        <w:t xml:space="preserve"> des </w:t>
      </w:r>
      <w:r>
        <w:rPr>
          <w:noProof/>
          <w:highlight w:val="green"/>
        </w:rPr>
        <w:t>4</w:t>
      </w:r>
      <w:r>
        <w:rPr>
          <w:noProof/>
        </w:rPr>
        <w:t xml:space="preserve"> micro-entreprises exportaient dans </w:t>
      </w:r>
      <w:r>
        <w:rPr>
          <w:noProof/>
          <w:highlight w:val="green"/>
        </w:rPr>
        <w:t>3</w:t>
      </w:r>
      <w:r>
        <w:rPr>
          <w:noProof/>
        </w:rPr>
        <w:t xml:space="preserve"> autres États membres de l’UE, toutes les petites entreprises exportaient dans </w:t>
      </w:r>
      <w:r>
        <w:rPr>
          <w:noProof/>
          <w:highlight w:val="green"/>
        </w:rPr>
        <w:t>1</w:t>
      </w:r>
      <w:r>
        <w:rPr>
          <w:noProof/>
        </w:rPr>
        <w:t xml:space="preserve"> à </w:t>
      </w:r>
      <w:r>
        <w:rPr>
          <w:noProof/>
          <w:highlight w:val="green"/>
        </w:rPr>
        <w:t>7</w:t>
      </w:r>
      <w:r>
        <w:rPr>
          <w:noProof/>
        </w:rPr>
        <w:t xml:space="preserve"> États membres de l’UE, toutes les entreprises moyennes et les grandes entreprises sauf </w:t>
      </w:r>
      <w:r>
        <w:rPr>
          <w:noProof/>
          <w:highlight w:val="green"/>
        </w:rPr>
        <w:t>1</w:t>
      </w:r>
      <w:r>
        <w:rPr>
          <w:noProof/>
        </w:rPr>
        <w:t xml:space="preserve"> exportaient jusque dans </w:t>
      </w:r>
      <w:r>
        <w:rPr>
          <w:noProof/>
          <w:highlight w:val="green"/>
        </w:rPr>
        <w:t>26</w:t>
      </w:r>
      <w:r>
        <w:rPr>
          <w:noProof/>
        </w:rPr>
        <w:t> États membres de l’UE.</w:t>
      </w:r>
    </w:p>
    <w:p>
      <w:pPr>
        <w:jc w:val="both"/>
        <w:rPr>
          <w:noProof/>
        </w:rPr>
      </w:pPr>
      <w:r>
        <w:rPr>
          <w:noProof/>
        </w:rPr>
        <w:t xml:space="preserve">Parmi les </w:t>
      </w:r>
      <w:r>
        <w:rPr>
          <w:noProof/>
          <w:highlight w:val="green"/>
        </w:rPr>
        <w:t>31</w:t>
      </w:r>
      <w:r>
        <w:rPr>
          <w:noProof/>
        </w:rPr>
        <w:t xml:space="preserve"> associations, </w:t>
      </w:r>
      <w:r>
        <w:rPr>
          <w:noProof/>
          <w:highlight w:val="green"/>
        </w:rPr>
        <w:t>9</w:t>
      </w:r>
      <w:r>
        <w:rPr>
          <w:noProof/>
        </w:rPr>
        <w:t xml:space="preserve"> représentent uniquement des PME (</w:t>
      </w:r>
      <w:r>
        <w:rPr>
          <w:noProof/>
          <w:highlight w:val="green"/>
        </w:rPr>
        <w:t>1</w:t>
      </w:r>
      <w:r>
        <w:rPr>
          <w:noProof/>
        </w:rPr>
        <w:t xml:space="preserve"> compte </w:t>
      </w:r>
      <w:r>
        <w:rPr>
          <w:noProof/>
          <w:highlight w:val="green"/>
        </w:rPr>
        <w:t>1</w:t>
      </w:r>
      <w:r>
        <w:rPr>
          <w:noProof/>
        </w:rPr>
        <w:t xml:space="preserve"> million de membres, </w:t>
      </w:r>
      <w:r>
        <w:rPr>
          <w:noProof/>
          <w:highlight w:val="green"/>
        </w:rPr>
        <w:t>1</w:t>
      </w:r>
      <w:r>
        <w:rPr>
          <w:noProof/>
        </w:rPr>
        <w:t xml:space="preserve"> autre </w:t>
      </w:r>
      <w:r>
        <w:rPr>
          <w:noProof/>
          <w:highlight w:val="green"/>
        </w:rPr>
        <w:t>450</w:t>
      </w:r>
      <w:r>
        <w:rPr>
          <w:noProof/>
        </w:rPr>
        <w:t> </w:t>
      </w:r>
      <w:r>
        <w:rPr>
          <w:noProof/>
          <w:highlight w:val="green"/>
        </w:rPr>
        <w:t>000</w:t>
      </w:r>
      <w:r>
        <w:rPr>
          <w:noProof/>
        </w:rPr>
        <w:t xml:space="preserve"> membres et le reste moins de </w:t>
      </w:r>
      <w:r>
        <w:rPr>
          <w:noProof/>
          <w:highlight w:val="green"/>
        </w:rPr>
        <w:t>120</w:t>
      </w:r>
      <w:r>
        <w:rPr>
          <w:noProof/>
        </w:rPr>
        <w:t> </w:t>
      </w:r>
      <w:r>
        <w:rPr>
          <w:noProof/>
          <w:highlight w:val="green"/>
        </w:rPr>
        <w:t>000</w:t>
      </w:r>
      <w:r>
        <w:rPr>
          <w:noProof/>
        </w:rPr>
        <w:t xml:space="preserve"> membres), et </w:t>
      </w:r>
      <w:r>
        <w:rPr>
          <w:noProof/>
          <w:highlight w:val="green"/>
        </w:rPr>
        <w:t>22</w:t>
      </w:r>
      <w:r>
        <w:rPr>
          <w:noProof/>
        </w:rPr>
        <w:t xml:space="preserve"> tous les types d’entreprises (</w:t>
      </w:r>
      <w:r>
        <w:rPr>
          <w:noProof/>
          <w:highlight w:val="green"/>
        </w:rPr>
        <w:t>1</w:t>
      </w:r>
      <w:r>
        <w:rPr>
          <w:noProof/>
        </w:rPr>
        <w:t xml:space="preserve"> compte </w:t>
      </w:r>
      <w:r>
        <w:rPr>
          <w:noProof/>
          <w:highlight w:val="green"/>
        </w:rPr>
        <w:t>200</w:t>
      </w:r>
      <w:r>
        <w:rPr>
          <w:noProof/>
        </w:rPr>
        <w:t> </w:t>
      </w:r>
      <w:r>
        <w:rPr>
          <w:noProof/>
          <w:highlight w:val="green"/>
        </w:rPr>
        <w:t>000</w:t>
      </w:r>
      <w:r>
        <w:rPr>
          <w:noProof/>
        </w:rPr>
        <w:t xml:space="preserve"> membres, </w:t>
      </w:r>
      <w:r>
        <w:rPr>
          <w:noProof/>
          <w:highlight w:val="green"/>
        </w:rPr>
        <w:t>3</w:t>
      </w:r>
      <w:r>
        <w:rPr>
          <w:noProof/>
        </w:rPr>
        <w:t xml:space="preserve"> entre </w:t>
      </w:r>
      <w:r>
        <w:rPr>
          <w:noProof/>
          <w:highlight w:val="green"/>
        </w:rPr>
        <w:t>200</w:t>
      </w:r>
      <w:r>
        <w:rPr>
          <w:noProof/>
        </w:rPr>
        <w:t> </w:t>
      </w:r>
      <w:r>
        <w:rPr>
          <w:noProof/>
          <w:highlight w:val="green"/>
        </w:rPr>
        <w:t>000</w:t>
      </w:r>
      <w:r>
        <w:rPr>
          <w:noProof/>
        </w:rPr>
        <w:t xml:space="preserve"> et </w:t>
      </w:r>
      <w:r>
        <w:rPr>
          <w:noProof/>
          <w:highlight w:val="green"/>
        </w:rPr>
        <w:t>300</w:t>
      </w:r>
      <w:r>
        <w:rPr>
          <w:noProof/>
        </w:rPr>
        <w:t> </w:t>
      </w:r>
      <w:r>
        <w:rPr>
          <w:noProof/>
          <w:highlight w:val="green"/>
        </w:rPr>
        <w:t>000</w:t>
      </w:r>
      <w:r>
        <w:rPr>
          <w:noProof/>
        </w:rPr>
        <w:t xml:space="preserve"> membres et le reste moins de </w:t>
      </w:r>
      <w:r>
        <w:rPr>
          <w:noProof/>
          <w:highlight w:val="green"/>
        </w:rPr>
        <w:t>20</w:t>
      </w:r>
      <w:r>
        <w:rPr>
          <w:noProof/>
        </w:rPr>
        <w:t> </w:t>
      </w:r>
      <w:r>
        <w:rPr>
          <w:noProof/>
          <w:highlight w:val="green"/>
        </w:rPr>
        <w:t>000</w:t>
      </w:r>
      <w:r>
        <w:rPr>
          <w:noProof/>
        </w:rPr>
        <w:t xml:space="preserve"> membres). Ensemble, les associations commerciales qui ont répondu représentaient plus de </w:t>
      </w:r>
      <w:r>
        <w:rPr>
          <w:noProof/>
          <w:highlight w:val="green"/>
        </w:rPr>
        <w:t>20</w:t>
      </w:r>
      <w:r>
        <w:rPr>
          <w:noProof/>
        </w:rPr>
        <w:t xml:space="preserve"> millions d’entreprises. </w:t>
      </w:r>
      <w:r>
        <w:rPr>
          <w:noProof/>
          <w:highlight w:val="green"/>
        </w:rPr>
        <w:t>22</w:t>
      </w:r>
      <w:r>
        <w:rPr>
          <w:noProof/>
        </w:rPr>
        <w:t xml:space="preserve"> associations agissent au nom d’entreprises uniquement dans leur propre pays, </w:t>
      </w:r>
      <w:r>
        <w:rPr>
          <w:noProof/>
          <w:highlight w:val="green"/>
        </w:rPr>
        <w:t>2</w:t>
      </w:r>
      <w:r>
        <w:rPr>
          <w:noProof/>
        </w:rPr>
        <w:t xml:space="preserve"> sont présentes dans, au maximum, </w:t>
      </w:r>
      <w:r>
        <w:rPr>
          <w:noProof/>
          <w:highlight w:val="green"/>
        </w:rPr>
        <w:t>5</w:t>
      </w:r>
      <w:r>
        <w:rPr>
          <w:noProof/>
        </w:rPr>
        <w:t xml:space="preserve"> pays et </w:t>
      </w:r>
      <w:r>
        <w:rPr>
          <w:noProof/>
          <w:highlight w:val="green"/>
        </w:rPr>
        <w:t>7</w:t>
      </w:r>
      <w:r>
        <w:rPr>
          <w:noProof/>
        </w:rPr>
        <w:t xml:space="preserve"> sont paneuropéennes.</w:t>
      </w:r>
    </w:p>
    <w:p>
      <w:pPr>
        <w:jc w:val="both"/>
        <w:rPr>
          <w:noProof/>
        </w:rPr>
      </w:pPr>
      <w:r>
        <w:rPr>
          <w:noProof/>
          <w:highlight w:val="green"/>
        </w:rPr>
        <w:t>28</w:t>
      </w:r>
      <w:r>
        <w:rPr>
          <w:noProof/>
        </w:rPr>
        <w:t xml:space="preserve"> associations commerciales et </w:t>
      </w:r>
      <w:r>
        <w:rPr>
          <w:noProof/>
          <w:highlight w:val="green"/>
        </w:rPr>
        <w:t>4</w:t>
      </w:r>
      <w:r>
        <w:rPr>
          <w:noProof/>
        </w:rPr>
        <w:t> entreprises étaient enregistrées dans le registre de transparence de l’UE</w:t>
      </w:r>
      <w:r>
        <w:rPr>
          <w:rStyle w:val="FootnoteReference"/>
          <w:noProof/>
        </w:rPr>
        <w:footnoteReference w:id="4"/>
      </w:r>
      <w:r>
        <w:rPr>
          <w:noProof/>
        </w:rPr>
        <w:t>.</w:t>
      </w:r>
    </w:p>
    <w:p>
      <w:pPr>
        <w:jc w:val="center"/>
        <w:rPr>
          <w:noProof/>
        </w:rPr>
      </w:pPr>
      <w:r>
        <w:rPr>
          <w:noProof/>
          <w:lang w:val="en-US" w:eastAsia="en-US" w:bidi="ar-SA"/>
        </w:rPr>
        <w:drawing>
          <wp:inline distT="0" distB="0" distL="0" distR="0">
            <wp:extent cx="5731510" cy="3195411"/>
            <wp:effectExtent l="0" t="0" r="254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5731510" cy="3195411"/>
                    </a:xfrm>
                    <a:prstGeom prst="rect">
                      <a:avLst/>
                    </a:prstGeom>
                  </pic:spPr>
                </pic:pic>
              </a:graphicData>
            </a:graphic>
          </wp:inline>
        </w:drawing>
      </w:r>
      <w:r>
        <w:rPr>
          <w:noProof/>
        </w:rPr>
        <w:t xml:space="preserve">Figure </w:t>
      </w:r>
      <w:r>
        <w:rPr>
          <w:noProof/>
          <w:highlight w:val="green"/>
        </w:rPr>
        <w:t>1</w:t>
      </w:r>
      <w:r>
        <w:rPr>
          <w:noProof/>
        </w:rPr>
        <w:t>. Répartition des réponses aux consultations publiques par pays et type de partie intéressée.</w:t>
      </w:r>
      <w:r>
        <w:rPr>
          <w:noProof/>
        </w:rPr>
        <w:br/>
        <w:t xml:space="preserve">Remarque: * </w:t>
      </w:r>
      <w:r>
        <w:rPr>
          <w:noProof/>
          <w:highlight w:val="green"/>
        </w:rPr>
        <w:t>9</w:t>
      </w:r>
      <w:r>
        <w:rPr>
          <w:noProof/>
        </w:rPr>
        <w:t xml:space="preserve"> associations commerciales exerçant leurs activités dans toute l’UE sont installées en Belgique; ** </w:t>
      </w:r>
      <w:r>
        <w:rPr>
          <w:noProof/>
          <w:highlight w:val="green"/>
        </w:rPr>
        <w:t>2</w:t>
      </w:r>
      <w:r>
        <w:rPr>
          <w:noProof/>
        </w:rPr>
        <w:t> réponses émanant de la Suède.</w:t>
      </w:r>
    </w:p>
    <w:p>
      <w:pPr>
        <w:pStyle w:val="Heading2"/>
        <w:rPr>
          <w:noProof/>
        </w:rPr>
      </w:pPr>
      <w:bookmarkStart w:id="77" w:name="_Toc467168152"/>
      <w:bookmarkStart w:id="78" w:name="_Toc467857896"/>
      <w:bookmarkStart w:id="79" w:name="_Toc468290775"/>
      <w:bookmarkStart w:id="80" w:name="_Toc468376269"/>
      <w:bookmarkStart w:id="81" w:name="_Toc468382187"/>
      <w:bookmarkStart w:id="82" w:name="_Toc468382255"/>
      <w:bookmarkStart w:id="83" w:name="_Toc468447117"/>
      <w:bookmarkStart w:id="84" w:name="_Toc480284793"/>
      <w:bookmarkStart w:id="85" w:name="_Toc482714243"/>
      <w:r>
        <w:rPr>
          <w:noProof/>
        </w:rPr>
        <w:t>Analyse des réponses</w:t>
      </w:r>
      <w:bookmarkEnd w:id="77"/>
      <w:bookmarkEnd w:id="78"/>
      <w:bookmarkEnd w:id="79"/>
      <w:bookmarkEnd w:id="80"/>
      <w:bookmarkEnd w:id="81"/>
      <w:bookmarkEnd w:id="82"/>
      <w:bookmarkEnd w:id="83"/>
      <w:bookmarkEnd w:id="84"/>
      <w:bookmarkEnd w:id="85"/>
    </w:p>
    <w:p>
      <w:pPr>
        <w:pStyle w:val="Heading3"/>
        <w:ind w:left="709" w:hanging="709"/>
        <w:rPr>
          <w:noProof/>
        </w:rPr>
      </w:pPr>
      <w:bookmarkStart w:id="86" w:name="_Toc482714244"/>
      <w:r>
        <w:rPr>
          <w:noProof/>
        </w:rPr>
        <w:t>Éléments poussant les entreprises à ne pas partager d’informations avec les autorités dans le cadre de consultations générales</w:t>
      </w:r>
      <w:bookmarkEnd w:id="86"/>
    </w:p>
    <w:p>
      <w:pPr>
        <w:jc w:val="both"/>
        <w:rPr>
          <w:noProof/>
        </w:rPr>
      </w:pPr>
      <w:r>
        <w:rPr>
          <w:noProof/>
        </w:rPr>
        <w:t xml:space="preserve">La majorité (trois quarts) des entreprises répondantes ont participé à une consultation, sous quelque forme que ce soit, lancée par les pouvoirs publics au cours des </w:t>
      </w:r>
      <w:r>
        <w:rPr>
          <w:noProof/>
          <w:highlight w:val="green"/>
        </w:rPr>
        <w:t>5</w:t>
      </w:r>
      <w:r>
        <w:rPr>
          <w:noProof/>
        </w:rPr>
        <w:t> dernières années. On leur a demandé à quels types de questions elles ne répondaient généralement pas. Le quart restant des entreprises ont été invitées à indiquer, hypothétiquement, quelles informations elles préféreraient ne pas fournir si on le leur demandait. Les réponses sont résumées au tableau </w:t>
      </w:r>
      <w:r>
        <w:rPr>
          <w:noProof/>
          <w:highlight w:val="green"/>
        </w:rPr>
        <w:t>1</w:t>
      </w:r>
      <w:r>
        <w:rPr>
          <w:noProof/>
        </w:rPr>
        <w:t>.</w:t>
      </w:r>
    </w:p>
    <w:tbl>
      <w:tblPr>
        <w:tblStyle w:val="TableGrid"/>
        <w:tblW w:w="9322" w:type="dxa"/>
        <w:tblLook w:val="04A0" w:firstRow="1" w:lastRow="0" w:firstColumn="1" w:lastColumn="0" w:noHBand="0" w:noVBand="1"/>
      </w:tblPr>
      <w:tblGrid>
        <w:gridCol w:w="3775"/>
        <w:gridCol w:w="1379"/>
        <w:gridCol w:w="1475"/>
        <w:gridCol w:w="2693"/>
      </w:tblGrid>
      <w:tr>
        <w:tc>
          <w:tcPr>
            <w:tcW w:w="9322" w:type="dxa"/>
            <w:gridSpan w:val="4"/>
            <w:tcBorders>
              <w:top w:val="nil"/>
              <w:left w:val="nil"/>
              <w:right w:val="nil"/>
            </w:tcBorders>
          </w:tcPr>
          <w:p>
            <w:pPr>
              <w:rPr>
                <w:noProof/>
              </w:rPr>
            </w:pPr>
            <w:r>
              <w:rPr>
                <w:b/>
                <w:noProof/>
              </w:rPr>
              <w:t>Tableau </w:t>
            </w:r>
            <w:r>
              <w:rPr>
                <w:b/>
                <w:noProof/>
                <w:highlight w:val="green"/>
              </w:rPr>
              <w:t>1</w:t>
            </w:r>
            <w:r>
              <w:rPr>
                <w:b/>
                <w:noProof/>
              </w:rPr>
              <w:t>. Types d’informations sensibles demandées dans les consultations</w:t>
            </w:r>
          </w:p>
        </w:tc>
      </w:tr>
      <w:tr>
        <w:tc>
          <w:tcPr>
            <w:tcW w:w="3775" w:type="dxa"/>
            <w:vMerge w:val="restart"/>
          </w:tcPr>
          <w:p>
            <w:pPr>
              <w:rPr>
                <w:b/>
                <w:noProof/>
                <w:sz w:val="18"/>
                <w:szCs w:val="18"/>
              </w:rPr>
            </w:pPr>
            <w:r>
              <w:rPr>
                <w:b/>
                <w:noProof/>
                <w:sz w:val="18"/>
              </w:rPr>
              <w:t>Informations concernant</w:t>
            </w:r>
          </w:p>
        </w:tc>
        <w:tc>
          <w:tcPr>
            <w:tcW w:w="2854" w:type="dxa"/>
            <w:gridSpan w:val="2"/>
          </w:tcPr>
          <w:p>
            <w:pPr>
              <w:jc w:val="center"/>
              <w:rPr>
                <w:b/>
                <w:noProof/>
                <w:sz w:val="18"/>
                <w:szCs w:val="18"/>
              </w:rPr>
            </w:pPr>
            <w:r>
              <w:rPr>
                <w:b/>
                <w:noProof/>
                <w:sz w:val="18"/>
              </w:rPr>
              <w:t>Les entreprises ayant participé à des consultations et auxquelles des informations sensibles ont été demandées* ont affirmé que ces informations étaient</w:t>
            </w:r>
          </w:p>
        </w:tc>
        <w:tc>
          <w:tcPr>
            <w:tcW w:w="2693" w:type="dxa"/>
          </w:tcPr>
          <w:p>
            <w:pPr>
              <w:jc w:val="center"/>
              <w:rPr>
                <w:noProof/>
                <w:sz w:val="18"/>
                <w:szCs w:val="18"/>
              </w:rPr>
            </w:pPr>
            <w:r>
              <w:rPr>
                <w:noProof/>
                <w:sz w:val="18"/>
              </w:rPr>
              <w:t>Les entreprises n’ayant jamais participé à des consultations ont affirmé qu’elles préféraient ne pas fournir les informations suivantes**</w:t>
            </w:r>
          </w:p>
        </w:tc>
      </w:tr>
      <w:tr>
        <w:tc>
          <w:tcPr>
            <w:tcW w:w="3775" w:type="dxa"/>
            <w:vMerge/>
          </w:tcPr>
          <w:p>
            <w:pPr>
              <w:rPr>
                <w:noProof/>
                <w:sz w:val="18"/>
                <w:szCs w:val="18"/>
              </w:rPr>
            </w:pPr>
          </w:p>
        </w:tc>
        <w:tc>
          <w:tcPr>
            <w:tcW w:w="1379" w:type="dxa"/>
          </w:tcPr>
          <w:p>
            <w:pPr>
              <w:jc w:val="center"/>
              <w:rPr>
                <w:noProof/>
                <w:sz w:val="18"/>
                <w:szCs w:val="18"/>
              </w:rPr>
            </w:pPr>
            <w:r>
              <w:rPr>
                <w:noProof/>
                <w:sz w:val="18"/>
              </w:rPr>
              <w:t>Communiquées</w:t>
            </w:r>
          </w:p>
        </w:tc>
        <w:tc>
          <w:tcPr>
            <w:tcW w:w="1475" w:type="dxa"/>
          </w:tcPr>
          <w:p>
            <w:pPr>
              <w:jc w:val="center"/>
              <w:rPr>
                <w:noProof/>
                <w:sz w:val="18"/>
                <w:szCs w:val="18"/>
              </w:rPr>
            </w:pPr>
            <w:r>
              <w:rPr>
                <w:noProof/>
                <w:sz w:val="18"/>
              </w:rPr>
              <w:t>Non communiquées</w:t>
            </w:r>
          </w:p>
        </w:tc>
        <w:tc>
          <w:tcPr>
            <w:tcW w:w="2693" w:type="dxa"/>
          </w:tcPr>
          <w:p>
            <w:pPr>
              <w:rPr>
                <w:noProof/>
                <w:sz w:val="18"/>
                <w:szCs w:val="18"/>
              </w:rPr>
            </w:pPr>
          </w:p>
        </w:tc>
      </w:tr>
      <w:tr>
        <w:tc>
          <w:tcPr>
            <w:tcW w:w="3775" w:type="dxa"/>
            <w:vAlign w:val="center"/>
          </w:tcPr>
          <w:p>
            <w:pPr>
              <w:rPr>
                <w:noProof/>
                <w:sz w:val="18"/>
                <w:szCs w:val="18"/>
              </w:rPr>
            </w:pPr>
            <w:r>
              <w:rPr>
                <w:rFonts w:ascii="Calibri" w:hAnsi="Calibri"/>
                <w:noProof/>
                <w:sz w:val="18"/>
              </w:rPr>
              <w:t>Informations sur les coûts absentes des rapports financiers</w:t>
            </w:r>
          </w:p>
        </w:tc>
        <w:tc>
          <w:tcPr>
            <w:tcW w:w="1379" w:type="dxa"/>
            <w:vAlign w:val="center"/>
          </w:tcPr>
          <w:p>
            <w:pPr>
              <w:rPr>
                <w:noProof/>
                <w:sz w:val="18"/>
                <w:szCs w:val="18"/>
              </w:rPr>
            </w:pPr>
            <w:r>
              <w:rPr>
                <w:rFonts w:ascii="Calibri" w:hAnsi="Calibri"/>
                <w:noProof/>
                <w:sz w:val="18"/>
                <w:highlight w:val="green"/>
              </w:rPr>
              <w:t>0</w:t>
            </w:r>
          </w:p>
        </w:tc>
        <w:tc>
          <w:tcPr>
            <w:tcW w:w="1475" w:type="dxa"/>
            <w:vAlign w:val="center"/>
          </w:tcPr>
          <w:p>
            <w:pPr>
              <w:rPr>
                <w:noProof/>
                <w:sz w:val="18"/>
                <w:szCs w:val="18"/>
              </w:rPr>
            </w:pPr>
            <w:r>
              <w:rPr>
                <w:rFonts w:ascii="Calibri" w:hAnsi="Calibri"/>
                <w:noProof/>
                <w:sz w:val="18"/>
                <w:highlight w:val="green"/>
              </w:rPr>
              <w:t>5</w:t>
            </w:r>
            <w:r>
              <w:rPr>
                <w:rFonts w:ascii="Calibri" w:hAnsi="Calibri"/>
                <w:noProof/>
                <w:sz w:val="18"/>
              </w:rPr>
              <w:t xml:space="preserve"> (</w:t>
            </w:r>
            <w:r>
              <w:rPr>
                <w:rFonts w:ascii="Calibri" w:hAnsi="Calibri"/>
                <w:noProof/>
                <w:sz w:val="18"/>
                <w:highlight w:val="green"/>
              </w:rPr>
              <w:t>490</w:t>
            </w:r>
            <w:r>
              <w:rPr>
                <w:rFonts w:ascii="Calibri" w:hAnsi="Calibri"/>
                <w:noProof/>
                <w:sz w:val="18"/>
              </w:rPr>
              <w:t> </w:t>
            </w:r>
            <w:r>
              <w:rPr>
                <w:rFonts w:ascii="Calibri" w:hAnsi="Calibri"/>
                <w:noProof/>
                <w:sz w:val="18"/>
                <w:highlight w:val="green"/>
              </w:rPr>
              <w:t>000</w:t>
            </w:r>
            <w:r>
              <w:rPr>
                <w:rFonts w:ascii="Calibri" w:hAnsi="Calibri"/>
                <w:noProof/>
                <w:sz w:val="18"/>
              </w:rPr>
              <w:t>)</w:t>
            </w:r>
          </w:p>
        </w:tc>
        <w:tc>
          <w:tcPr>
            <w:tcW w:w="2693" w:type="dxa"/>
            <w:vAlign w:val="center"/>
          </w:tcPr>
          <w:p>
            <w:pPr>
              <w:rPr>
                <w:noProof/>
                <w:sz w:val="18"/>
                <w:szCs w:val="18"/>
              </w:rPr>
            </w:pPr>
            <w:r>
              <w:rPr>
                <w:noProof/>
                <w:sz w:val="18"/>
                <w:highlight w:val="green"/>
              </w:rPr>
              <w:t>4</w:t>
            </w:r>
            <w:r>
              <w:rPr>
                <w:noProof/>
                <w:sz w:val="18"/>
              </w:rPr>
              <w:t xml:space="preserve"> (</w:t>
            </w:r>
            <w:r>
              <w:rPr>
                <w:noProof/>
                <w:sz w:val="18"/>
                <w:highlight w:val="green"/>
              </w:rPr>
              <w:t>4</w:t>
            </w:r>
            <w:r>
              <w:rPr>
                <w:noProof/>
                <w:sz w:val="18"/>
              </w:rPr>
              <w:t>)</w:t>
            </w:r>
          </w:p>
        </w:tc>
      </w:tr>
      <w:tr>
        <w:tc>
          <w:tcPr>
            <w:tcW w:w="3775" w:type="dxa"/>
            <w:vAlign w:val="center"/>
          </w:tcPr>
          <w:p>
            <w:pPr>
              <w:rPr>
                <w:noProof/>
                <w:sz w:val="18"/>
                <w:szCs w:val="18"/>
              </w:rPr>
            </w:pPr>
            <w:r>
              <w:rPr>
                <w:rFonts w:ascii="Calibri" w:hAnsi="Calibri"/>
                <w:noProof/>
                <w:sz w:val="18"/>
              </w:rPr>
              <w:t>Stratégie commerciale (p.ex. la politique de prix)</w:t>
            </w:r>
          </w:p>
        </w:tc>
        <w:tc>
          <w:tcPr>
            <w:tcW w:w="1379" w:type="dxa"/>
            <w:vAlign w:val="center"/>
          </w:tcPr>
          <w:p>
            <w:pPr>
              <w:rPr>
                <w:noProof/>
                <w:sz w:val="18"/>
                <w:szCs w:val="18"/>
              </w:rPr>
            </w:pPr>
            <w:r>
              <w:rPr>
                <w:rFonts w:ascii="Calibri" w:hAnsi="Calibri"/>
                <w:noProof/>
                <w:sz w:val="18"/>
                <w:highlight w:val="green"/>
              </w:rPr>
              <w:t>4</w:t>
            </w:r>
            <w:r>
              <w:rPr>
                <w:rFonts w:ascii="Calibri" w:hAnsi="Calibri"/>
                <w:noProof/>
                <w:sz w:val="18"/>
              </w:rPr>
              <w:t xml:space="preserve"> (</w:t>
            </w:r>
            <w:r>
              <w:rPr>
                <w:rFonts w:ascii="Calibri" w:hAnsi="Calibri"/>
                <w:noProof/>
                <w:sz w:val="18"/>
                <w:highlight w:val="green"/>
              </w:rPr>
              <w:t>90</w:t>
            </w:r>
            <w:r>
              <w:rPr>
                <w:rFonts w:ascii="Calibri" w:hAnsi="Calibri"/>
                <w:noProof/>
                <w:sz w:val="18"/>
              </w:rPr>
              <w:t>)</w:t>
            </w:r>
          </w:p>
        </w:tc>
        <w:tc>
          <w:tcPr>
            <w:tcW w:w="1475" w:type="dxa"/>
            <w:vAlign w:val="center"/>
          </w:tcPr>
          <w:p>
            <w:pPr>
              <w:rPr>
                <w:noProof/>
                <w:sz w:val="18"/>
                <w:szCs w:val="18"/>
              </w:rPr>
            </w:pPr>
            <w:r>
              <w:rPr>
                <w:rFonts w:ascii="Calibri" w:hAnsi="Calibri"/>
                <w:noProof/>
                <w:sz w:val="18"/>
                <w:highlight w:val="green"/>
              </w:rPr>
              <w:t>3</w:t>
            </w:r>
            <w:r>
              <w:rPr>
                <w:rFonts w:ascii="Calibri" w:hAnsi="Calibri"/>
                <w:noProof/>
                <w:sz w:val="18"/>
              </w:rPr>
              <w:t xml:space="preserve"> (</w:t>
            </w:r>
            <w:r>
              <w:rPr>
                <w:rFonts w:ascii="Calibri" w:hAnsi="Calibri"/>
                <w:noProof/>
                <w:sz w:val="18"/>
                <w:highlight w:val="green"/>
              </w:rPr>
              <w:t>480</w:t>
            </w:r>
            <w:r>
              <w:rPr>
                <w:rFonts w:ascii="Calibri" w:hAnsi="Calibri"/>
                <w:noProof/>
                <w:sz w:val="18"/>
              </w:rPr>
              <w:t> </w:t>
            </w:r>
            <w:r>
              <w:rPr>
                <w:rFonts w:ascii="Calibri" w:hAnsi="Calibri"/>
                <w:noProof/>
                <w:sz w:val="18"/>
                <w:highlight w:val="green"/>
              </w:rPr>
              <w:t>000</w:t>
            </w:r>
            <w:r>
              <w:rPr>
                <w:rFonts w:ascii="Calibri" w:hAnsi="Calibri"/>
                <w:noProof/>
                <w:sz w:val="18"/>
              </w:rPr>
              <w:t>)</w:t>
            </w:r>
          </w:p>
        </w:tc>
        <w:tc>
          <w:tcPr>
            <w:tcW w:w="2693" w:type="dxa"/>
            <w:vAlign w:val="center"/>
          </w:tcPr>
          <w:p>
            <w:pPr>
              <w:rPr>
                <w:noProof/>
                <w:sz w:val="18"/>
                <w:szCs w:val="18"/>
              </w:rPr>
            </w:pPr>
            <w:r>
              <w:rPr>
                <w:noProof/>
                <w:sz w:val="18"/>
                <w:highlight w:val="green"/>
              </w:rPr>
              <w:t>8</w:t>
            </w:r>
            <w:r>
              <w:rPr>
                <w:noProof/>
                <w:sz w:val="18"/>
              </w:rPr>
              <w:t xml:space="preserve"> (</w:t>
            </w:r>
            <w:r>
              <w:rPr>
                <w:noProof/>
                <w:sz w:val="18"/>
                <w:highlight w:val="green"/>
              </w:rPr>
              <w:t>8</w:t>
            </w:r>
            <w:r>
              <w:rPr>
                <w:noProof/>
                <w:sz w:val="18"/>
              </w:rPr>
              <w:t>)</w:t>
            </w:r>
          </w:p>
        </w:tc>
      </w:tr>
      <w:tr>
        <w:tc>
          <w:tcPr>
            <w:tcW w:w="3775" w:type="dxa"/>
            <w:vAlign w:val="center"/>
          </w:tcPr>
          <w:p>
            <w:pPr>
              <w:rPr>
                <w:noProof/>
                <w:sz w:val="18"/>
                <w:szCs w:val="18"/>
              </w:rPr>
            </w:pPr>
            <w:r>
              <w:rPr>
                <w:rFonts w:ascii="Calibri" w:hAnsi="Calibri"/>
                <w:noProof/>
                <w:sz w:val="18"/>
              </w:rPr>
              <w:t>Chiffre d’affaires, volumes ou bénéfices</w:t>
            </w:r>
          </w:p>
        </w:tc>
        <w:tc>
          <w:tcPr>
            <w:tcW w:w="1379" w:type="dxa"/>
            <w:vAlign w:val="center"/>
          </w:tcPr>
          <w:p>
            <w:pPr>
              <w:rPr>
                <w:noProof/>
                <w:sz w:val="18"/>
                <w:szCs w:val="18"/>
              </w:rPr>
            </w:pPr>
            <w:r>
              <w:rPr>
                <w:rFonts w:ascii="Calibri" w:hAnsi="Calibri"/>
                <w:noProof/>
                <w:sz w:val="18"/>
                <w:highlight w:val="green"/>
              </w:rPr>
              <w:t>4</w:t>
            </w:r>
            <w:r>
              <w:rPr>
                <w:rFonts w:ascii="Calibri" w:hAnsi="Calibri"/>
                <w:noProof/>
                <w:sz w:val="18"/>
              </w:rPr>
              <w:t xml:space="preserve"> (</w:t>
            </w:r>
            <w:r>
              <w:rPr>
                <w:rFonts w:ascii="Calibri" w:hAnsi="Calibri"/>
                <w:noProof/>
                <w:sz w:val="18"/>
                <w:highlight w:val="green"/>
              </w:rPr>
              <w:t>8</w:t>
            </w:r>
            <w:r>
              <w:rPr>
                <w:rFonts w:ascii="Calibri" w:hAnsi="Calibri"/>
                <w:noProof/>
                <w:sz w:val="18"/>
              </w:rPr>
              <w:t> </w:t>
            </w:r>
            <w:r>
              <w:rPr>
                <w:rFonts w:ascii="Calibri" w:hAnsi="Calibri"/>
                <w:noProof/>
                <w:sz w:val="18"/>
                <w:highlight w:val="green"/>
              </w:rPr>
              <w:t>000</w:t>
            </w:r>
            <w:r>
              <w:rPr>
                <w:rFonts w:ascii="Calibri" w:hAnsi="Calibri"/>
                <w:noProof/>
                <w:sz w:val="18"/>
              </w:rPr>
              <w:t>)</w:t>
            </w:r>
          </w:p>
        </w:tc>
        <w:tc>
          <w:tcPr>
            <w:tcW w:w="1475" w:type="dxa"/>
            <w:vAlign w:val="center"/>
          </w:tcPr>
          <w:p>
            <w:pPr>
              <w:rPr>
                <w:noProof/>
                <w:sz w:val="18"/>
                <w:szCs w:val="18"/>
              </w:rPr>
            </w:pPr>
            <w:r>
              <w:rPr>
                <w:rFonts w:ascii="Calibri" w:hAnsi="Calibri"/>
                <w:noProof/>
                <w:sz w:val="18"/>
                <w:highlight w:val="green"/>
              </w:rPr>
              <w:t>4</w:t>
            </w:r>
            <w:r>
              <w:rPr>
                <w:rFonts w:ascii="Calibri" w:hAnsi="Calibri"/>
                <w:noProof/>
                <w:sz w:val="18"/>
              </w:rPr>
              <w:t xml:space="preserve"> (</w:t>
            </w:r>
            <w:r>
              <w:rPr>
                <w:rFonts w:ascii="Calibri" w:hAnsi="Calibri"/>
                <w:noProof/>
                <w:sz w:val="18"/>
                <w:highlight w:val="green"/>
              </w:rPr>
              <w:t>460</w:t>
            </w:r>
            <w:r>
              <w:rPr>
                <w:rFonts w:ascii="Calibri" w:hAnsi="Calibri"/>
                <w:noProof/>
                <w:sz w:val="18"/>
              </w:rPr>
              <w:t> </w:t>
            </w:r>
            <w:r>
              <w:rPr>
                <w:rFonts w:ascii="Calibri" w:hAnsi="Calibri"/>
                <w:noProof/>
                <w:sz w:val="18"/>
                <w:highlight w:val="green"/>
              </w:rPr>
              <w:t>000</w:t>
            </w:r>
            <w:r>
              <w:rPr>
                <w:rFonts w:ascii="Calibri" w:hAnsi="Calibri"/>
                <w:noProof/>
                <w:sz w:val="18"/>
              </w:rPr>
              <w:t>)</w:t>
            </w:r>
          </w:p>
        </w:tc>
        <w:tc>
          <w:tcPr>
            <w:tcW w:w="2693" w:type="dxa"/>
            <w:vAlign w:val="center"/>
          </w:tcPr>
          <w:p>
            <w:pPr>
              <w:rPr>
                <w:noProof/>
                <w:sz w:val="18"/>
                <w:szCs w:val="18"/>
              </w:rPr>
            </w:pPr>
            <w:r>
              <w:rPr>
                <w:noProof/>
                <w:sz w:val="18"/>
                <w:highlight w:val="green"/>
              </w:rPr>
              <w:t>4</w:t>
            </w:r>
            <w:r>
              <w:rPr>
                <w:noProof/>
                <w:sz w:val="18"/>
              </w:rPr>
              <w:t xml:space="preserve"> (</w:t>
            </w:r>
            <w:r>
              <w:rPr>
                <w:noProof/>
                <w:sz w:val="18"/>
                <w:highlight w:val="green"/>
              </w:rPr>
              <w:t>4</w:t>
            </w:r>
            <w:r>
              <w:rPr>
                <w:noProof/>
                <w:sz w:val="18"/>
              </w:rPr>
              <w:t>)</w:t>
            </w:r>
          </w:p>
        </w:tc>
      </w:tr>
      <w:tr>
        <w:tc>
          <w:tcPr>
            <w:tcW w:w="3775" w:type="dxa"/>
            <w:vAlign w:val="center"/>
          </w:tcPr>
          <w:p>
            <w:pPr>
              <w:rPr>
                <w:noProof/>
                <w:sz w:val="18"/>
                <w:szCs w:val="18"/>
              </w:rPr>
            </w:pPr>
            <w:r>
              <w:rPr>
                <w:rFonts w:ascii="Calibri" w:hAnsi="Calibri"/>
                <w:noProof/>
                <w:sz w:val="18"/>
              </w:rPr>
              <w:t>Structure de l’actionnariat</w:t>
            </w:r>
          </w:p>
        </w:tc>
        <w:tc>
          <w:tcPr>
            <w:tcW w:w="1379" w:type="dxa"/>
            <w:vAlign w:val="center"/>
          </w:tcPr>
          <w:p>
            <w:pPr>
              <w:rPr>
                <w:noProof/>
                <w:sz w:val="18"/>
                <w:szCs w:val="18"/>
              </w:rPr>
            </w:pPr>
            <w:r>
              <w:rPr>
                <w:rFonts w:ascii="Calibri" w:hAnsi="Calibri"/>
                <w:noProof/>
                <w:sz w:val="18"/>
                <w:highlight w:val="green"/>
              </w:rPr>
              <w:t>4</w:t>
            </w:r>
            <w:r>
              <w:rPr>
                <w:rFonts w:ascii="Calibri" w:hAnsi="Calibri"/>
                <w:noProof/>
                <w:sz w:val="18"/>
              </w:rPr>
              <w:t xml:space="preserve"> (</w:t>
            </w:r>
            <w:r>
              <w:rPr>
                <w:rFonts w:ascii="Calibri" w:hAnsi="Calibri"/>
                <w:noProof/>
                <w:sz w:val="18"/>
                <w:highlight w:val="green"/>
              </w:rPr>
              <w:t>9</w:t>
            </w:r>
            <w:r>
              <w:rPr>
                <w:rFonts w:ascii="Calibri" w:hAnsi="Calibri"/>
                <w:noProof/>
                <w:sz w:val="18"/>
              </w:rPr>
              <w:t> </w:t>
            </w:r>
            <w:r>
              <w:rPr>
                <w:rFonts w:ascii="Calibri" w:hAnsi="Calibri"/>
                <w:noProof/>
                <w:sz w:val="18"/>
                <w:highlight w:val="green"/>
              </w:rPr>
              <w:t>300</w:t>
            </w:r>
            <w:r>
              <w:rPr>
                <w:rFonts w:ascii="Calibri" w:hAnsi="Calibri"/>
                <w:noProof/>
                <w:sz w:val="18"/>
              </w:rPr>
              <w:t>)</w:t>
            </w:r>
          </w:p>
        </w:tc>
        <w:tc>
          <w:tcPr>
            <w:tcW w:w="1475" w:type="dxa"/>
            <w:vAlign w:val="center"/>
          </w:tcPr>
          <w:p>
            <w:pPr>
              <w:rPr>
                <w:noProof/>
                <w:sz w:val="18"/>
                <w:szCs w:val="18"/>
              </w:rPr>
            </w:pPr>
            <w:r>
              <w:rPr>
                <w:rFonts w:ascii="Calibri" w:hAnsi="Calibri"/>
                <w:noProof/>
                <w:sz w:val="18"/>
                <w:highlight w:val="green"/>
              </w:rPr>
              <w:t>2</w:t>
            </w:r>
            <w:r>
              <w:rPr>
                <w:rFonts w:ascii="Calibri" w:hAnsi="Calibri"/>
                <w:noProof/>
                <w:sz w:val="18"/>
              </w:rPr>
              <w:t xml:space="preserve"> (</w:t>
            </w:r>
            <w:r>
              <w:rPr>
                <w:rFonts w:ascii="Calibri" w:hAnsi="Calibri"/>
                <w:noProof/>
                <w:sz w:val="18"/>
                <w:highlight w:val="green"/>
              </w:rPr>
              <w:t>450</w:t>
            </w:r>
            <w:r>
              <w:rPr>
                <w:rFonts w:ascii="Calibri" w:hAnsi="Calibri"/>
                <w:noProof/>
                <w:sz w:val="18"/>
              </w:rPr>
              <w:t> </w:t>
            </w:r>
            <w:r>
              <w:rPr>
                <w:rFonts w:ascii="Calibri" w:hAnsi="Calibri"/>
                <w:noProof/>
                <w:sz w:val="18"/>
                <w:highlight w:val="green"/>
              </w:rPr>
              <w:t>000</w:t>
            </w:r>
            <w:r>
              <w:rPr>
                <w:rFonts w:ascii="Calibri" w:hAnsi="Calibri"/>
                <w:noProof/>
                <w:sz w:val="18"/>
              </w:rPr>
              <w:t>)</w:t>
            </w:r>
          </w:p>
        </w:tc>
        <w:tc>
          <w:tcPr>
            <w:tcW w:w="2693" w:type="dxa"/>
            <w:vAlign w:val="center"/>
          </w:tcPr>
          <w:p>
            <w:pPr>
              <w:rPr>
                <w:noProof/>
                <w:sz w:val="18"/>
                <w:szCs w:val="18"/>
              </w:rPr>
            </w:pPr>
            <w:r>
              <w:rPr>
                <w:noProof/>
                <w:sz w:val="18"/>
                <w:highlight w:val="green"/>
              </w:rPr>
              <w:t>1</w:t>
            </w:r>
            <w:r>
              <w:rPr>
                <w:noProof/>
                <w:sz w:val="18"/>
              </w:rPr>
              <w:t xml:space="preserve"> (</w:t>
            </w:r>
            <w:r>
              <w:rPr>
                <w:noProof/>
                <w:sz w:val="18"/>
                <w:highlight w:val="green"/>
              </w:rPr>
              <w:t>58</w:t>
            </w:r>
            <w:r>
              <w:rPr>
                <w:noProof/>
                <w:sz w:val="18"/>
              </w:rPr>
              <w:t>)</w:t>
            </w:r>
          </w:p>
        </w:tc>
      </w:tr>
      <w:tr>
        <w:tc>
          <w:tcPr>
            <w:tcW w:w="3775" w:type="dxa"/>
            <w:vAlign w:val="center"/>
          </w:tcPr>
          <w:p>
            <w:pPr>
              <w:rPr>
                <w:noProof/>
                <w:sz w:val="18"/>
                <w:szCs w:val="18"/>
              </w:rPr>
            </w:pPr>
            <w:r>
              <w:rPr>
                <w:rFonts w:ascii="Calibri" w:hAnsi="Calibri"/>
                <w:noProof/>
                <w:sz w:val="18"/>
              </w:rPr>
              <w:t>Détails du contrat et relations avec les fournisseurs et autres partenaires</w:t>
            </w:r>
          </w:p>
        </w:tc>
        <w:tc>
          <w:tcPr>
            <w:tcW w:w="1379" w:type="dxa"/>
            <w:vAlign w:val="center"/>
          </w:tcPr>
          <w:p>
            <w:pPr>
              <w:rPr>
                <w:noProof/>
                <w:sz w:val="18"/>
                <w:szCs w:val="18"/>
              </w:rPr>
            </w:pPr>
            <w:r>
              <w:rPr>
                <w:rFonts w:ascii="Calibri" w:hAnsi="Calibri"/>
                <w:noProof/>
                <w:sz w:val="18"/>
                <w:highlight w:val="green"/>
              </w:rPr>
              <w:t>1</w:t>
            </w:r>
            <w:r>
              <w:rPr>
                <w:rFonts w:ascii="Calibri" w:hAnsi="Calibri"/>
                <w:noProof/>
                <w:sz w:val="18"/>
              </w:rPr>
              <w:t xml:space="preserve"> (</w:t>
            </w:r>
            <w:r>
              <w:rPr>
                <w:rFonts w:ascii="Calibri" w:hAnsi="Calibri"/>
                <w:noProof/>
                <w:sz w:val="18"/>
                <w:highlight w:val="green"/>
              </w:rPr>
              <w:t>1</w:t>
            </w:r>
            <w:r>
              <w:rPr>
                <w:rFonts w:ascii="Calibri" w:hAnsi="Calibri"/>
                <w:noProof/>
                <w:sz w:val="18"/>
              </w:rPr>
              <w:t>)</w:t>
            </w:r>
          </w:p>
        </w:tc>
        <w:tc>
          <w:tcPr>
            <w:tcW w:w="1475" w:type="dxa"/>
            <w:vAlign w:val="center"/>
          </w:tcPr>
          <w:p>
            <w:pPr>
              <w:rPr>
                <w:noProof/>
                <w:sz w:val="18"/>
                <w:szCs w:val="18"/>
              </w:rPr>
            </w:pPr>
            <w:r>
              <w:rPr>
                <w:rFonts w:ascii="Calibri" w:hAnsi="Calibri"/>
                <w:noProof/>
                <w:sz w:val="18"/>
                <w:highlight w:val="green"/>
              </w:rPr>
              <w:t>3</w:t>
            </w:r>
            <w:r>
              <w:rPr>
                <w:rFonts w:ascii="Calibri" w:hAnsi="Calibri"/>
                <w:noProof/>
                <w:sz w:val="18"/>
              </w:rPr>
              <w:t xml:space="preserve"> (</w:t>
            </w:r>
            <w:r>
              <w:rPr>
                <w:rFonts w:ascii="Calibri" w:hAnsi="Calibri"/>
                <w:noProof/>
                <w:sz w:val="18"/>
                <w:highlight w:val="green"/>
              </w:rPr>
              <w:t>450</w:t>
            </w:r>
            <w:r>
              <w:rPr>
                <w:rFonts w:ascii="Calibri" w:hAnsi="Calibri"/>
                <w:noProof/>
                <w:sz w:val="18"/>
              </w:rPr>
              <w:t> </w:t>
            </w:r>
            <w:r>
              <w:rPr>
                <w:rFonts w:ascii="Calibri" w:hAnsi="Calibri"/>
                <w:noProof/>
                <w:sz w:val="18"/>
                <w:highlight w:val="green"/>
              </w:rPr>
              <w:t>000</w:t>
            </w:r>
            <w:r>
              <w:rPr>
                <w:rFonts w:ascii="Calibri" w:hAnsi="Calibri"/>
                <w:noProof/>
                <w:sz w:val="18"/>
              </w:rPr>
              <w:t>)</w:t>
            </w:r>
          </w:p>
        </w:tc>
        <w:tc>
          <w:tcPr>
            <w:tcW w:w="2693" w:type="dxa"/>
            <w:vAlign w:val="center"/>
          </w:tcPr>
          <w:p>
            <w:pPr>
              <w:rPr>
                <w:noProof/>
                <w:sz w:val="18"/>
                <w:szCs w:val="18"/>
              </w:rPr>
            </w:pPr>
            <w:r>
              <w:rPr>
                <w:noProof/>
                <w:sz w:val="18"/>
                <w:highlight w:val="green"/>
              </w:rPr>
              <w:t>3</w:t>
            </w:r>
            <w:r>
              <w:rPr>
                <w:noProof/>
                <w:sz w:val="18"/>
              </w:rPr>
              <w:t xml:space="preserve"> (</w:t>
            </w:r>
            <w:r>
              <w:rPr>
                <w:noProof/>
                <w:sz w:val="18"/>
                <w:highlight w:val="green"/>
              </w:rPr>
              <w:t>60</w:t>
            </w:r>
            <w:r>
              <w:rPr>
                <w:noProof/>
                <w:sz w:val="18"/>
              </w:rPr>
              <w:t>)</w:t>
            </w:r>
          </w:p>
        </w:tc>
      </w:tr>
      <w:tr>
        <w:tc>
          <w:tcPr>
            <w:tcW w:w="3775" w:type="dxa"/>
            <w:vAlign w:val="center"/>
          </w:tcPr>
          <w:p>
            <w:pPr>
              <w:rPr>
                <w:noProof/>
                <w:sz w:val="18"/>
                <w:szCs w:val="18"/>
              </w:rPr>
            </w:pPr>
            <w:r>
              <w:rPr>
                <w:rFonts w:ascii="Calibri" w:hAnsi="Calibri"/>
                <w:noProof/>
                <w:sz w:val="18"/>
              </w:rPr>
              <w:t>Informations sur les affaires transfrontalières (p.ex. les succursales ou les filiales à l’étranger, les coûts des opérations transfrontalières, la prestation de service transfrontalière directe)</w:t>
            </w:r>
          </w:p>
        </w:tc>
        <w:tc>
          <w:tcPr>
            <w:tcW w:w="1379" w:type="dxa"/>
            <w:vAlign w:val="center"/>
          </w:tcPr>
          <w:p>
            <w:pPr>
              <w:rPr>
                <w:noProof/>
                <w:sz w:val="18"/>
                <w:szCs w:val="18"/>
              </w:rPr>
            </w:pPr>
            <w:r>
              <w:rPr>
                <w:rFonts w:ascii="Calibri" w:hAnsi="Calibri"/>
                <w:noProof/>
                <w:sz w:val="18"/>
                <w:highlight w:val="green"/>
              </w:rPr>
              <w:t>7</w:t>
            </w:r>
            <w:r>
              <w:rPr>
                <w:rFonts w:ascii="Calibri" w:hAnsi="Calibri"/>
                <w:noProof/>
                <w:sz w:val="18"/>
              </w:rPr>
              <w:t xml:space="preserve"> (</w:t>
            </w:r>
            <w:r>
              <w:rPr>
                <w:rFonts w:ascii="Calibri" w:hAnsi="Calibri"/>
                <w:noProof/>
                <w:sz w:val="18"/>
                <w:highlight w:val="green"/>
              </w:rPr>
              <w:t>24</w:t>
            </w:r>
            <w:r>
              <w:rPr>
                <w:rFonts w:ascii="Calibri" w:hAnsi="Calibri"/>
                <w:noProof/>
                <w:sz w:val="18"/>
              </w:rPr>
              <w:t> </w:t>
            </w:r>
            <w:r>
              <w:rPr>
                <w:rFonts w:ascii="Calibri" w:hAnsi="Calibri"/>
                <w:noProof/>
                <w:sz w:val="18"/>
                <w:highlight w:val="green"/>
              </w:rPr>
              <w:t>000</w:t>
            </w:r>
            <w:r>
              <w:rPr>
                <w:rFonts w:ascii="Calibri" w:hAnsi="Calibri"/>
                <w:noProof/>
                <w:sz w:val="18"/>
              </w:rPr>
              <w:t>)</w:t>
            </w:r>
          </w:p>
        </w:tc>
        <w:tc>
          <w:tcPr>
            <w:tcW w:w="1475" w:type="dxa"/>
            <w:vAlign w:val="center"/>
          </w:tcPr>
          <w:p>
            <w:pPr>
              <w:rPr>
                <w:noProof/>
                <w:sz w:val="18"/>
                <w:szCs w:val="18"/>
              </w:rPr>
            </w:pPr>
            <w:r>
              <w:rPr>
                <w:rFonts w:ascii="Calibri" w:hAnsi="Calibri"/>
                <w:noProof/>
                <w:sz w:val="18"/>
                <w:highlight w:val="green"/>
              </w:rPr>
              <w:t>4</w:t>
            </w:r>
            <w:r>
              <w:rPr>
                <w:rFonts w:ascii="Calibri" w:hAnsi="Calibri"/>
                <w:noProof/>
                <w:sz w:val="18"/>
              </w:rPr>
              <w:t xml:space="preserve"> (</w:t>
            </w:r>
            <w:r>
              <w:rPr>
                <w:rFonts w:ascii="Calibri" w:hAnsi="Calibri"/>
                <w:noProof/>
                <w:sz w:val="18"/>
                <w:highlight w:val="green"/>
              </w:rPr>
              <w:t>43</w:t>
            </w:r>
            <w:r>
              <w:rPr>
                <w:rFonts w:ascii="Calibri" w:hAnsi="Calibri"/>
                <w:noProof/>
                <w:sz w:val="18"/>
              </w:rPr>
              <w:t> </w:t>
            </w:r>
            <w:r>
              <w:rPr>
                <w:rFonts w:ascii="Calibri" w:hAnsi="Calibri"/>
                <w:noProof/>
                <w:sz w:val="18"/>
                <w:highlight w:val="green"/>
              </w:rPr>
              <w:t>000</w:t>
            </w:r>
            <w:r>
              <w:rPr>
                <w:rFonts w:ascii="Calibri" w:hAnsi="Calibri"/>
                <w:noProof/>
                <w:sz w:val="18"/>
              </w:rPr>
              <w:t>)</w:t>
            </w:r>
          </w:p>
        </w:tc>
        <w:tc>
          <w:tcPr>
            <w:tcW w:w="2693" w:type="dxa"/>
            <w:vAlign w:val="center"/>
          </w:tcPr>
          <w:p>
            <w:pPr>
              <w:rPr>
                <w:noProof/>
                <w:sz w:val="18"/>
                <w:szCs w:val="18"/>
              </w:rPr>
            </w:pPr>
            <w:r>
              <w:rPr>
                <w:noProof/>
                <w:sz w:val="18"/>
                <w:highlight w:val="green"/>
              </w:rPr>
              <w:t>5</w:t>
            </w:r>
            <w:r>
              <w:rPr>
                <w:noProof/>
                <w:sz w:val="18"/>
              </w:rPr>
              <w:t xml:space="preserve"> (</w:t>
            </w:r>
            <w:r>
              <w:rPr>
                <w:noProof/>
                <w:sz w:val="18"/>
                <w:highlight w:val="green"/>
              </w:rPr>
              <w:t>62</w:t>
            </w:r>
            <w:r>
              <w:rPr>
                <w:noProof/>
                <w:sz w:val="18"/>
              </w:rPr>
              <w:t>)</w:t>
            </w:r>
          </w:p>
        </w:tc>
      </w:tr>
      <w:tr>
        <w:tc>
          <w:tcPr>
            <w:tcW w:w="3775" w:type="dxa"/>
            <w:vAlign w:val="center"/>
          </w:tcPr>
          <w:p>
            <w:pPr>
              <w:rPr>
                <w:noProof/>
                <w:sz w:val="18"/>
                <w:szCs w:val="18"/>
              </w:rPr>
            </w:pPr>
            <w:r>
              <w:rPr>
                <w:rFonts w:ascii="Calibri" w:hAnsi="Calibri"/>
                <w:noProof/>
                <w:sz w:val="18"/>
              </w:rPr>
              <w:t>Coordonnées du siège, des entrepôts et des distributeurs</w:t>
            </w:r>
          </w:p>
        </w:tc>
        <w:tc>
          <w:tcPr>
            <w:tcW w:w="1379" w:type="dxa"/>
            <w:vAlign w:val="center"/>
          </w:tcPr>
          <w:p>
            <w:pPr>
              <w:rPr>
                <w:noProof/>
                <w:sz w:val="18"/>
                <w:szCs w:val="18"/>
              </w:rPr>
            </w:pPr>
            <w:r>
              <w:rPr>
                <w:rFonts w:ascii="Calibri" w:hAnsi="Calibri"/>
                <w:noProof/>
                <w:sz w:val="18"/>
                <w:highlight w:val="green"/>
              </w:rPr>
              <w:t>5</w:t>
            </w:r>
            <w:r>
              <w:rPr>
                <w:rFonts w:ascii="Calibri" w:hAnsi="Calibri"/>
                <w:noProof/>
                <w:sz w:val="18"/>
              </w:rPr>
              <w:t xml:space="preserve"> (</w:t>
            </w:r>
            <w:r>
              <w:rPr>
                <w:rFonts w:ascii="Calibri" w:hAnsi="Calibri"/>
                <w:noProof/>
                <w:sz w:val="18"/>
                <w:highlight w:val="green"/>
              </w:rPr>
              <w:t>41</w:t>
            </w:r>
            <w:r>
              <w:rPr>
                <w:rFonts w:ascii="Calibri" w:hAnsi="Calibri"/>
                <w:noProof/>
                <w:sz w:val="18"/>
              </w:rPr>
              <w:t> </w:t>
            </w:r>
            <w:r>
              <w:rPr>
                <w:rFonts w:ascii="Calibri" w:hAnsi="Calibri"/>
                <w:noProof/>
                <w:sz w:val="18"/>
                <w:highlight w:val="green"/>
              </w:rPr>
              <w:t>000</w:t>
            </w:r>
            <w:r>
              <w:rPr>
                <w:rFonts w:ascii="Calibri" w:hAnsi="Calibri"/>
                <w:noProof/>
                <w:sz w:val="18"/>
              </w:rPr>
              <w:t>)</w:t>
            </w:r>
          </w:p>
        </w:tc>
        <w:tc>
          <w:tcPr>
            <w:tcW w:w="1475" w:type="dxa"/>
            <w:vAlign w:val="center"/>
          </w:tcPr>
          <w:p>
            <w:pPr>
              <w:rPr>
                <w:noProof/>
                <w:sz w:val="18"/>
                <w:szCs w:val="18"/>
              </w:rPr>
            </w:pPr>
            <w:r>
              <w:rPr>
                <w:rFonts w:ascii="Calibri" w:hAnsi="Calibri"/>
                <w:noProof/>
                <w:sz w:val="18"/>
                <w:highlight w:val="green"/>
              </w:rPr>
              <w:t>1</w:t>
            </w:r>
            <w:r>
              <w:rPr>
                <w:rFonts w:ascii="Calibri" w:hAnsi="Calibri"/>
                <w:noProof/>
                <w:sz w:val="18"/>
              </w:rPr>
              <w:t xml:space="preserve"> (</w:t>
            </w:r>
            <w:r>
              <w:rPr>
                <w:rFonts w:ascii="Calibri" w:hAnsi="Calibri"/>
                <w:noProof/>
                <w:sz w:val="18"/>
                <w:highlight w:val="green"/>
              </w:rPr>
              <w:t>80</w:t>
            </w:r>
            <w:r>
              <w:rPr>
                <w:rFonts w:ascii="Calibri" w:hAnsi="Calibri"/>
                <w:noProof/>
                <w:sz w:val="18"/>
              </w:rPr>
              <w:t>)</w:t>
            </w:r>
          </w:p>
        </w:tc>
        <w:tc>
          <w:tcPr>
            <w:tcW w:w="2693" w:type="dxa"/>
            <w:vAlign w:val="center"/>
          </w:tcPr>
          <w:p>
            <w:pPr>
              <w:rPr>
                <w:noProof/>
                <w:sz w:val="18"/>
                <w:szCs w:val="18"/>
              </w:rPr>
            </w:pPr>
            <w:r>
              <w:rPr>
                <w:noProof/>
                <w:sz w:val="18"/>
                <w:highlight w:val="green"/>
              </w:rPr>
              <w:t>0</w:t>
            </w:r>
          </w:p>
        </w:tc>
      </w:tr>
      <w:tr>
        <w:tc>
          <w:tcPr>
            <w:tcW w:w="3775" w:type="dxa"/>
            <w:vAlign w:val="center"/>
          </w:tcPr>
          <w:p>
            <w:pPr>
              <w:rPr>
                <w:noProof/>
                <w:sz w:val="18"/>
                <w:szCs w:val="18"/>
              </w:rPr>
            </w:pPr>
            <w:r>
              <w:rPr>
                <w:rFonts w:ascii="Calibri" w:hAnsi="Calibri"/>
                <w:noProof/>
                <w:sz w:val="18"/>
              </w:rPr>
              <w:t>Contrats de travail et/ou nombre d’employés</w:t>
            </w:r>
          </w:p>
        </w:tc>
        <w:tc>
          <w:tcPr>
            <w:tcW w:w="1379" w:type="dxa"/>
            <w:vAlign w:val="center"/>
          </w:tcPr>
          <w:p>
            <w:pPr>
              <w:rPr>
                <w:noProof/>
                <w:sz w:val="18"/>
                <w:szCs w:val="18"/>
              </w:rPr>
            </w:pPr>
            <w:r>
              <w:rPr>
                <w:rFonts w:ascii="Calibri" w:hAnsi="Calibri"/>
                <w:noProof/>
                <w:sz w:val="18"/>
                <w:highlight w:val="green"/>
              </w:rPr>
              <w:t>4</w:t>
            </w:r>
            <w:r>
              <w:rPr>
                <w:rFonts w:ascii="Calibri" w:hAnsi="Calibri"/>
                <w:noProof/>
                <w:sz w:val="18"/>
              </w:rPr>
              <w:t xml:space="preserve"> (</w:t>
            </w:r>
            <w:r>
              <w:rPr>
                <w:rFonts w:ascii="Calibri" w:hAnsi="Calibri"/>
                <w:noProof/>
                <w:sz w:val="18"/>
                <w:highlight w:val="green"/>
              </w:rPr>
              <w:t>9</w:t>
            </w:r>
            <w:r>
              <w:rPr>
                <w:rFonts w:ascii="Calibri" w:hAnsi="Calibri"/>
                <w:noProof/>
                <w:sz w:val="18"/>
              </w:rPr>
              <w:t> </w:t>
            </w:r>
            <w:r>
              <w:rPr>
                <w:rFonts w:ascii="Calibri" w:hAnsi="Calibri"/>
                <w:noProof/>
                <w:sz w:val="18"/>
                <w:highlight w:val="green"/>
              </w:rPr>
              <w:t>400</w:t>
            </w:r>
            <w:r>
              <w:rPr>
                <w:rFonts w:ascii="Calibri" w:hAnsi="Calibri"/>
                <w:noProof/>
                <w:sz w:val="18"/>
              </w:rPr>
              <w:t>)</w:t>
            </w:r>
          </w:p>
        </w:tc>
        <w:tc>
          <w:tcPr>
            <w:tcW w:w="1475" w:type="dxa"/>
            <w:vAlign w:val="center"/>
          </w:tcPr>
          <w:p>
            <w:pPr>
              <w:rPr>
                <w:noProof/>
                <w:sz w:val="18"/>
                <w:szCs w:val="18"/>
              </w:rPr>
            </w:pPr>
            <w:r>
              <w:rPr>
                <w:rFonts w:ascii="Calibri" w:hAnsi="Calibri"/>
                <w:noProof/>
                <w:sz w:val="18"/>
                <w:highlight w:val="green"/>
              </w:rPr>
              <w:t>2</w:t>
            </w:r>
            <w:r>
              <w:rPr>
                <w:rFonts w:ascii="Calibri" w:hAnsi="Calibri"/>
                <w:noProof/>
                <w:sz w:val="18"/>
              </w:rPr>
              <w:t xml:space="preserve"> (</w:t>
            </w:r>
            <w:r>
              <w:rPr>
                <w:rFonts w:ascii="Calibri" w:hAnsi="Calibri"/>
                <w:noProof/>
                <w:sz w:val="18"/>
                <w:highlight w:val="green"/>
              </w:rPr>
              <w:t>80</w:t>
            </w:r>
            <w:r>
              <w:rPr>
                <w:rFonts w:ascii="Calibri" w:hAnsi="Calibri"/>
                <w:noProof/>
                <w:sz w:val="18"/>
              </w:rPr>
              <w:t>)</w:t>
            </w:r>
          </w:p>
        </w:tc>
        <w:tc>
          <w:tcPr>
            <w:tcW w:w="2693" w:type="dxa"/>
            <w:vAlign w:val="center"/>
          </w:tcPr>
          <w:p>
            <w:pPr>
              <w:rPr>
                <w:noProof/>
                <w:sz w:val="18"/>
                <w:szCs w:val="18"/>
              </w:rPr>
            </w:pPr>
            <w:r>
              <w:rPr>
                <w:noProof/>
                <w:sz w:val="18"/>
                <w:highlight w:val="green"/>
              </w:rPr>
              <w:t>0</w:t>
            </w:r>
          </w:p>
        </w:tc>
      </w:tr>
      <w:tr>
        <w:tc>
          <w:tcPr>
            <w:tcW w:w="3775" w:type="dxa"/>
            <w:tcBorders>
              <w:bottom w:val="single" w:sz="4" w:space="0" w:color="auto"/>
            </w:tcBorders>
            <w:vAlign w:val="center"/>
          </w:tcPr>
          <w:p>
            <w:pPr>
              <w:rPr>
                <w:noProof/>
                <w:sz w:val="18"/>
                <w:szCs w:val="18"/>
              </w:rPr>
            </w:pPr>
            <w:r>
              <w:rPr>
                <w:rFonts w:ascii="Calibri" w:hAnsi="Calibri"/>
                <w:noProof/>
                <w:sz w:val="18"/>
              </w:rPr>
              <w:t>Caractéristiques du/des produit(s) et processus de fabrication</w:t>
            </w:r>
          </w:p>
        </w:tc>
        <w:tc>
          <w:tcPr>
            <w:tcW w:w="1379" w:type="dxa"/>
            <w:tcBorders>
              <w:bottom w:val="single" w:sz="4" w:space="0" w:color="auto"/>
            </w:tcBorders>
            <w:vAlign w:val="center"/>
          </w:tcPr>
          <w:p>
            <w:pPr>
              <w:rPr>
                <w:noProof/>
                <w:sz w:val="18"/>
                <w:szCs w:val="18"/>
              </w:rPr>
            </w:pPr>
            <w:r>
              <w:rPr>
                <w:rFonts w:ascii="Calibri" w:hAnsi="Calibri"/>
                <w:noProof/>
                <w:sz w:val="18"/>
                <w:highlight w:val="green"/>
              </w:rPr>
              <w:t>2</w:t>
            </w:r>
            <w:r>
              <w:rPr>
                <w:rFonts w:ascii="Calibri" w:hAnsi="Calibri"/>
                <w:noProof/>
                <w:sz w:val="18"/>
              </w:rPr>
              <w:t xml:space="preserve"> (</w:t>
            </w:r>
            <w:r>
              <w:rPr>
                <w:rFonts w:ascii="Calibri" w:hAnsi="Calibri"/>
                <w:noProof/>
                <w:sz w:val="18"/>
                <w:highlight w:val="green"/>
              </w:rPr>
              <w:t>90</w:t>
            </w:r>
            <w:r>
              <w:rPr>
                <w:rFonts w:ascii="Calibri" w:hAnsi="Calibri"/>
                <w:noProof/>
                <w:sz w:val="18"/>
              </w:rPr>
              <w:t>)</w:t>
            </w:r>
          </w:p>
        </w:tc>
        <w:tc>
          <w:tcPr>
            <w:tcW w:w="1475" w:type="dxa"/>
            <w:tcBorders>
              <w:bottom w:val="single" w:sz="4" w:space="0" w:color="auto"/>
            </w:tcBorders>
            <w:vAlign w:val="center"/>
          </w:tcPr>
          <w:p>
            <w:pPr>
              <w:rPr>
                <w:noProof/>
                <w:sz w:val="18"/>
                <w:szCs w:val="18"/>
              </w:rPr>
            </w:pPr>
            <w:r>
              <w:rPr>
                <w:rFonts w:ascii="Calibri" w:hAnsi="Calibri"/>
                <w:noProof/>
                <w:sz w:val="18"/>
                <w:highlight w:val="green"/>
              </w:rPr>
              <w:t>2</w:t>
            </w:r>
            <w:r>
              <w:rPr>
                <w:rFonts w:ascii="Calibri" w:hAnsi="Calibri"/>
                <w:noProof/>
                <w:sz w:val="18"/>
              </w:rPr>
              <w:t xml:space="preserve"> (</w:t>
            </w:r>
            <w:r>
              <w:rPr>
                <w:rFonts w:ascii="Calibri" w:hAnsi="Calibri"/>
                <w:noProof/>
                <w:sz w:val="18"/>
                <w:highlight w:val="green"/>
              </w:rPr>
              <w:t>80</w:t>
            </w:r>
            <w:r>
              <w:rPr>
                <w:rFonts w:ascii="Calibri" w:hAnsi="Calibri"/>
                <w:noProof/>
                <w:sz w:val="18"/>
              </w:rPr>
              <w:t>)</w:t>
            </w:r>
          </w:p>
        </w:tc>
        <w:tc>
          <w:tcPr>
            <w:tcW w:w="2693" w:type="dxa"/>
            <w:tcBorders>
              <w:bottom w:val="single" w:sz="4" w:space="0" w:color="auto"/>
            </w:tcBorders>
            <w:vAlign w:val="center"/>
          </w:tcPr>
          <w:p>
            <w:pPr>
              <w:rPr>
                <w:noProof/>
                <w:sz w:val="18"/>
                <w:szCs w:val="18"/>
              </w:rPr>
            </w:pPr>
            <w:r>
              <w:rPr>
                <w:noProof/>
                <w:sz w:val="18"/>
                <w:highlight w:val="green"/>
              </w:rPr>
              <w:t>6</w:t>
            </w:r>
            <w:r>
              <w:rPr>
                <w:noProof/>
                <w:sz w:val="18"/>
              </w:rPr>
              <w:t xml:space="preserve"> (</w:t>
            </w:r>
            <w:r>
              <w:rPr>
                <w:noProof/>
                <w:sz w:val="18"/>
                <w:highlight w:val="green"/>
              </w:rPr>
              <w:t>63</w:t>
            </w:r>
            <w:r>
              <w:rPr>
                <w:noProof/>
                <w:sz w:val="18"/>
              </w:rPr>
              <w:t>)</w:t>
            </w:r>
          </w:p>
        </w:tc>
      </w:tr>
      <w:tr>
        <w:tc>
          <w:tcPr>
            <w:tcW w:w="9322" w:type="dxa"/>
            <w:gridSpan w:val="4"/>
            <w:tcBorders>
              <w:left w:val="nil"/>
              <w:bottom w:val="nil"/>
              <w:right w:val="nil"/>
            </w:tcBorders>
          </w:tcPr>
          <w:p>
            <w:pPr>
              <w:spacing w:after="120"/>
              <w:rPr>
                <w:noProof/>
                <w:sz w:val="18"/>
                <w:szCs w:val="18"/>
              </w:rPr>
            </w:pPr>
            <w:r>
              <w:rPr>
                <w:noProof/>
                <w:sz w:val="18"/>
              </w:rPr>
              <w:t xml:space="preserve">Remarque: le nombre entre parenthèses indique le nombre d’entreprises représentées par le répondant. Nombre d’entreprises arrondi au millier, à la centaine ou à la dizaine les plus proches; * les questions susmentionnées n’ont pas été posées à </w:t>
            </w:r>
            <w:r>
              <w:rPr>
                <w:noProof/>
                <w:sz w:val="18"/>
                <w:highlight w:val="green"/>
              </w:rPr>
              <w:t>16</w:t>
            </w:r>
            <w:r>
              <w:rPr>
                <w:noProof/>
                <w:sz w:val="18"/>
              </w:rPr>
              <w:t xml:space="preserve"> à </w:t>
            </w:r>
            <w:r>
              <w:rPr>
                <w:noProof/>
                <w:sz w:val="18"/>
                <w:highlight w:val="green"/>
              </w:rPr>
              <w:t>23</w:t>
            </w:r>
            <w:r>
              <w:rPr>
                <w:noProof/>
                <w:sz w:val="18"/>
              </w:rPr>
              <w:t> entreprises (</w:t>
            </w:r>
            <w:r>
              <w:rPr>
                <w:noProof/>
                <w:sz w:val="18"/>
                <w:highlight w:val="green"/>
              </w:rPr>
              <w:t>36</w:t>
            </w:r>
            <w:r>
              <w:rPr>
                <w:noProof/>
                <w:sz w:val="18"/>
              </w:rPr>
              <w:t>-</w:t>
            </w:r>
            <w:r>
              <w:rPr>
                <w:noProof/>
                <w:sz w:val="18"/>
                <w:highlight w:val="green"/>
              </w:rPr>
              <w:t>52</w:t>
            </w:r>
            <w:r>
              <w:rPr>
                <w:noProof/>
                <w:sz w:val="18"/>
              </w:rPr>
              <w:t xml:space="preserve"> %); entre </w:t>
            </w:r>
            <w:r>
              <w:rPr>
                <w:noProof/>
                <w:sz w:val="18"/>
                <w:highlight w:val="green"/>
              </w:rPr>
              <w:t>17</w:t>
            </w:r>
            <w:r>
              <w:rPr>
                <w:noProof/>
                <w:sz w:val="18"/>
              </w:rPr>
              <w:t xml:space="preserve"> et </w:t>
            </w:r>
            <w:r>
              <w:rPr>
                <w:noProof/>
                <w:sz w:val="18"/>
                <w:highlight w:val="green"/>
              </w:rPr>
              <w:t>18</w:t>
            </w:r>
            <w:r>
              <w:rPr>
                <w:noProof/>
                <w:sz w:val="18"/>
              </w:rPr>
              <w:t xml:space="preserve"> entreprises (</w:t>
            </w:r>
            <w:r>
              <w:rPr>
                <w:noProof/>
                <w:sz w:val="18"/>
                <w:highlight w:val="green"/>
              </w:rPr>
              <w:t>40</w:t>
            </w:r>
            <w:r>
              <w:rPr>
                <w:noProof/>
                <w:sz w:val="18"/>
              </w:rPr>
              <w:t xml:space="preserve"> %) n’ont fourni aucune réponse; ** </w:t>
            </w:r>
            <w:r>
              <w:rPr>
                <w:noProof/>
                <w:sz w:val="18"/>
                <w:highlight w:val="green"/>
              </w:rPr>
              <w:t>2</w:t>
            </w:r>
            <w:r>
              <w:rPr>
                <w:noProof/>
                <w:sz w:val="18"/>
              </w:rPr>
              <w:t xml:space="preserve"> (</w:t>
            </w:r>
            <w:r>
              <w:rPr>
                <w:noProof/>
                <w:sz w:val="18"/>
                <w:highlight w:val="green"/>
              </w:rPr>
              <w:t>751</w:t>
            </w:r>
            <w:r>
              <w:rPr>
                <w:noProof/>
                <w:sz w:val="18"/>
              </w:rPr>
              <w:t>) entreprises ont affirmé qu’aucune question ne posait problème</w:t>
            </w:r>
          </w:p>
        </w:tc>
      </w:tr>
    </w:tbl>
    <w:p>
      <w:pPr>
        <w:jc w:val="both"/>
        <w:rPr>
          <w:noProof/>
        </w:rPr>
      </w:pPr>
      <w:r>
        <w:rPr>
          <w:noProof/>
        </w:rPr>
        <w:t>Les entreprises ont refusé de fournir des informations principalement sur les coûts non publiés, la stratégie commerciale, le chiffre d’affaires, les volumes et les bénéfices, la structure de l’actionnariat et les détails des contrats avec les partenaires commerciaux. Les réponses fournies par les entreprises n’ayant jamais participé à des consultations étaient similaires.</w:t>
      </w:r>
    </w:p>
    <w:p>
      <w:pPr>
        <w:jc w:val="both"/>
        <w:rPr>
          <w:noProof/>
        </w:rPr>
      </w:pPr>
      <w:r>
        <w:rPr>
          <w:noProof/>
        </w:rPr>
        <w:t xml:space="preserve">Ensuite, les répondants qui n’avaient pas fourni les informations demandées par les pouvoirs publics ont été invités à en donner la raison. </w:t>
      </w:r>
      <w:r>
        <w:rPr>
          <w:noProof/>
          <w:highlight w:val="green"/>
        </w:rPr>
        <w:t>4</w:t>
      </w:r>
      <w:r>
        <w:rPr>
          <w:noProof/>
        </w:rPr>
        <w:t xml:space="preserve"> répondants (représentant </w:t>
      </w:r>
      <w:r>
        <w:rPr>
          <w:noProof/>
          <w:highlight w:val="green"/>
        </w:rPr>
        <w:t>490</w:t>
      </w:r>
      <w:r>
        <w:rPr>
          <w:noProof/>
        </w:rPr>
        <w:t> </w:t>
      </w:r>
      <w:r>
        <w:rPr>
          <w:noProof/>
          <w:highlight w:val="green"/>
        </w:rPr>
        <w:t>000</w:t>
      </w:r>
      <w:r>
        <w:rPr>
          <w:noProof/>
        </w:rPr>
        <w:t xml:space="preserve"> entreprises) ont affirmé qu’il serait </w:t>
      </w:r>
      <w:r>
        <w:rPr>
          <w:b/>
          <w:noProof/>
        </w:rPr>
        <w:t>trop cher d’extraire les informations</w:t>
      </w:r>
      <w:r>
        <w:rPr>
          <w:noProof/>
        </w:rPr>
        <w:t xml:space="preserve">; </w:t>
      </w:r>
      <w:r>
        <w:rPr>
          <w:noProof/>
          <w:highlight w:val="green"/>
        </w:rPr>
        <w:t>3</w:t>
      </w:r>
      <w:r>
        <w:rPr>
          <w:noProof/>
        </w:rPr>
        <w:t xml:space="preserve"> répondants (représentant </w:t>
      </w:r>
      <w:r>
        <w:rPr>
          <w:noProof/>
          <w:highlight w:val="green"/>
        </w:rPr>
        <w:t>480</w:t>
      </w:r>
      <w:r>
        <w:rPr>
          <w:noProof/>
        </w:rPr>
        <w:t> </w:t>
      </w:r>
      <w:r>
        <w:rPr>
          <w:noProof/>
          <w:highlight w:val="green"/>
        </w:rPr>
        <w:t>000</w:t>
      </w:r>
      <w:r>
        <w:rPr>
          <w:noProof/>
        </w:rPr>
        <w:t xml:space="preserve"> entreprises) craignaient que </w:t>
      </w:r>
      <w:r>
        <w:rPr>
          <w:b/>
          <w:noProof/>
        </w:rPr>
        <w:t>des informations puissent être divulguées et utilisées soit par des concurrents, soit par les pouvoirs publics</w:t>
      </w:r>
      <w:r>
        <w:rPr>
          <w:noProof/>
        </w:rPr>
        <w:t xml:space="preserve">; </w:t>
      </w:r>
      <w:r>
        <w:rPr>
          <w:noProof/>
          <w:highlight w:val="green"/>
        </w:rPr>
        <w:t>1</w:t>
      </w:r>
      <w:r>
        <w:rPr>
          <w:noProof/>
        </w:rPr>
        <w:t xml:space="preserve"> répondant (représentant </w:t>
      </w:r>
      <w:r>
        <w:rPr>
          <w:noProof/>
          <w:highlight w:val="green"/>
        </w:rPr>
        <w:t>1</w:t>
      </w:r>
      <w:r>
        <w:rPr>
          <w:noProof/>
        </w:rPr>
        <w:t> </w:t>
      </w:r>
      <w:r>
        <w:rPr>
          <w:noProof/>
          <w:highlight w:val="green"/>
        </w:rPr>
        <w:t>300</w:t>
      </w:r>
      <w:r>
        <w:rPr>
          <w:noProof/>
        </w:rPr>
        <w:t xml:space="preserve"> entreprises) redoutait que </w:t>
      </w:r>
      <w:r>
        <w:rPr>
          <w:b/>
          <w:noProof/>
        </w:rPr>
        <w:t>des informations puissent être rendues publiques</w:t>
      </w:r>
      <w:r>
        <w:rPr>
          <w:noProof/>
        </w:rPr>
        <w:t>. Les répondants qui n’avaient jamais participé à des consultations (</w:t>
      </w:r>
      <w:r>
        <w:rPr>
          <w:noProof/>
          <w:highlight w:val="green"/>
        </w:rPr>
        <w:t>2</w:t>
      </w:r>
      <w:r>
        <w:rPr>
          <w:noProof/>
        </w:rPr>
        <w:t xml:space="preserve"> répondants, représentant chacun </w:t>
      </w:r>
      <w:r>
        <w:rPr>
          <w:noProof/>
          <w:highlight w:val="green"/>
        </w:rPr>
        <w:t>4</w:t>
      </w:r>
      <w:r>
        <w:rPr>
          <w:noProof/>
        </w:rPr>
        <w:t> entreprises) ont donné des réponses similaires.</w:t>
      </w:r>
    </w:p>
    <w:p>
      <w:pPr>
        <w:pStyle w:val="Heading3"/>
        <w:ind w:left="709" w:hanging="709"/>
        <w:rPr>
          <w:noProof/>
        </w:rPr>
      </w:pPr>
      <w:bookmarkStart w:id="87" w:name="_Toc482714245"/>
      <w:r>
        <w:rPr>
          <w:noProof/>
        </w:rPr>
        <w:t>Questions relatives aux violations des droits de l’UE, exemples d’informations fournies pour y remédier et coûts connexes</w:t>
      </w:r>
      <w:bookmarkEnd w:id="87"/>
    </w:p>
    <w:p>
      <w:pPr>
        <w:jc w:val="both"/>
        <w:rPr>
          <w:noProof/>
        </w:rPr>
      </w:pPr>
      <w:r>
        <w:rPr>
          <w:noProof/>
        </w:rPr>
        <w:t>Un quart des entreprises répondantes (</w:t>
      </w:r>
      <w:r>
        <w:rPr>
          <w:noProof/>
          <w:highlight w:val="green"/>
        </w:rPr>
        <w:t>11</w:t>
      </w:r>
      <w:r>
        <w:rPr>
          <w:noProof/>
        </w:rPr>
        <w:t xml:space="preserve"> répondants, représentant </w:t>
      </w:r>
      <w:r>
        <w:rPr>
          <w:noProof/>
          <w:highlight w:val="green"/>
        </w:rPr>
        <w:t>770</w:t>
      </w:r>
      <w:r>
        <w:rPr>
          <w:noProof/>
        </w:rPr>
        <w:t> </w:t>
      </w:r>
      <w:r>
        <w:rPr>
          <w:noProof/>
          <w:highlight w:val="green"/>
        </w:rPr>
        <w:t>000</w:t>
      </w:r>
      <w:r>
        <w:rPr>
          <w:noProof/>
        </w:rPr>
        <w:t> entreprises) et près de la moitié des citoyens (</w:t>
      </w:r>
      <w:r>
        <w:rPr>
          <w:noProof/>
          <w:highlight w:val="green"/>
        </w:rPr>
        <w:t>6</w:t>
      </w:r>
      <w:r>
        <w:rPr>
          <w:noProof/>
        </w:rPr>
        <w:t xml:space="preserve"> réponses, y compris de </w:t>
      </w:r>
      <w:r>
        <w:rPr>
          <w:noProof/>
          <w:highlight w:val="green"/>
        </w:rPr>
        <w:t>2</w:t>
      </w:r>
      <w:r>
        <w:rPr>
          <w:noProof/>
        </w:rPr>
        <w:t xml:space="preserve"> organisations de consommateurs de Grèce et du Portugal) ont été confrontés à une situation dans laquelle les droits que leur confère le droit de l’UE (égalité de traitement, libre circulation, etc.) n’ont pas été respectés dans un autre État membre. À titre d’exemple, </w:t>
      </w:r>
      <w:r>
        <w:rPr>
          <w:noProof/>
          <w:highlight w:val="green"/>
        </w:rPr>
        <w:t>1</w:t>
      </w:r>
      <w:r>
        <w:rPr>
          <w:noProof/>
        </w:rPr>
        <w:t> association de l’UE a indiqué que «</w:t>
      </w:r>
      <w:r>
        <w:rPr>
          <w:i/>
          <w:noProof/>
        </w:rPr>
        <w:t>ses membres y sont confrontés au quotidien. Souvent, les États membres ne respectent pas le droit de l’UE, instaurent des barrières/mesures nationales en matière d’établissement ou d’exercice, ou appliquent les règles de manière discriminatoire</w:t>
      </w:r>
      <w:r>
        <w:rPr>
          <w:noProof/>
        </w:rPr>
        <w:t xml:space="preserve">»; d’autres plaintes avaient trait aux marchés publics et aux pratiques déloyales dans les relations commerciales entre partenaires ayant un pouvoir de marché différent, ainsi qu’au géoblocage. Des citoyens et des organisations de consommateurs se sont plaints de problèmes liés à la discrimination par les prix fondée sur la résidence et de différentes formes de géoblocage: l’accès limité au contenu audiovisuel en ligne à l’étranger, les livraisons d’achats en ligne impossibles dans certains pays et les problèmes d’indemnisation transfrontalière.  </w:t>
      </w:r>
    </w:p>
    <w:p>
      <w:pPr>
        <w:jc w:val="both"/>
        <w:rPr>
          <w:noProof/>
        </w:rPr>
      </w:pPr>
      <w:r>
        <w:rPr>
          <w:noProof/>
          <w:highlight w:val="green"/>
        </w:rPr>
        <w:t>40</w:t>
      </w:r>
      <w:r>
        <w:rPr>
          <w:noProof/>
        </w:rPr>
        <w:t> pour cent des entreprises répondantes (</w:t>
      </w:r>
      <w:r>
        <w:rPr>
          <w:noProof/>
          <w:highlight w:val="green"/>
        </w:rPr>
        <w:t>18</w:t>
      </w:r>
      <w:r>
        <w:rPr>
          <w:noProof/>
        </w:rPr>
        <w:t xml:space="preserve"> répondants, représentant </w:t>
      </w:r>
      <w:r>
        <w:rPr>
          <w:noProof/>
          <w:highlight w:val="green"/>
        </w:rPr>
        <w:t>380</w:t>
      </w:r>
      <w:r>
        <w:rPr>
          <w:noProof/>
        </w:rPr>
        <w:t> </w:t>
      </w:r>
      <w:r>
        <w:rPr>
          <w:noProof/>
          <w:highlight w:val="green"/>
        </w:rPr>
        <w:t>000</w:t>
      </w:r>
      <w:r>
        <w:rPr>
          <w:noProof/>
        </w:rPr>
        <w:t xml:space="preserve"> entreprises) et </w:t>
      </w:r>
      <w:r>
        <w:rPr>
          <w:noProof/>
          <w:highlight w:val="green"/>
        </w:rPr>
        <w:t>30</w:t>
      </w:r>
      <w:r>
        <w:rPr>
          <w:noProof/>
        </w:rPr>
        <w:t> pour cent des citoyens (</w:t>
      </w:r>
      <w:r>
        <w:rPr>
          <w:noProof/>
          <w:highlight w:val="green"/>
        </w:rPr>
        <w:t>4</w:t>
      </w:r>
      <w:r>
        <w:rPr>
          <w:noProof/>
        </w:rPr>
        <w:t xml:space="preserve"> personnes) n’ont jamais été confrontés à une telle situation, les entreprises et les citoyens restants n’ayant pas fourni de réponse ou ayant répondu qu’ils ne savaient pas. </w:t>
      </w:r>
    </w:p>
    <w:p>
      <w:pPr>
        <w:jc w:val="both"/>
        <w:rPr>
          <w:noProof/>
        </w:rPr>
      </w:pPr>
      <w:r>
        <w:rPr>
          <w:noProof/>
        </w:rPr>
        <w:t>En cas de violation du droit de l’UE, les entreprises se plaignaient soit directement auprès de ceux qui avaient violé leurs droits (</w:t>
      </w:r>
      <w:r>
        <w:rPr>
          <w:noProof/>
          <w:highlight w:val="green"/>
        </w:rPr>
        <w:t>6</w:t>
      </w:r>
      <w:r>
        <w:rPr>
          <w:noProof/>
        </w:rPr>
        <w:t> réponses), soit auprès de la Commission européenne ou du Parlement européen (</w:t>
      </w:r>
      <w:r>
        <w:rPr>
          <w:noProof/>
          <w:highlight w:val="green"/>
        </w:rPr>
        <w:t>7</w:t>
      </w:r>
      <w:r>
        <w:rPr>
          <w:noProof/>
        </w:rPr>
        <w:t> réponses), soit auprès des autorités de l’État membre concerné (</w:t>
      </w:r>
      <w:r>
        <w:rPr>
          <w:noProof/>
          <w:highlight w:val="green"/>
        </w:rPr>
        <w:t>5</w:t>
      </w:r>
      <w:r>
        <w:rPr>
          <w:noProof/>
        </w:rPr>
        <w:t> réponses), soit auprès de leurs autorités nationales (</w:t>
      </w:r>
      <w:r>
        <w:rPr>
          <w:noProof/>
          <w:highlight w:val="green"/>
        </w:rPr>
        <w:t>4</w:t>
      </w:r>
      <w:r>
        <w:rPr>
          <w:noProof/>
        </w:rPr>
        <w:t xml:space="preserve"> réponses). Dans </w:t>
      </w:r>
      <w:r>
        <w:rPr>
          <w:noProof/>
          <w:highlight w:val="green"/>
        </w:rPr>
        <w:t>5</w:t>
      </w:r>
      <w:r>
        <w:rPr>
          <w:noProof/>
        </w:rPr>
        <w:t xml:space="preserve"> cas (représentant </w:t>
      </w:r>
      <w:r>
        <w:rPr>
          <w:noProof/>
          <w:highlight w:val="green"/>
        </w:rPr>
        <w:t>100</w:t>
      </w:r>
      <w:r>
        <w:rPr>
          <w:noProof/>
        </w:rPr>
        <w:t xml:space="preserve"> entreprises), il a été demandé aux répondants de communiquer des informations supplémentaires aux pouvoirs publics pour résoudre le problème; dans </w:t>
      </w:r>
      <w:r>
        <w:rPr>
          <w:noProof/>
          <w:highlight w:val="green"/>
        </w:rPr>
        <w:t>4</w:t>
      </w:r>
      <w:r>
        <w:rPr>
          <w:noProof/>
        </w:rPr>
        <w:t xml:space="preserve"> cas, les informations étaient confidentielles et </w:t>
      </w:r>
      <w:r>
        <w:rPr>
          <w:noProof/>
          <w:highlight w:val="green"/>
        </w:rPr>
        <w:t>2</w:t>
      </w:r>
      <w:r>
        <w:rPr>
          <w:noProof/>
        </w:rPr>
        <w:t xml:space="preserve"> répondants (représentant </w:t>
      </w:r>
      <w:r>
        <w:rPr>
          <w:noProof/>
          <w:highlight w:val="green"/>
        </w:rPr>
        <w:t>80</w:t>
      </w:r>
      <w:r>
        <w:rPr>
          <w:noProof/>
        </w:rPr>
        <w:t xml:space="preserve"> entreprises) ne les ont pas fournies dans tous les cas. Les informations confidentielles concernaient principalement la stratégie commerciale, les détails des contrats, la structure de l’actionnariat, les opérations transfrontalières et le chiffre d’affaires (</w:t>
      </w:r>
      <w:r>
        <w:rPr>
          <w:noProof/>
          <w:highlight w:val="green"/>
        </w:rPr>
        <w:t>3</w:t>
      </w:r>
      <w:r>
        <w:rPr>
          <w:noProof/>
        </w:rPr>
        <w:t xml:space="preserve"> répondants pour chacune des catégories, représentant </w:t>
      </w:r>
      <w:r>
        <w:rPr>
          <w:noProof/>
          <w:highlight w:val="green"/>
        </w:rPr>
        <w:t>80</w:t>
      </w:r>
      <w:r>
        <w:rPr>
          <w:noProof/>
        </w:rPr>
        <w:t xml:space="preserve"> entreprises). Les répondants ont compilé les informations requises au moyen de leurs propres archives, mais ont aussi dû prendre contact avec leurs partenaires commerciaux. </w:t>
      </w:r>
      <w:r>
        <w:rPr>
          <w:noProof/>
          <w:highlight w:val="green"/>
        </w:rPr>
        <w:t>3</w:t>
      </w:r>
      <w:r>
        <w:rPr>
          <w:noProof/>
        </w:rPr>
        <w:t xml:space="preserve"> répondants (représentant </w:t>
      </w:r>
      <w:r>
        <w:rPr>
          <w:noProof/>
          <w:highlight w:val="green"/>
        </w:rPr>
        <w:t>100</w:t>
      </w:r>
      <w:r>
        <w:rPr>
          <w:noProof/>
        </w:rPr>
        <w:t xml:space="preserve"> entreprises) ont fait appel à des cabinets d’avocats ou d’experts comptables pour préparer les informations. </w:t>
      </w:r>
    </w:p>
    <w:p>
      <w:pPr>
        <w:jc w:val="both"/>
        <w:rPr>
          <w:noProof/>
        </w:rPr>
      </w:pPr>
      <w:r>
        <w:rPr>
          <w:noProof/>
        </w:rPr>
        <w:t xml:space="preserve">En ce qui concerne le coût de préparation d’une réponse, </w:t>
      </w:r>
      <w:r>
        <w:rPr>
          <w:noProof/>
          <w:highlight w:val="green"/>
        </w:rPr>
        <w:t>1</w:t>
      </w:r>
      <w:r>
        <w:rPr>
          <w:noProof/>
        </w:rPr>
        <w:t> association a affirmé que «</w:t>
      </w:r>
      <w:r>
        <w:rPr>
          <w:i/>
          <w:noProof/>
        </w:rPr>
        <w:t>[c]es exigences en matière d’information sont trop lourdes et sont source de confusion pour la plupart des entreprises, en particulier les PME</w:t>
      </w:r>
      <w:r>
        <w:rPr>
          <w:noProof/>
        </w:rPr>
        <w:t xml:space="preserve">», et que le coût dépend du dossier et est variable. </w:t>
      </w:r>
      <w:r>
        <w:rPr>
          <w:noProof/>
          <w:highlight w:val="green"/>
        </w:rPr>
        <w:t>1</w:t>
      </w:r>
      <w:r>
        <w:rPr>
          <w:noProof/>
        </w:rPr>
        <w:t xml:space="preserve"> entreprise individuelle a estimé que le temps nécessaire à la préparation des informations dans un dossier était d’environ </w:t>
      </w:r>
      <w:r>
        <w:rPr>
          <w:noProof/>
          <w:highlight w:val="green"/>
        </w:rPr>
        <w:t>30</w:t>
      </w:r>
      <w:r>
        <w:rPr>
          <w:noProof/>
        </w:rPr>
        <w:t xml:space="preserve"> heures-homme (indiquant toutefois que ce chiffre était faible parce que les informations avaient déjà été préparées dans le cadre d’un autre dossier) et estimé le coût des conseils par une entreprise extérieure à environ </w:t>
      </w:r>
      <w:r>
        <w:rPr>
          <w:noProof/>
          <w:highlight w:val="green"/>
        </w:rPr>
        <w:t>4</w:t>
      </w:r>
      <w:r>
        <w:rPr>
          <w:noProof/>
        </w:rPr>
        <w:t> </w:t>
      </w:r>
      <w:r>
        <w:rPr>
          <w:noProof/>
          <w:highlight w:val="green"/>
        </w:rPr>
        <w:t>000</w:t>
      </w:r>
      <w:r>
        <w:rPr>
          <w:noProof/>
        </w:rPr>
        <w:t> EUR par réponse.</w:t>
      </w:r>
    </w:p>
    <w:p>
      <w:pPr>
        <w:jc w:val="both"/>
        <w:rPr>
          <w:noProof/>
        </w:rPr>
      </w:pPr>
      <w:r>
        <w:rPr>
          <w:noProof/>
          <w:highlight w:val="green"/>
        </w:rPr>
        <w:t>5</w:t>
      </w:r>
      <w:r>
        <w:rPr>
          <w:noProof/>
        </w:rPr>
        <w:t xml:space="preserve"> répondants (représentant </w:t>
      </w:r>
      <w:r>
        <w:rPr>
          <w:noProof/>
          <w:highlight w:val="green"/>
        </w:rPr>
        <w:t>180</w:t>
      </w:r>
      <w:r>
        <w:rPr>
          <w:noProof/>
        </w:rPr>
        <w:t xml:space="preserve"> entreprises) et </w:t>
      </w:r>
      <w:r>
        <w:rPr>
          <w:noProof/>
          <w:highlight w:val="green"/>
        </w:rPr>
        <w:t>2</w:t>
      </w:r>
      <w:r>
        <w:rPr>
          <w:noProof/>
        </w:rPr>
        <w:t xml:space="preserve"> organisations de consommateurs ont déclaré que le problème n’était pas résolu. Lorsqu’on leur en a demandé la raison, ils ont indiqué l’absence de coopération des entreprises d’autres États membres ou des autorités nationales; </w:t>
      </w:r>
      <w:r>
        <w:rPr>
          <w:noProof/>
          <w:highlight w:val="green"/>
        </w:rPr>
        <w:t>1</w:t>
      </w:r>
      <w:r>
        <w:rPr>
          <w:noProof/>
        </w:rPr>
        <w:t> association a expliqué que «</w:t>
      </w:r>
      <w:r>
        <w:rPr>
          <w:i/>
          <w:noProof/>
        </w:rPr>
        <w:t>[l]a Commission européenne n’a pas pris de mesure contre l’État membre ou [que] le processus était tellement long que nos membres n’avaient d’autre choix que de s’adapter à la situation. L’État membre n’a pas fourni d’informations, a fourni des informations incorrectes ou incomplètes, n’a pas respecté les délais de réponse ou a simplement décidé d’ignorer le droit de l’UE</w:t>
      </w:r>
      <w:r>
        <w:rPr>
          <w:noProof/>
        </w:rPr>
        <w:t xml:space="preserve">»; </w:t>
      </w:r>
      <w:r>
        <w:rPr>
          <w:noProof/>
          <w:highlight w:val="green"/>
        </w:rPr>
        <w:t>1</w:t>
      </w:r>
      <w:r>
        <w:rPr>
          <w:noProof/>
        </w:rPr>
        <w:t> autre répondant a affirmé que la procédure était «</w:t>
      </w:r>
      <w:r>
        <w:rPr>
          <w:i/>
          <w:noProof/>
        </w:rPr>
        <w:t>trop coûteuse ou trop complexe à engager</w:t>
      </w:r>
      <w:r>
        <w:rPr>
          <w:noProof/>
        </w:rPr>
        <w:t xml:space="preserve">»; </w:t>
      </w:r>
      <w:r>
        <w:rPr>
          <w:noProof/>
          <w:highlight w:val="green"/>
        </w:rPr>
        <w:t>1</w:t>
      </w:r>
      <w:r>
        <w:rPr>
          <w:noProof/>
        </w:rPr>
        <w:t> entreprise répondante a affirmé que les institutions de l’UE n’étaient pas intéressées par le suivi du dossier.</w:t>
      </w:r>
    </w:p>
    <w:p>
      <w:pPr>
        <w:pStyle w:val="Heading3"/>
        <w:ind w:left="709" w:hanging="709"/>
        <w:rPr>
          <w:noProof/>
        </w:rPr>
      </w:pPr>
      <w:bookmarkStart w:id="88" w:name="_Toc482714246"/>
      <w:r>
        <w:rPr>
          <w:noProof/>
        </w:rPr>
        <w:t>Conditions rendant les entreprises davantage disposées à partager des informations sensibles avec les autorités</w:t>
      </w:r>
      <w:bookmarkEnd w:id="88"/>
    </w:p>
    <w:p>
      <w:pPr>
        <w:jc w:val="both"/>
        <w:rPr>
          <w:noProof/>
        </w:rPr>
      </w:pPr>
      <w:r>
        <w:rPr>
          <w:noProof/>
        </w:rPr>
        <w:t>Par la suite, les entreprises ont été invitées à déterminer les conditions nécessaires pour qu’elles soient davantage disposées à fournir des informations aux autorités, afin de résoudre les cas de violation des droits de l’UE (tableau </w:t>
      </w:r>
      <w:r>
        <w:rPr>
          <w:noProof/>
          <w:highlight w:val="green"/>
        </w:rPr>
        <w:t>2</w:t>
      </w:r>
      <w:r>
        <w:rPr>
          <w:noProof/>
        </w:rPr>
        <w:t xml:space="preserve">). </w:t>
      </w:r>
    </w:p>
    <w:tbl>
      <w:tblPr>
        <w:tblStyle w:val="TableGrid"/>
        <w:tblW w:w="0" w:type="auto"/>
        <w:tblLook w:val="04A0" w:firstRow="1" w:lastRow="0" w:firstColumn="1" w:lastColumn="0" w:noHBand="0" w:noVBand="1"/>
      </w:tblPr>
      <w:tblGrid>
        <w:gridCol w:w="3200"/>
        <w:gridCol w:w="1161"/>
        <w:gridCol w:w="1134"/>
        <w:gridCol w:w="1276"/>
        <w:gridCol w:w="1275"/>
        <w:gridCol w:w="1196"/>
      </w:tblGrid>
      <w:tr>
        <w:tc>
          <w:tcPr>
            <w:tcW w:w="9242" w:type="dxa"/>
            <w:gridSpan w:val="6"/>
            <w:tcBorders>
              <w:top w:val="nil"/>
              <w:left w:val="nil"/>
              <w:right w:val="nil"/>
            </w:tcBorders>
          </w:tcPr>
          <w:p>
            <w:pPr>
              <w:rPr>
                <w:b/>
                <w:noProof/>
              </w:rPr>
            </w:pPr>
            <w:r>
              <w:rPr>
                <w:b/>
                <w:noProof/>
              </w:rPr>
              <w:t>Tableau </w:t>
            </w:r>
            <w:r>
              <w:rPr>
                <w:b/>
                <w:noProof/>
                <w:highlight w:val="green"/>
              </w:rPr>
              <w:t>2</w:t>
            </w:r>
            <w:r>
              <w:rPr>
                <w:b/>
                <w:noProof/>
              </w:rPr>
              <w:t>. Conditions nécessaires pour que les entreprises fournissent des informations confidentielles aux autorités</w:t>
            </w:r>
          </w:p>
        </w:tc>
      </w:tr>
      <w:tr>
        <w:tc>
          <w:tcPr>
            <w:tcW w:w="3200" w:type="dxa"/>
          </w:tcPr>
          <w:p>
            <w:pPr>
              <w:rPr>
                <w:b/>
                <w:noProof/>
                <w:sz w:val="18"/>
                <w:szCs w:val="18"/>
              </w:rPr>
            </w:pPr>
            <w:r>
              <w:rPr>
                <w:b/>
                <w:noProof/>
                <w:sz w:val="18"/>
              </w:rPr>
              <w:t>Condition</w:t>
            </w:r>
          </w:p>
        </w:tc>
        <w:tc>
          <w:tcPr>
            <w:tcW w:w="1161" w:type="dxa"/>
          </w:tcPr>
          <w:p>
            <w:pPr>
              <w:rPr>
                <w:b/>
                <w:noProof/>
                <w:sz w:val="18"/>
                <w:szCs w:val="18"/>
              </w:rPr>
            </w:pPr>
            <w:r>
              <w:rPr>
                <w:b/>
                <w:noProof/>
                <w:sz w:val="18"/>
              </w:rPr>
              <w:t>Absolument primordial</w:t>
            </w:r>
          </w:p>
        </w:tc>
        <w:tc>
          <w:tcPr>
            <w:tcW w:w="1134" w:type="dxa"/>
          </w:tcPr>
          <w:p>
            <w:pPr>
              <w:rPr>
                <w:b/>
                <w:noProof/>
                <w:sz w:val="18"/>
                <w:szCs w:val="18"/>
              </w:rPr>
            </w:pPr>
            <w:r>
              <w:rPr>
                <w:b/>
                <w:noProof/>
                <w:sz w:val="18"/>
              </w:rPr>
              <w:t>Très important</w:t>
            </w:r>
          </w:p>
        </w:tc>
        <w:tc>
          <w:tcPr>
            <w:tcW w:w="1276" w:type="dxa"/>
          </w:tcPr>
          <w:p>
            <w:pPr>
              <w:rPr>
                <w:b/>
                <w:noProof/>
                <w:sz w:val="18"/>
                <w:szCs w:val="18"/>
              </w:rPr>
            </w:pPr>
            <w:r>
              <w:rPr>
                <w:b/>
                <w:noProof/>
                <w:sz w:val="18"/>
              </w:rPr>
              <w:t>Relativement important</w:t>
            </w:r>
          </w:p>
        </w:tc>
        <w:tc>
          <w:tcPr>
            <w:tcW w:w="1275" w:type="dxa"/>
          </w:tcPr>
          <w:p>
            <w:pPr>
              <w:rPr>
                <w:b/>
                <w:noProof/>
                <w:sz w:val="18"/>
                <w:szCs w:val="18"/>
              </w:rPr>
            </w:pPr>
            <w:r>
              <w:rPr>
                <w:b/>
                <w:noProof/>
                <w:sz w:val="18"/>
              </w:rPr>
              <w:t>Peu important</w:t>
            </w:r>
          </w:p>
        </w:tc>
        <w:tc>
          <w:tcPr>
            <w:tcW w:w="1196" w:type="dxa"/>
          </w:tcPr>
          <w:p>
            <w:pPr>
              <w:rPr>
                <w:b/>
                <w:noProof/>
                <w:sz w:val="18"/>
                <w:szCs w:val="18"/>
              </w:rPr>
            </w:pPr>
            <w:r>
              <w:rPr>
                <w:b/>
                <w:noProof/>
                <w:sz w:val="18"/>
              </w:rPr>
              <w:t>Pas du tout important</w:t>
            </w:r>
          </w:p>
        </w:tc>
      </w:tr>
      <w:tr>
        <w:tc>
          <w:tcPr>
            <w:tcW w:w="3200" w:type="dxa"/>
          </w:tcPr>
          <w:p>
            <w:pPr>
              <w:rPr>
                <w:noProof/>
                <w:sz w:val="18"/>
                <w:szCs w:val="18"/>
              </w:rPr>
            </w:pPr>
            <w:r>
              <w:rPr>
                <w:noProof/>
                <w:sz w:val="18"/>
              </w:rPr>
              <w:t>Les informations resteront confidentielles</w:t>
            </w:r>
          </w:p>
        </w:tc>
        <w:tc>
          <w:tcPr>
            <w:tcW w:w="1161" w:type="dxa"/>
          </w:tcPr>
          <w:p>
            <w:pPr>
              <w:rPr>
                <w:noProof/>
                <w:sz w:val="18"/>
                <w:szCs w:val="18"/>
              </w:rPr>
            </w:pPr>
            <w:r>
              <w:rPr>
                <w:noProof/>
                <w:sz w:val="18"/>
                <w:highlight w:val="green"/>
              </w:rPr>
              <w:t>59</w:t>
            </w:r>
            <w:r>
              <w:rPr>
                <w:noProof/>
                <w:sz w:val="18"/>
              </w:rPr>
              <w:t xml:space="preserve"> % </w:t>
            </w:r>
            <w:r>
              <w:rPr>
                <w:noProof/>
                <w:sz w:val="18"/>
                <w:szCs w:val="18"/>
              </w:rPr>
              <w:br/>
            </w:r>
            <w:r>
              <w:rPr>
                <w:noProof/>
                <w:sz w:val="18"/>
              </w:rPr>
              <w:t>(</w:t>
            </w:r>
            <w:r>
              <w:rPr>
                <w:noProof/>
                <w:sz w:val="18"/>
                <w:highlight w:val="green"/>
              </w:rPr>
              <w:t>26</w:t>
            </w:r>
            <w:r>
              <w:rPr>
                <w:noProof/>
                <w:sz w:val="18"/>
              </w:rPr>
              <w:t xml:space="preserve">, </w:t>
            </w:r>
            <w:r>
              <w:rPr>
                <w:noProof/>
                <w:sz w:val="18"/>
                <w:highlight w:val="green"/>
              </w:rPr>
              <w:t>1</w:t>
            </w:r>
            <w:r>
              <w:rPr>
                <w:noProof/>
                <w:sz w:val="18"/>
              </w:rPr>
              <w:t>,</w:t>
            </w:r>
            <w:r>
              <w:rPr>
                <w:noProof/>
                <w:sz w:val="18"/>
                <w:highlight w:val="green"/>
              </w:rPr>
              <w:t>4</w:t>
            </w:r>
            <w:r>
              <w:rPr>
                <w:noProof/>
                <w:sz w:val="18"/>
              </w:rPr>
              <w:t> m)</w:t>
            </w:r>
          </w:p>
        </w:tc>
        <w:tc>
          <w:tcPr>
            <w:tcW w:w="1134" w:type="dxa"/>
          </w:tcPr>
          <w:p>
            <w:pPr>
              <w:rPr>
                <w:noProof/>
                <w:sz w:val="18"/>
                <w:szCs w:val="18"/>
              </w:rPr>
            </w:pPr>
            <w:r>
              <w:rPr>
                <w:noProof/>
                <w:sz w:val="18"/>
                <w:highlight w:val="green"/>
              </w:rPr>
              <w:t>20</w:t>
            </w:r>
            <w:r>
              <w:rPr>
                <w:noProof/>
                <w:sz w:val="18"/>
              </w:rPr>
              <w:t xml:space="preserve"> % </w:t>
            </w:r>
            <w:r>
              <w:rPr>
                <w:noProof/>
                <w:sz w:val="18"/>
                <w:szCs w:val="18"/>
              </w:rPr>
              <w:br/>
            </w:r>
            <w:r>
              <w:rPr>
                <w:noProof/>
                <w:sz w:val="18"/>
              </w:rPr>
              <w:t>(</w:t>
            </w:r>
            <w:r>
              <w:rPr>
                <w:noProof/>
                <w:sz w:val="18"/>
                <w:highlight w:val="green"/>
              </w:rPr>
              <w:t>9</w:t>
            </w:r>
            <w:r>
              <w:rPr>
                <w:noProof/>
                <w:sz w:val="18"/>
              </w:rPr>
              <w:t xml:space="preserve">, </w:t>
            </w:r>
            <w:r>
              <w:rPr>
                <w:noProof/>
                <w:sz w:val="18"/>
                <w:highlight w:val="green"/>
              </w:rPr>
              <w:t>7</w:t>
            </w:r>
            <w:r>
              <w:rPr>
                <w:noProof/>
                <w:sz w:val="18"/>
              </w:rPr>
              <w:t> k)</w:t>
            </w:r>
          </w:p>
        </w:tc>
        <w:tc>
          <w:tcPr>
            <w:tcW w:w="1276" w:type="dxa"/>
          </w:tcPr>
          <w:p>
            <w:pPr>
              <w:rPr>
                <w:noProof/>
                <w:sz w:val="18"/>
                <w:szCs w:val="18"/>
              </w:rPr>
            </w:pPr>
            <w:r>
              <w:rPr>
                <w:noProof/>
                <w:sz w:val="18"/>
                <w:highlight w:val="green"/>
              </w:rPr>
              <w:t>7</w:t>
            </w:r>
            <w:r>
              <w:rPr>
                <w:noProof/>
                <w:sz w:val="18"/>
              </w:rPr>
              <w:t xml:space="preserve"> % </w:t>
            </w:r>
            <w:r>
              <w:rPr>
                <w:noProof/>
                <w:sz w:val="18"/>
                <w:szCs w:val="18"/>
              </w:rPr>
              <w:br/>
            </w:r>
            <w:r>
              <w:rPr>
                <w:noProof/>
                <w:sz w:val="18"/>
              </w:rPr>
              <w:t>(</w:t>
            </w:r>
            <w:r>
              <w:rPr>
                <w:noProof/>
                <w:sz w:val="18"/>
                <w:highlight w:val="green"/>
              </w:rPr>
              <w:t>3</w:t>
            </w:r>
            <w:r>
              <w:rPr>
                <w:noProof/>
                <w:sz w:val="18"/>
              </w:rPr>
              <w:t xml:space="preserve">, </w:t>
            </w:r>
            <w:r>
              <w:rPr>
                <w:noProof/>
                <w:sz w:val="18"/>
                <w:highlight w:val="green"/>
              </w:rPr>
              <w:t>170</w:t>
            </w:r>
            <w:r>
              <w:rPr>
                <w:noProof/>
                <w:sz w:val="18"/>
              </w:rPr>
              <w:t>)</w:t>
            </w:r>
          </w:p>
        </w:tc>
        <w:tc>
          <w:tcPr>
            <w:tcW w:w="1275" w:type="dxa"/>
          </w:tcPr>
          <w:p>
            <w:pPr>
              <w:rPr>
                <w:noProof/>
                <w:sz w:val="18"/>
                <w:szCs w:val="18"/>
              </w:rPr>
            </w:pPr>
            <w:r>
              <w:rPr>
                <w:noProof/>
                <w:sz w:val="18"/>
                <w:highlight w:val="green"/>
              </w:rPr>
              <w:t>0</w:t>
            </w:r>
          </w:p>
        </w:tc>
        <w:tc>
          <w:tcPr>
            <w:tcW w:w="1196" w:type="dxa"/>
          </w:tcPr>
          <w:p>
            <w:pPr>
              <w:rPr>
                <w:noProof/>
                <w:sz w:val="18"/>
                <w:szCs w:val="18"/>
              </w:rPr>
            </w:pPr>
            <w:r>
              <w:rPr>
                <w:noProof/>
                <w:sz w:val="18"/>
                <w:highlight w:val="green"/>
              </w:rPr>
              <w:t>0</w:t>
            </w:r>
          </w:p>
        </w:tc>
      </w:tr>
      <w:tr>
        <w:tc>
          <w:tcPr>
            <w:tcW w:w="3200" w:type="dxa"/>
          </w:tcPr>
          <w:p>
            <w:pPr>
              <w:rPr>
                <w:noProof/>
                <w:sz w:val="18"/>
                <w:szCs w:val="18"/>
              </w:rPr>
            </w:pPr>
            <w:r>
              <w:rPr>
                <w:noProof/>
                <w:sz w:val="18"/>
              </w:rPr>
              <w:t>Les informations ne seront utilisées que dans le cadre de cette enquête</w:t>
            </w:r>
          </w:p>
        </w:tc>
        <w:tc>
          <w:tcPr>
            <w:tcW w:w="1161" w:type="dxa"/>
          </w:tcPr>
          <w:p>
            <w:pPr>
              <w:rPr>
                <w:noProof/>
                <w:sz w:val="18"/>
                <w:szCs w:val="18"/>
              </w:rPr>
            </w:pPr>
            <w:r>
              <w:rPr>
                <w:noProof/>
                <w:sz w:val="18"/>
                <w:highlight w:val="green"/>
              </w:rPr>
              <w:t>50</w:t>
            </w:r>
            <w:r>
              <w:rPr>
                <w:noProof/>
                <w:sz w:val="18"/>
              </w:rPr>
              <w:t xml:space="preserve"> % </w:t>
            </w:r>
            <w:r>
              <w:rPr>
                <w:noProof/>
                <w:sz w:val="18"/>
                <w:szCs w:val="18"/>
              </w:rPr>
              <w:br/>
            </w:r>
            <w:r>
              <w:rPr>
                <w:noProof/>
                <w:sz w:val="18"/>
              </w:rPr>
              <w:t>(</w:t>
            </w:r>
            <w:r>
              <w:rPr>
                <w:noProof/>
                <w:sz w:val="18"/>
                <w:highlight w:val="green"/>
              </w:rPr>
              <w:t>22</w:t>
            </w:r>
            <w:r>
              <w:rPr>
                <w:noProof/>
                <w:sz w:val="18"/>
              </w:rPr>
              <w:t xml:space="preserve">, </w:t>
            </w:r>
            <w:r>
              <w:rPr>
                <w:noProof/>
                <w:sz w:val="18"/>
                <w:highlight w:val="green"/>
              </w:rPr>
              <w:t>1</w:t>
            </w:r>
            <w:r>
              <w:rPr>
                <w:noProof/>
                <w:sz w:val="18"/>
              </w:rPr>
              <w:t>,</w:t>
            </w:r>
            <w:r>
              <w:rPr>
                <w:noProof/>
                <w:sz w:val="18"/>
                <w:highlight w:val="green"/>
              </w:rPr>
              <w:t>2</w:t>
            </w:r>
            <w:r>
              <w:rPr>
                <w:noProof/>
                <w:sz w:val="18"/>
              </w:rPr>
              <w:t> m)</w:t>
            </w:r>
          </w:p>
        </w:tc>
        <w:tc>
          <w:tcPr>
            <w:tcW w:w="1134" w:type="dxa"/>
          </w:tcPr>
          <w:p>
            <w:pPr>
              <w:rPr>
                <w:noProof/>
                <w:sz w:val="18"/>
                <w:szCs w:val="18"/>
              </w:rPr>
            </w:pPr>
            <w:r>
              <w:rPr>
                <w:noProof/>
                <w:sz w:val="18"/>
                <w:highlight w:val="green"/>
              </w:rPr>
              <w:t>25</w:t>
            </w:r>
            <w:r>
              <w:rPr>
                <w:noProof/>
                <w:sz w:val="18"/>
              </w:rPr>
              <w:t xml:space="preserve"> % </w:t>
            </w:r>
            <w:r>
              <w:rPr>
                <w:noProof/>
                <w:sz w:val="18"/>
                <w:szCs w:val="18"/>
              </w:rPr>
              <w:br/>
            </w:r>
            <w:r>
              <w:rPr>
                <w:noProof/>
                <w:sz w:val="18"/>
              </w:rPr>
              <w:t>(</w:t>
            </w:r>
            <w:r>
              <w:rPr>
                <w:noProof/>
                <w:sz w:val="18"/>
                <w:highlight w:val="green"/>
              </w:rPr>
              <w:t>11</w:t>
            </w:r>
            <w:r>
              <w:rPr>
                <w:noProof/>
                <w:sz w:val="18"/>
              </w:rPr>
              <w:t xml:space="preserve">, </w:t>
            </w:r>
            <w:r>
              <w:rPr>
                <w:noProof/>
                <w:sz w:val="18"/>
                <w:highlight w:val="green"/>
              </w:rPr>
              <w:t>12</w:t>
            </w:r>
            <w:r>
              <w:rPr>
                <w:noProof/>
                <w:sz w:val="18"/>
              </w:rPr>
              <w:t> k)</w:t>
            </w:r>
          </w:p>
        </w:tc>
        <w:tc>
          <w:tcPr>
            <w:tcW w:w="1276" w:type="dxa"/>
          </w:tcPr>
          <w:p>
            <w:pPr>
              <w:rPr>
                <w:noProof/>
                <w:sz w:val="18"/>
                <w:szCs w:val="18"/>
              </w:rPr>
            </w:pPr>
            <w:r>
              <w:rPr>
                <w:noProof/>
                <w:sz w:val="18"/>
                <w:highlight w:val="green"/>
              </w:rPr>
              <w:t>7</w:t>
            </w:r>
            <w:r>
              <w:rPr>
                <w:noProof/>
                <w:sz w:val="18"/>
              </w:rPr>
              <w:t xml:space="preserve"> % </w:t>
            </w:r>
            <w:r>
              <w:rPr>
                <w:noProof/>
                <w:sz w:val="18"/>
                <w:szCs w:val="18"/>
              </w:rPr>
              <w:br/>
            </w:r>
            <w:r>
              <w:rPr>
                <w:noProof/>
                <w:sz w:val="18"/>
              </w:rPr>
              <w:t>(</w:t>
            </w:r>
            <w:r>
              <w:rPr>
                <w:noProof/>
                <w:sz w:val="18"/>
                <w:highlight w:val="green"/>
              </w:rPr>
              <w:t>3</w:t>
            </w:r>
            <w:r>
              <w:rPr>
                <w:noProof/>
                <w:sz w:val="18"/>
              </w:rPr>
              <w:t xml:space="preserve">, </w:t>
            </w:r>
            <w:r>
              <w:rPr>
                <w:noProof/>
                <w:sz w:val="18"/>
                <w:highlight w:val="green"/>
              </w:rPr>
              <w:t>380</w:t>
            </w:r>
            <w:r>
              <w:rPr>
                <w:noProof/>
                <w:sz w:val="18"/>
              </w:rPr>
              <w:t>)</w:t>
            </w:r>
          </w:p>
        </w:tc>
        <w:tc>
          <w:tcPr>
            <w:tcW w:w="1275" w:type="dxa"/>
          </w:tcPr>
          <w:p>
            <w:pPr>
              <w:rPr>
                <w:noProof/>
                <w:sz w:val="18"/>
                <w:szCs w:val="18"/>
              </w:rPr>
            </w:pPr>
            <w:r>
              <w:rPr>
                <w:noProof/>
                <w:sz w:val="18"/>
                <w:highlight w:val="green"/>
              </w:rPr>
              <w:t>2</w:t>
            </w:r>
            <w:r>
              <w:rPr>
                <w:noProof/>
                <w:sz w:val="18"/>
              </w:rPr>
              <w:t xml:space="preserve"> % </w:t>
            </w:r>
          </w:p>
          <w:p>
            <w:pPr>
              <w:rPr>
                <w:noProof/>
                <w:sz w:val="18"/>
                <w:szCs w:val="18"/>
              </w:rPr>
            </w:pPr>
            <w:r>
              <w:rPr>
                <w:noProof/>
                <w:sz w:val="18"/>
              </w:rPr>
              <w:t>(</w:t>
            </w:r>
            <w:r>
              <w:rPr>
                <w:noProof/>
                <w:sz w:val="18"/>
                <w:highlight w:val="green"/>
              </w:rPr>
              <w:t>1</w:t>
            </w:r>
            <w:r>
              <w:rPr>
                <w:noProof/>
                <w:sz w:val="18"/>
              </w:rPr>
              <w:t xml:space="preserve">, </w:t>
            </w:r>
            <w:r>
              <w:rPr>
                <w:noProof/>
                <w:sz w:val="18"/>
                <w:highlight w:val="green"/>
              </w:rPr>
              <w:t>1</w:t>
            </w:r>
            <w:r>
              <w:rPr>
                <w:noProof/>
                <w:sz w:val="18"/>
              </w:rPr>
              <w:t>)</w:t>
            </w:r>
          </w:p>
        </w:tc>
        <w:tc>
          <w:tcPr>
            <w:tcW w:w="1196" w:type="dxa"/>
          </w:tcPr>
          <w:p>
            <w:pPr>
              <w:rPr>
                <w:noProof/>
                <w:sz w:val="18"/>
                <w:szCs w:val="18"/>
              </w:rPr>
            </w:pPr>
            <w:r>
              <w:rPr>
                <w:noProof/>
                <w:sz w:val="18"/>
                <w:highlight w:val="green"/>
              </w:rPr>
              <w:t>0</w:t>
            </w:r>
          </w:p>
        </w:tc>
      </w:tr>
      <w:tr>
        <w:tc>
          <w:tcPr>
            <w:tcW w:w="3200" w:type="dxa"/>
          </w:tcPr>
          <w:p>
            <w:pPr>
              <w:rPr>
                <w:noProof/>
                <w:sz w:val="18"/>
                <w:szCs w:val="18"/>
              </w:rPr>
            </w:pPr>
            <w:r>
              <w:rPr>
                <w:noProof/>
                <w:sz w:val="18"/>
              </w:rPr>
              <w:t>Ma participation sera tenue secrète</w:t>
            </w:r>
          </w:p>
        </w:tc>
        <w:tc>
          <w:tcPr>
            <w:tcW w:w="1161" w:type="dxa"/>
          </w:tcPr>
          <w:p>
            <w:pPr>
              <w:rPr>
                <w:noProof/>
                <w:sz w:val="18"/>
                <w:szCs w:val="18"/>
              </w:rPr>
            </w:pPr>
            <w:r>
              <w:rPr>
                <w:noProof/>
                <w:sz w:val="18"/>
                <w:highlight w:val="green"/>
              </w:rPr>
              <w:t>41</w:t>
            </w:r>
            <w:r>
              <w:rPr>
                <w:noProof/>
                <w:sz w:val="18"/>
              </w:rPr>
              <w:t xml:space="preserve"> % </w:t>
            </w:r>
            <w:r>
              <w:rPr>
                <w:noProof/>
                <w:sz w:val="18"/>
                <w:szCs w:val="18"/>
              </w:rPr>
              <w:br/>
            </w:r>
            <w:r>
              <w:rPr>
                <w:noProof/>
                <w:sz w:val="18"/>
              </w:rPr>
              <w:t>(</w:t>
            </w:r>
            <w:r>
              <w:rPr>
                <w:noProof/>
                <w:sz w:val="18"/>
                <w:highlight w:val="green"/>
              </w:rPr>
              <w:t>18</w:t>
            </w:r>
            <w:r>
              <w:rPr>
                <w:noProof/>
                <w:sz w:val="18"/>
              </w:rPr>
              <w:t xml:space="preserve">, </w:t>
            </w:r>
            <w:r>
              <w:rPr>
                <w:noProof/>
                <w:sz w:val="18"/>
                <w:highlight w:val="green"/>
              </w:rPr>
              <w:t>1</w:t>
            </w:r>
            <w:r>
              <w:rPr>
                <w:noProof/>
                <w:sz w:val="18"/>
              </w:rPr>
              <w:t> m)</w:t>
            </w:r>
          </w:p>
        </w:tc>
        <w:tc>
          <w:tcPr>
            <w:tcW w:w="1134" w:type="dxa"/>
          </w:tcPr>
          <w:p>
            <w:pPr>
              <w:rPr>
                <w:noProof/>
                <w:sz w:val="18"/>
                <w:szCs w:val="18"/>
              </w:rPr>
            </w:pPr>
            <w:r>
              <w:rPr>
                <w:noProof/>
                <w:sz w:val="18"/>
                <w:highlight w:val="green"/>
              </w:rPr>
              <w:t>16</w:t>
            </w:r>
            <w:r>
              <w:rPr>
                <w:noProof/>
                <w:sz w:val="18"/>
              </w:rPr>
              <w:t xml:space="preserve"> % </w:t>
            </w:r>
            <w:r>
              <w:rPr>
                <w:noProof/>
                <w:sz w:val="18"/>
                <w:szCs w:val="18"/>
              </w:rPr>
              <w:br/>
            </w:r>
            <w:r>
              <w:rPr>
                <w:noProof/>
                <w:sz w:val="18"/>
              </w:rPr>
              <w:t>(</w:t>
            </w:r>
            <w:r>
              <w:rPr>
                <w:noProof/>
                <w:sz w:val="18"/>
                <w:highlight w:val="green"/>
              </w:rPr>
              <w:t>7</w:t>
            </w:r>
            <w:r>
              <w:rPr>
                <w:noProof/>
                <w:sz w:val="18"/>
              </w:rPr>
              <w:t xml:space="preserve">, </w:t>
            </w:r>
            <w:r>
              <w:rPr>
                <w:noProof/>
                <w:sz w:val="18"/>
                <w:highlight w:val="green"/>
              </w:rPr>
              <w:t>300</w:t>
            </w:r>
            <w:r>
              <w:rPr>
                <w:noProof/>
                <w:sz w:val="18"/>
              </w:rPr>
              <w:t> k)</w:t>
            </w:r>
          </w:p>
        </w:tc>
        <w:tc>
          <w:tcPr>
            <w:tcW w:w="1276" w:type="dxa"/>
          </w:tcPr>
          <w:p>
            <w:pPr>
              <w:rPr>
                <w:noProof/>
                <w:sz w:val="18"/>
                <w:szCs w:val="18"/>
              </w:rPr>
            </w:pPr>
            <w:r>
              <w:rPr>
                <w:noProof/>
                <w:sz w:val="18"/>
                <w:highlight w:val="green"/>
              </w:rPr>
              <w:t>18</w:t>
            </w:r>
            <w:r>
              <w:rPr>
                <w:noProof/>
                <w:sz w:val="18"/>
              </w:rPr>
              <w:t xml:space="preserve"> % </w:t>
            </w:r>
            <w:r>
              <w:rPr>
                <w:noProof/>
                <w:sz w:val="18"/>
                <w:szCs w:val="18"/>
              </w:rPr>
              <w:br/>
            </w:r>
            <w:r>
              <w:rPr>
                <w:noProof/>
                <w:sz w:val="18"/>
              </w:rPr>
              <w:t>(</w:t>
            </w:r>
            <w:r>
              <w:rPr>
                <w:noProof/>
                <w:sz w:val="18"/>
                <w:highlight w:val="green"/>
              </w:rPr>
              <w:t>8</w:t>
            </w:r>
            <w:r>
              <w:rPr>
                <w:noProof/>
                <w:sz w:val="18"/>
              </w:rPr>
              <w:t xml:space="preserve">, </w:t>
            </w:r>
            <w:r>
              <w:rPr>
                <w:noProof/>
                <w:sz w:val="18"/>
                <w:highlight w:val="green"/>
              </w:rPr>
              <w:t>47</w:t>
            </w:r>
            <w:r>
              <w:rPr>
                <w:noProof/>
                <w:sz w:val="18"/>
              </w:rPr>
              <w:t> k)</w:t>
            </w:r>
          </w:p>
        </w:tc>
        <w:tc>
          <w:tcPr>
            <w:tcW w:w="1275" w:type="dxa"/>
          </w:tcPr>
          <w:p>
            <w:pPr>
              <w:rPr>
                <w:noProof/>
                <w:sz w:val="18"/>
                <w:szCs w:val="18"/>
              </w:rPr>
            </w:pPr>
            <w:r>
              <w:rPr>
                <w:noProof/>
                <w:sz w:val="18"/>
                <w:highlight w:val="green"/>
              </w:rPr>
              <w:t>5</w:t>
            </w:r>
            <w:r>
              <w:rPr>
                <w:noProof/>
                <w:sz w:val="18"/>
              </w:rPr>
              <w:t xml:space="preserve"> % </w:t>
            </w:r>
            <w:r>
              <w:rPr>
                <w:noProof/>
                <w:sz w:val="18"/>
                <w:szCs w:val="18"/>
              </w:rPr>
              <w:br/>
            </w:r>
            <w:r>
              <w:rPr>
                <w:noProof/>
                <w:sz w:val="18"/>
              </w:rPr>
              <w:t>(</w:t>
            </w:r>
            <w:r>
              <w:rPr>
                <w:noProof/>
                <w:sz w:val="18"/>
                <w:highlight w:val="green"/>
              </w:rPr>
              <w:t>2</w:t>
            </w:r>
            <w:r>
              <w:rPr>
                <w:noProof/>
                <w:sz w:val="18"/>
              </w:rPr>
              <w:t xml:space="preserve">, </w:t>
            </w:r>
            <w:r>
              <w:rPr>
                <w:noProof/>
                <w:sz w:val="18"/>
                <w:highlight w:val="green"/>
              </w:rPr>
              <w:t>90</w:t>
            </w:r>
            <w:r>
              <w:rPr>
                <w:noProof/>
                <w:sz w:val="18"/>
              </w:rPr>
              <w:t>)</w:t>
            </w:r>
          </w:p>
        </w:tc>
        <w:tc>
          <w:tcPr>
            <w:tcW w:w="1196" w:type="dxa"/>
          </w:tcPr>
          <w:p>
            <w:pPr>
              <w:rPr>
                <w:noProof/>
                <w:sz w:val="18"/>
                <w:szCs w:val="18"/>
              </w:rPr>
            </w:pPr>
            <w:r>
              <w:rPr>
                <w:noProof/>
                <w:sz w:val="18"/>
                <w:highlight w:val="green"/>
              </w:rPr>
              <w:t>7</w:t>
            </w:r>
            <w:r>
              <w:rPr>
                <w:noProof/>
                <w:sz w:val="18"/>
              </w:rPr>
              <w:t xml:space="preserve"> % </w:t>
            </w:r>
            <w:r>
              <w:rPr>
                <w:noProof/>
                <w:sz w:val="18"/>
                <w:szCs w:val="18"/>
              </w:rPr>
              <w:br/>
            </w:r>
            <w:r>
              <w:rPr>
                <w:noProof/>
                <w:sz w:val="18"/>
              </w:rPr>
              <w:t>(</w:t>
            </w:r>
            <w:r>
              <w:rPr>
                <w:noProof/>
                <w:sz w:val="18"/>
                <w:highlight w:val="green"/>
              </w:rPr>
              <w:t>3</w:t>
            </w:r>
            <w:r>
              <w:rPr>
                <w:noProof/>
                <w:sz w:val="18"/>
              </w:rPr>
              <w:t xml:space="preserve">, </w:t>
            </w:r>
            <w:r>
              <w:rPr>
                <w:noProof/>
                <w:sz w:val="18"/>
                <w:highlight w:val="green"/>
              </w:rPr>
              <w:t>300</w:t>
            </w:r>
            <w:r>
              <w:rPr>
                <w:noProof/>
                <w:sz w:val="18"/>
              </w:rPr>
              <w:t>)</w:t>
            </w:r>
          </w:p>
        </w:tc>
      </w:tr>
      <w:tr>
        <w:tc>
          <w:tcPr>
            <w:tcW w:w="3200" w:type="dxa"/>
          </w:tcPr>
          <w:p>
            <w:pPr>
              <w:rPr>
                <w:noProof/>
                <w:sz w:val="18"/>
                <w:szCs w:val="18"/>
              </w:rPr>
            </w:pPr>
            <w:r>
              <w:rPr>
                <w:noProof/>
                <w:sz w:val="18"/>
              </w:rPr>
              <w:t>Les demandes d’informations ne seront pas fréquentes</w:t>
            </w:r>
          </w:p>
        </w:tc>
        <w:tc>
          <w:tcPr>
            <w:tcW w:w="1161" w:type="dxa"/>
          </w:tcPr>
          <w:p>
            <w:pPr>
              <w:rPr>
                <w:noProof/>
                <w:sz w:val="18"/>
                <w:szCs w:val="18"/>
              </w:rPr>
            </w:pPr>
            <w:r>
              <w:rPr>
                <w:noProof/>
                <w:sz w:val="18"/>
                <w:highlight w:val="green"/>
              </w:rPr>
              <w:t>41</w:t>
            </w:r>
            <w:r>
              <w:rPr>
                <w:noProof/>
                <w:sz w:val="18"/>
              </w:rPr>
              <w:t xml:space="preserve"> % </w:t>
            </w:r>
            <w:r>
              <w:rPr>
                <w:noProof/>
                <w:sz w:val="18"/>
                <w:szCs w:val="18"/>
              </w:rPr>
              <w:br/>
            </w:r>
            <w:r>
              <w:rPr>
                <w:noProof/>
                <w:sz w:val="18"/>
              </w:rPr>
              <w:t>(</w:t>
            </w:r>
            <w:r>
              <w:rPr>
                <w:noProof/>
                <w:sz w:val="18"/>
                <w:highlight w:val="green"/>
              </w:rPr>
              <w:t>18</w:t>
            </w:r>
            <w:r>
              <w:rPr>
                <w:noProof/>
                <w:sz w:val="18"/>
              </w:rPr>
              <w:t xml:space="preserve">, </w:t>
            </w:r>
            <w:r>
              <w:rPr>
                <w:noProof/>
                <w:sz w:val="18"/>
                <w:highlight w:val="green"/>
              </w:rPr>
              <w:t>1</w:t>
            </w:r>
            <w:r>
              <w:rPr>
                <w:noProof/>
                <w:sz w:val="18"/>
              </w:rPr>
              <w:t>,</w:t>
            </w:r>
            <w:r>
              <w:rPr>
                <w:noProof/>
                <w:sz w:val="18"/>
                <w:highlight w:val="green"/>
              </w:rPr>
              <w:t>4</w:t>
            </w:r>
            <w:r>
              <w:rPr>
                <w:noProof/>
                <w:sz w:val="18"/>
              </w:rPr>
              <w:t> m)</w:t>
            </w:r>
          </w:p>
        </w:tc>
        <w:tc>
          <w:tcPr>
            <w:tcW w:w="1134" w:type="dxa"/>
          </w:tcPr>
          <w:p>
            <w:pPr>
              <w:rPr>
                <w:noProof/>
                <w:sz w:val="18"/>
                <w:szCs w:val="18"/>
              </w:rPr>
            </w:pPr>
            <w:r>
              <w:rPr>
                <w:noProof/>
                <w:sz w:val="18"/>
                <w:highlight w:val="green"/>
              </w:rPr>
              <w:t>23</w:t>
            </w:r>
            <w:r>
              <w:rPr>
                <w:noProof/>
                <w:sz w:val="18"/>
              </w:rPr>
              <w:t xml:space="preserve"> % </w:t>
            </w:r>
            <w:r>
              <w:rPr>
                <w:noProof/>
                <w:sz w:val="18"/>
                <w:szCs w:val="18"/>
              </w:rPr>
              <w:br/>
            </w:r>
            <w:r>
              <w:rPr>
                <w:noProof/>
                <w:sz w:val="18"/>
              </w:rPr>
              <w:t>(</w:t>
            </w:r>
            <w:r>
              <w:rPr>
                <w:noProof/>
                <w:sz w:val="18"/>
                <w:highlight w:val="green"/>
              </w:rPr>
              <w:t>10</w:t>
            </w:r>
            <w:r>
              <w:rPr>
                <w:noProof/>
                <w:sz w:val="18"/>
              </w:rPr>
              <w:t xml:space="preserve">, </w:t>
            </w:r>
            <w:r>
              <w:rPr>
                <w:noProof/>
                <w:sz w:val="18"/>
                <w:highlight w:val="green"/>
              </w:rPr>
              <w:t>25</w:t>
            </w:r>
            <w:r>
              <w:rPr>
                <w:noProof/>
                <w:sz w:val="18"/>
              </w:rPr>
              <w:t> k)</w:t>
            </w:r>
          </w:p>
        </w:tc>
        <w:tc>
          <w:tcPr>
            <w:tcW w:w="1276" w:type="dxa"/>
          </w:tcPr>
          <w:p>
            <w:pPr>
              <w:rPr>
                <w:noProof/>
                <w:sz w:val="18"/>
                <w:szCs w:val="18"/>
              </w:rPr>
            </w:pPr>
            <w:r>
              <w:rPr>
                <w:noProof/>
                <w:sz w:val="18"/>
                <w:highlight w:val="green"/>
              </w:rPr>
              <w:t>16</w:t>
            </w:r>
            <w:r>
              <w:rPr>
                <w:noProof/>
                <w:sz w:val="18"/>
              </w:rPr>
              <w:t xml:space="preserve"> % </w:t>
            </w:r>
            <w:r>
              <w:rPr>
                <w:noProof/>
                <w:sz w:val="18"/>
                <w:szCs w:val="18"/>
              </w:rPr>
              <w:br/>
            </w:r>
            <w:r>
              <w:rPr>
                <w:noProof/>
                <w:sz w:val="18"/>
              </w:rPr>
              <w:t>(</w:t>
            </w:r>
            <w:r>
              <w:rPr>
                <w:noProof/>
                <w:sz w:val="18"/>
                <w:highlight w:val="green"/>
              </w:rPr>
              <w:t>7</w:t>
            </w:r>
            <w:r>
              <w:rPr>
                <w:noProof/>
                <w:sz w:val="18"/>
              </w:rPr>
              <w:t xml:space="preserve">, </w:t>
            </w:r>
            <w:r>
              <w:rPr>
                <w:noProof/>
                <w:sz w:val="18"/>
                <w:highlight w:val="green"/>
              </w:rPr>
              <w:t>7</w:t>
            </w:r>
            <w:r>
              <w:rPr>
                <w:noProof/>
                <w:sz w:val="18"/>
              </w:rPr>
              <w:t> k)</w:t>
            </w:r>
          </w:p>
        </w:tc>
        <w:tc>
          <w:tcPr>
            <w:tcW w:w="1275" w:type="dxa"/>
          </w:tcPr>
          <w:p>
            <w:pPr>
              <w:rPr>
                <w:noProof/>
                <w:sz w:val="18"/>
                <w:szCs w:val="18"/>
              </w:rPr>
            </w:pPr>
            <w:r>
              <w:rPr>
                <w:noProof/>
                <w:sz w:val="18"/>
                <w:highlight w:val="green"/>
              </w:rPr>
              <w:t>5</w:t>
            </w:r>
            <w:r>
              <w:rPr>
                <w:noProof/>
                <w:sz w:val="18"/>
              </w:rPr>
              <w:t xml:space="preserve"> % </w:t>
            </w:r>
            <w:r>
              <w:rPr>
                <w:noProof/>
                <w:sz w:val="18"/>
                <w:szCs w:val="18"/>
              </w:rPr>
              <w:br/>
            </w:r>
            <w:r>
              <w:rPr>
                <w:noProof/>
                <w:sz w:val="18"/>
              </w:rPr>
              <w:t>(</w:t>
            </w:r>
            <w:r>
              <w:rPr>
                <w:noProof/>
                <w:sz w:val="18"/>
                <w:highlight w:val="green"/>
              </w:rPr>
              <w:t>2</w:t>
            </w:r>
            <w:r>
              <w:rPr>
                <w:noProof/>
                <w:sz w:val="18"/>
              </w:rPr>
              <w:t xml:space="preserve">, </w:t>
            </w:r>
            <w:r>
              <w:rPr>
                <w:noProof/>
                <w:sz w:val="18"/>
                <w:highlight w:val="green"/>
              </w:rPr>
              <w:t>2</w:t>
            </w:r>
            <w:r>
              <w:rPr>
                <w:noProof/>
                <w:sz w:val="18"/>
              </w:rPr>
              <w:t>)</w:t>
            </w:r>
          </w:p>
        </w:tc>
        <w:tc>
          <w:tcPr>
            <w:tcW w:w="1196" w:type="dxa"/>
          </w:tcPr>
          <w:p>
            <w:pPr>
              <w:rPr>
                <w:noProof/>
                <w:sz w:val="18"/>
                <w:szCs w:val="18"/>
              </w:rPr>
            </w:pPr>
            <w:r>
              <w:rPr>
                <w:noProof/>
                <w:sz w:val="18"/>
                <w:highlight w:val="green"/>
              </w:rPr>
              <w:t>2</w:t>
            </w:r>
            <w:r>
              <w:rPr>
                <w:noProof/>
                <w:sz w:val="18"/>
              </w:rPr>
              <w:t xml:space="preserve"> % </w:t>
            </w:r>
            <w:r>
              <w:rPr>
                <w:noProof/>
                <w:sz w:val="18"/>
                <w:szCs w:val="18"/>
              </w:rPr>
              <w:br/>
            </w:r>
            <w:r>
              <w:rPr>
                <w:noProof/>
                <w:sz w:val="18"/>
              </w:rPr>
              <w:t>(</w:t>
            </w:r>
            <w:r>
              <w:rPr>
                <w:noProof/>
                <w:sz w:val="18"/>
                <w:highlight w:val="green"/>
              </w:rPr>
              <w:t>1</w:t>
            </w:r>
            <w:r>
              <w:rPr>
                <w:noProof/>
                <w:sz w:val="18"/>
              </w:rPr>
              <w:t xml:space="preserve">, </w:t>
            </w:r>
            <w:r>
              <w:rPr>
                <w:noProof/>
                <w:sz w:val="18"/>
                <w:highlight w:val="green"/>
              </w:rPr>
              <w:t>300</w:t>
            </w:r>
            <w:r>
              <w:rPr>
                <w:noProof/>
                <w:sz w:val="18"/>
              </w:rPr>
              <w:t>)</w:t>
            </w:r>
          </w:p>
        </w:tc>
      </w:tr>
      <w:tr>
        <w:tc>
          <w:tcPr>
            <w:tcW w:w="3200" w:type="dxa"/>
          </w:tcPr>
          <w:p>
            <w:pPr>
              <w:rPr>
                <w:noProof/>
                <w:sz w:val="18"/>
                <w:szCs w:val="18"/>
              </w:rPr>
            </w:pPr>
            <w:r>
              <w:rPr>
                <w:noProof/>
                <w:sz w:val="18"/>
              </w:rPr>
              <w:t>L’extraction et la compilation des informations demandées ne présenteront pas de difficulté</w:t>
            </w:r>
          </w:p>
        </w:tc>
        <w:tc>
          <w:tcPr>
            <w:tcW w:w="1161" w:type="dxa"/>
          </w:tcPr>
          <w:p>
            <w:pPr>
              <w:rPr>
                <w:noProof/>
                <w:sz w:val="18"/>
                <w:szCs w:val="18"/>
              </w:rPr>
            </w:pPr>
            <w:r>
              <w:rPr>
                <w:noProof/>
                <w:sz w:val="18"/>
                <w:highlight w:val="green"/>
              </w:rPr>
              <w:t>43</w:t>
            </w:r>
            <w:r>
              <w:rPr>
                <w:noProof/>
                <w:sz w:val="18"/>
              </w:rPr>
              <w:t xml:space="preserve"> % </w:t>
            </w:r>
            <w:r>
              <w:rPr>
                <w:noProof/>
                <w:sz w:val="18"/>
                <w:szCs w:val="18"/>
              </w:rPr>
              <w:br/>
            </w:r>
            <w:r>
              <w:rPr>
                <w:noProof/>
                <w:sz w:val="18"/>
              </w:rPr>
              <w:t>(</w:t>
            </w:r>
            <w:r>
              <w:rPr>
                <w:noProof/>
                <w:sz w:val="18"/>
                <w:highlight w:val="green"/>
              </w:rPr>
              <w:t>19</w:t>
            </w:r>
            <w:r>
              <w:rPr>
                <w:noProof/>
                <w:sz w:val="18"/>
              </w:rPr>
              <w:t xml:space="preserve">, </w:t>
            </w:r>
            <w:r>
              <w:rPr>
                <w:noProof/>
                <w:sz w:val="18"/>
                <w:highlight w:val="green"/>
              </w:rPr>
              <w:t>1</w:t>
            </w:r>
            <w:r>
              <w:rPr>
                <w:noProof/>
                <w:sz w:val="18"/>
              </w:rPr>
              <w:t>,</w:t>
            </w:r>
            <w:r>
              <w:rPr>
                <w:noProof/>
                <w:sz w:val="18"/>
                <w:highlight w:val="green"/>
              </w:rPr>
              <w:t>1</w:t>
            </w:r>
            <w:r>
              <w:rPr>
                <w:noProof/>
                <w:sz w:val="18"/>
              </w:rPr>
              <w:t> m)</w:t>
            </w:r>
          </w:p>
        </w:tc>
        <w:tc>
          <w:tcPr>
            <w:tcW w:w="1134" w:type="dxa"/>
          </w:tcPr>
          <w:p>
            <w:pPr>
              <w:rPr>
                <w:noProof/>
                <w:sz w:val="18"/>
                <w:szCs w:val="18"/>
              </w:rPr>
            </w:pPr>
            <w:r>
              <w:rPr>
                <w:noProof/>
                <w:sz w:val="18"/>
                <w:highlight w:val="green"/>
              </w:rPr>
              <w:t>27</w:t>
            </w:r>
            <w:r>
              <w:rPr>
                <w:noProof/>
                <w:sz w:val="18"/>
              </w:rPr>
              <w:t xml:space="preserve"> % </w:t>
            </w:r>
            <w:r>
              <w:rPr>
                <w:noProof/>
                <w:sz w:val="18"/>
                <w:szCs w:val="18"/>
              </w:rPr>
              <w:br/>
            </w:r>
            <w:r>
              <w:rPr>
                <w:noProof/>
                <w:sz w:val="18"/>
              </w:rPr>
              <w:t>(</w:t>
            </w:r>
            <w:r>
              <w:rPr>
                <w:noProof/>
                <w:sz w:val="18"/>
                <w:highlight w:val="green"/>
              </w:rPr>
              <w:t>12</w:t>
            </w:r>
            <w:r>
              <w:rPr>
                <w:noProof/>
                <w:sz w:val="18"/>
              </w:rPr>
              <w:t xml:space="preserve">, </w:t>
            </w:r>
            <w:r>
              <w:rPr>
                <w:noProof/>
                <w:sz w:val="18"/>
                <w:highlight w:val="green"/>
              </w:rPr>
              <w:t>23</w:t>
            </w:r>
            <w:r>
              <w:rPr>
                <w:noProof/>
                <w:sz w:val="18"/>
              </w:rPr>
              <w:t> k)</w:t>
            </w:r>
          </w:p>
        </w:tc>
        <w:tc>
          <w:tcPr>
            <w:tcW w:w="1276" w:type="dxa"/>
          </w:tcPr>
          <w:p>
            <w:pPr>
              <w:rPr>
                <w:noProof/>
                <w:sz w:val="18"/>
                <w:szCs w:val="18"/>
              </w:rPr>
            </w:pPr>
            <w:r>
              <w:rPr>
                <w:noProof/>
                <w:sz w:val="18"/>
                <w:highlight w:val="green"/>
              </w:rPr>
              <w:t>11</w:t>
            </w:r>
            <w:r>
              <w:rPr>
                <w:noProof/>
                <w:sz w:val="18"/>
              </w:rPr>
              <w:t xml:space="preserve"> % </w:t>
            </w:r>
            <w:r>
              <w:rPr>
                <w:noProof/>
                <w:sz w:val="18"/>
                <w:szCs w:val="18"/>
              </w:rPr>
              <w:br/>
            </w:r>
            <w:r>
              <w:rPr>
                <w:noProof/>
                <w:sz w:val="18"/>
              </w:rPr>
              <w:t>(</w:t>
            </w:r>
            <w:r>
              <w:rPr>
                <w:noProof/>
                <w:sz w:val="18"/>
                <w:highlight w:val="green"/>
              </w:rPr>
              <w:t>5</w:t>
            </w:r>
            <w:r>
              <w:rPr>
                <w:noProof/>
                <w:sz w:val="18"/>
              </w:rPr>
              <w:t xml:space="preserve">, </w:t>
            </w:r>
            <w:r>
              <w:rPr>
                <w:noProof/>
                <w:sz w:val="18"/>
                <w:highlight w:val="green"/>
              </w:rPr>
              <w:t>220</w:t>
            </w:r>
            <w:r>
              <w:rPr>
                <w:noProof/>
                <w:sz w:val="18"/>
              </w:rPr>
              <w:t> k)</w:t>
            </w:r>
          </w:p>
        </w:tc>
        <w:tc>
          <w:tcPr>
            <w:tcW w:w="1275" w:type="dxa"/>
          </w:tcPr>
          <w:p>
            <w:pPr>
              <w:rPr>
                <w:noProof/>
                <w:sz w:val="18"/>
                <w:szCs w:val="18"/>
              </w:rPr>
            </w:pPr>
            <w:r>
              <w:rPr>
                <w:noProof/>
                <w:sz w:val="18"/>
                <w:highlight w:val="green"/>
              </w:rPr>
              <w:t>2</w:t>
            </w:r>
            <w:r>
              <w:rPr>
                <w:noProof/>
                <w:sz w:val="18"/>
              </w:rPr>
              <w:t xml:space="preserve"> % </w:t>
            </w:r>
            <w:r>
              <w:rPr>
                <w:noProof/>
                <w:sz w:val="18"/>
                <w:szCs w:val="18"/>
              </w:rPr>
              <w:br/>
            </w:r>
            <w:r>
              <w:rPr>
                <w:noProof/>
                <w:sz w:val="18"/>
              </w:rPr>
              <w:t>(</w:t>
            </w:r>
            <w:r>
              <w:rPr>
                <w:noProof/>
                <w:sz w:val="18"/>
                <w:highlight w:val="green"/>
              </w:rPr>
              <w:t>1</w:t>
            </w:r>
            <w:r>
              <w:rPr>
                <w:noProof/>
                <w:sz w:val="18"/>
              </w:rPr>
              <w:t xml:space="preserve">, </w:t>
            </w:r>
            <w:r>
              <w:rPr>
                <w:noProof/>
                <w:sz w:val="18"/>
                <w:highlight w:val="green"/>
              </w:rPr>
              <w:t>1</w:t>
            </w:r>
            <w:r>
              <w:rPr>
                <w:noProof/>
                <w:sz w:val="18"/>
              </w:rPr>
              <w:t>)</w:t>
            </w:r>
          </w:p>
        </w:tc>
        <w:tc>
          <w:tcPr>
            <w:tcW w:w="1196" w:type="dxa"/>
          </w:tcPr>
          <w:p>
            <w:pPr>
              <w:rPr>
                <w:noProof/>
                <w:sz w:val="18"/>
                <w:szCs w:val="18"/>
              </w:rPr>
            </w:pPr>
            <w:r>
              <w:rPr>
                <w:noProof/>
                <w:sz w:val="18"/>
                <w:highlight w:val="green"/>
              </w:rPr>
              <w:t>0</w:t>
            </w:r>
          </w:p>
        </w:tc>
      </w:tr>
      <w:tr>
        <w:tc>
          <w:tcPr>
            <w:tcW w:w="3200" w:type="dxa"/>
            <w:tcBorders>
              <w:bottom w:val="single" w:sz="4" w:space="0" w:color="auto"/>
            </w:tcBorders>
          </w:tcPr>
          <w:p>
            <w:pPr>
              <w:rPr>
                <w:noProof/>
                <w:sz w:val="18"/>
                <w:szCs w:val="18"/>
              </w:rPr>
            </w:pPr>
            <w:r>
              <w:rPr>
                <w:noProof/>
                <w:sz w:val="18"/>
              </w:rPr>
              <w:t>Les pouvoirs publics n’auront pas la possibilité d’acquérir les informations par d’autres moyens (p.ex. des consultations, et des études etc.)</w:t>
            </w:r>
          </w:p>
        </w:tc>
        <w:tc>
          <w:tcPr>
            <w:tcW w:w="1161" w:type="dxa"/>
            <w:tcBorders>
              <w:bottom w:val="single" w:sz="4" w:space="0" w:color="auto"/>
            </w:tcBorders>
          </w:tcPr>
          <w:p>
            <w:pPr>
              <w:rPr>
                <w:noProof/>
                <w:sz w:val="18"/>
                <w:szCs w:val="18"/>
              </w:rPr>
            </w:pPr>
            <w:r>
              <w:rPr>
                <w:noProof/>
                <w:sz w:val="18"/>
                <w:highlight w:val="green"/>
              </w:rPr>
              <w:t>41</w:t>
            </w:r>
            <w:r>
              <w:rPr>
                <w:noProof/>
                <w:sz w:val="18"/>
              </w:rPr>
              <w:t xml:space="preserve"> % </w:t>
            </w:r>
            <w:r>
              <w:rPr>
                <w:noProof/>
                <w:sz w:val="18"/>
                <w:szCs w:val="18"/>
              </w:rPr>
              <w:br/>
            </w:r>
            <w:r>
              <w:rPr>
                <w:noProof/>
                <w:sz w:val="18"/>
              </w:rPr>
              <w:t>(</w:t>
            </w:r>
            <w:r>
              <w:rPr>
                <w:noProof/>
                <w:sz w:val="18"/>
                <w:highlight w:val="green"/>
              </w:rPr>
              <w:t>18</w:t>
            </w:r>
            <w:r>
              <w:rPr>
                <w:noProof/>
                <w:sz w:val="18"/>
              </w:rPr>
              <w:t xml:space="preserve">, </w:t>
            </w:r>
            <w:r>
              <w:rPr>
                <w:noProof/>
                <w:sz w:val="18"/>
                <w:highlight w:val="green"/>
              </w:rPr>
              <w:t>1</w:t>
            </w:r>
            <w:r>
              <w:rPr>
                <w:noProof/>
                <w:sz w:val="18"/>
              </w:rPr>
              <w:t>,</w:t>
            </w:r>
            <w:r>
              <w:rPr>
                <w:noProof/>
                <w:sz w:val="18"/>
                <w:highlight w:val="green"/>
              </w:rPr>
              <w:t>2</w:t>
            </w:r>
            <w:r>
              <w:rPr>
                <w:noProof/>
                <w:sz w:val="18"/>
              </w:rPr>
              <w:t> m)</w:t>
            </w:r>
          </w:p>
        </w:tc>
        <w:tc>
          <w:tcPr>
            <w:tcW w:w="1134" w:type="dxa"/>
            <w:tcBorders>
              <w:bottom w:val="single" w:sz="4" w:space="0" w:color="auto"/>
            </w:tcBorders>
          </w:tcPr>
          <w:p>
            <w:pPr>
              <w:rPr>
                <w:noProof/>
                <w:sz w:val="18"/>
                <w:szCs w:val="18"/>
              </w:rPr>
            </w:pPr>
            <w:r>
              <w:rPr>
                <w:noProof/>
                <w:sz w:val="18"/>
                <w:highlight w:val="green"/>
              </w:rPr>
              <w:t>27</w:t>
            </w:r>
            <w:r>
              <w:rPr>
                <w:noProof/>
                <w:sz w:val="18"/>
              </w:rPr>
              <w:t xml:space="preserve"> % </w:t>
            </w:r>
            <w:r>
              <w:rPr>
                <w:noProof/>
                <w:sz w:val="18"/>
                <w:szCs w:val="18"/>
              </w:rPr>
              <w:br/>
            </w:r>
            <w:r>
              <w:rPr>
                <w:noProof/>
                <w:sz w:val="18"/>
              </w:rPr>
              <w:t>(</w:t>
            </w:r>
            <w:r>
              <w:rPr>
                <w:noProof/>
                <w:sz w:val="18"/>
                <w:highlight w:val="green"/>
              </w:rPr>
              <w:t>12</w:t>
            </w:r>
            <w:r>
              <w:rPr>
                <w:noProof/>
                <w:sz w:val="18"/>
              </w:rPr>
              <w:t xml:space="preserve">, </w:t>
            </w:r>
            <w:r>
              <w:rPr>
                <w:noProof/>
                <w:sz w:val="18"/>
                <w:highlight w:val="green"/>
              </w:rPr>
              <w:t>230</w:t>
            </w:r>
            <w:r>
              <w:rPr>
                <w:noProof/>
                <w:sz w:val="18"/>
              </w:rPr>
              <w:t> k)</w:t>
            </w:r>
          </w:p>
        </w:tc>
        <w:tc>
          <w:tcPr>
            <w:tcW w:w="1276" w:type="dxa"/>
            <w:tcBorders>
              <w:bottom w:val="single" w:sz="4" w:space="0" w:color="auto"/>
            </w:tcBorders>
          </w:tcPr>
          <w:p>
            <w:pPr>
              <w:rPr>
                <w:noProof/>
                <w:sz w:val="18"/>
                <w:szCs w:val="18"/>
              </w:rPr>
            </w:pPr>
            <w:r>
              <w:rPr>
                <w:noProof/>
                <w:sz w:val="18"/>
                <w:highlight w:val="green"/>
              </w:rPr>
              <w:t>11</w:t>
            </w:r>
            <w:r>
              <w:rPr>
                <w:noProof/>
                <w:sz w:val="18"/>
              </w:rPr>
              <w:t> %</w:t>
            </w:r>
            <w:r>
              <w:rPr>
                <w:noProof/>
                <w:sz w:val="18"/>
                <w:szCs w:val="18"/>
              </w:rPr>
              <w:br/>
            </w:r>
            <w:r>
              <w:rPr>
                <w:noProof/>
                <w:sz w:val="18"/>
              </w:rPr>
              <w:t>(</w:t>
            </w:r>
            <w:r>
              <w:rPr>
                <w:noProof/>
                <w:sz w:val="18"/>
                <w:highlight w:val="green"/>
              </w:rPr>
              <w:t>5</w:t>
            </w:r>
            <w:r>
              <w:rPr>
                <w:noProof/>
                <w:sz w:val="18"/>
              </w:rPr>
              <w:t xml:space="preserve">, </w:t>
            </w:r>
            <w:r>
              <w:rPr>
                <w:noProof/>
                <w:sz w:val="18"/>
                <w:highlight w:val="green"/>
              </w:rPr>
              <w:t>470</w:t>
            </w:r>
            <w:r>
              <w:rPr>
                <w:noProof/>
                <w:sz w:val="18"/>
              </w:rPr>
              <w:t>)</w:t>
            </w:r>
          </w:p>
        </w:tc>
        <w:tc>
          <w:tcPr>
            <w:tcW w:w="1275" w:type="dxa"/>
            <w:tcBorders>
              <w:bottom w:val="single" w:sz="4" w:space="0" w:color="auto"/>
            </w:tcBorders>
          </w:tcPr>
          <w:p>
            <w:pPr>
              <w:rPr>
                <w:noProof/>
                <w:sz w:val="18"/>
                <w:szCs w:val="18"/>
              </w:rPr>
            </w:pPr>
            <w:r>
              <w:rPr>
                <w:noProof/>
                <w:sz w:val="18"/>
                <w:highlight w:val="green"/>
              </w:rPr>
              <w:t>5</w:t>
            </w:r>
            <w:r>
              <w:rPr>
                <w:noProof/>
                <w:sz w:val="18"/>
              </w:rPr>
              <w:t xml:space="preserve"> % </w:t>
            </w:r>
            <w:r>
              <w:rPr>
                <w:noProof/>
                <w:sz w:val="18"/>
                <w:szCs w:val="18"/>
              </w:rPr>
              <w:br/>
            </w:r>
            <w:r>
              <w:rPr>
                <w:noProof/>
                <w:sz w:val="18"/>
              </w:rPr>
              <w:t>(</w:t>
            </w:r>
            <w:r>
              <w:rPr>
                <w:noProof/>
                <w:sz w:val="18"/>
                <w:highlight w:val="green"/>
              </w:rPr>
              <w:t>2</w:t>
            </w:r>
            <w:r>
              <w:rPr>
                <w:noProof/>
                <w:sz w:val="18"/>
              </w:rPr>
              <w:t xml:space="preserve">, </w:t>
            </w:r>
            <w:r>
              <w:rPr>
                <w:noProof/>
                <w:sz w:val="18"/>
                <w:highlight w:val="green"/>
              </w:rPr>
              <w:t>1</w:t>
            </w:r>
            <w:r>
              <w:rPr>
                <w:noProof/>
                <w:sz w:val="18"/>
              </w:rPr>
              <w:t>,</w:t>
            </w:r>
            <w:r>
              <w:rPr>
                <w:noProof/>
                <w:sz w:val="18"/>
                <w:highlight w:val="green"/>
              </w:rPr>
              <w:t>3</w:t>
            </w:r>
            <w:r>
              <w:rPr>
                <w:noProof/>
                <w:sz w:val="18"/>
              </w:rPr>
              <w:t> k)</w:t>
            </w:r>
          </w:p>
        </w:tc>
        <w:tc>
          <w:tcPr>
            <w:tcW w:w="1196" w:type="dxa"/>
            <w:tcBorders>
              <w:bottom w:val="single" w:sz="4" w:space="0" w:color="auto"/>
            </w:tcBorders>
          </w:tcPr>
          <w:p>
            <w:pPr>
              <w:rPr>
                <w:noProof/>
                <w:sz w:val="18"/>
                <w:szCs w:val="18"/>
              </w:rPr>
            </w:pPr>
            <w:r>
              <w:rPr>
                <w:noProof/>
                <w:sz w:val="18"/>
                <w:highlight w:val="green"/>
              </w:rPr>
              <w:t>2</w:t>
            </w:r>
            <w:r>
              <w:rPr>
                <w:noProof/>
                <w:sz w:val="18"/>
              </w:rPr>
              <w:t xml:space="preserve"> % </w:t>
            </w:r>
            <w:r>
              <w:rPr>
                <w:noProof/>
                <w:sz w:val="18"/>
                <w:szCs w:val="18"/>
              </w:rPr>
              <w:br/>
            </w:r>
            <w:r>
              <w:rPr>
                <w:noProof/>
                <w:sz w:val="18"/>
              </w:rPr>
              <w:t>(</w:t>
            </w:r>
            <w:r>
              <w:rPr>
                <w:noProof/>
                <w:sz w:val="18"/>
                <w:highlight w:val="green"/>
              </w:rPr>
              <w:t>1</w:t>
            </w:r>
            <w:r>
              <w:rPr>
                <w:noProof/>
                <w:sz w:val="18"/>
              </w:rPr>
              <w:t xml:space="preserve">, </w:t>
            </w:r>
            <w:r>
              <w:rPr>
                <w:noProof/>
                <w:sz w:val="18"/>
                <w:highlight w:val="green"/>
              </w:rPr>
              <w:t>1</w:t>
            </w:r>
            <w:r>
              <w:rPr>
                <w:noProof/>
                <w:sz w:val="18"/>
              </w:rPr>
              <w:t>)</w:t>
            </w:r>
          </w:p>
        </w:tc>
      </w:tr>
      <w:tr>
        <w:tc>
          <w:tcPr>
            <w:tcW w:w="9242" w:type="dxa"/>
            <w:gridSpan w:val="6"/>
            <w:tcBorders>
              <w:left w:val="nil"/>
              <w:bottom w:val="nil"/>
              <w:right w:val="nil"/>
            </w:tcBorders>
          </w:tcPr>
          <w:p>
            <w:pPr>
              <w:spacing w:after="120"/>
              <w:rPr>
                <w:noProof/>
                <w:sz w:val="18"/>
                <w:szCs w:val="18"/>
              </w:rPr>
            </w:pPr>
            <w:r>
              <w:rPr>
                <w:noProof/>
                <w:sz w:val="18"/>
              </w:rPr>
              <w:t>Légende: % de toutes les réponses (nombre de réponses, nombre d’entreprises représentées par les répondants), nombres arrondis</w:t>
            </w:r>
          </w:p>
        </w:tc>
      </w:tr>
    </w:tbl>
    <w:p>
      <w:pPr>
        <w:jc w:val="both"/>
        <w:rPr>
          <w:noProof/>
        </w:rPr>
      </w:pPr>
      <w:r>
        <w:rPr>
          <w:noProof/>
        </w:rPr>
        <w:t>Les entreprises sont très majoritairement d’avis que les informations devraient rester confidentielles et n’être utilisées qu’aux fins pour lesquelles elles ont été collectées, que la participation des entreprises individuelles ne devrait pas être divulguée, que les informations devraient être faciles à extraire et à compiler et qu’elles ne devraient leur être demandées que si elles ne sont pas disponibles par ailleurs.</w:t>
      </w:r>
    </w:p>
    <w:p>
      <w:pPr>
        <w:jc w:val="both"/>
        <w:rPr>
          <w:noProof/>
        </w:rPr>
      </w:pPr>
      <w:r>
        <w:rPr>
          <w:noProof/>
        </w:rPr>
        <w:t xml:space="preserve">Les répondants ont souligné la nécessité que tout outil permettant à la Commission de demander aux entreprises des informations sur le marché soit doté d’un cadre juridique solide. Un tel outil devrait au moins pouvoir garantir la confidentialité, la proportionnalité, la neutralité, la non-discrimination, des conditions équitables et la possibilité d’introduire un recours. Parmi d’autres préoccupations, la question de la limitation de la charge pesant sur les entreprises a souvent été soulevée, ainsi que le fait de ne pas demander d’informations déjà en la possession d’un autre pouvoir public. Des systèmes sécurisés de stockage de données devant protéger les secrets d’affaires des fuites ou du piratage de données ont souvent été mentionnés, ainsi que des demandes de clarification concernant la durée de conservation des données, les personnes ou les entités qui y auront accès et les personnes ou les entités qui les détiendront. Certaines entreprises s’inquiétaient également des petits marchés concentrés, où l’identification du répondant pourrait être possible malgré l’anonymisation des réponses. Plusieurs entreprises préconisaient uniquement une participation volontaire aux demandes de données. Il a été suggéré que les entreprises seraient davantage disposées à fournir des informations si on leur donnait la garantie qu’elles ne seraient pas utilisées contre elles par les autorités nationales; à défaut, une assistance juridique serait nécessaire pour préparer leurs réponses, ce qui augmenterait le coût de ces dernières. </w:t>
      </w:r>
      <w:r>
        <w:rPr>
          <w:noProof/>
          <w:highlight w:val="green"/>
        </w:rPr>
        <w:t>1</w:t>
      </w:r>
      <w:r>
        <w:rPr>
          <w:noProof/>
        </w:rPr>
        <w:t xml:space="preserve"> association d’artisans a demandé un questionnaire simple, clair et ciblé auquel les petites entreprises pourraient facilement répondre. Dans </w:t>
      </w:r>
      <w:r>
        <w:rPr>
          <w:noProof/>
          <w:highlight w:val="green"/>
        </w:rPr>
        <w:t>1</w:t>
      </w:r>
      <w:r>
        <w:rPr>
          <w:noProof/>
        </w:rPr>
        <w:t xml:space="preserve"> autre réponse, il est indiqué que le coût pourrait s’élever aussi lorsque le répondant dispose des informations, mais dans un format différent de celui demandé. Il a été suggéré d’avoir recours à des organisations locales qui pourraient rassembler les informations et envoyer des réponses agrégées. Il a également été souligné que les entreprises seraient plus enclines à participer si la Commission pouvait prouver que cette participation accélère la résolution des problèmes sur le marché. </w:t>
      </w:r>
    </w:p>
    <w:p>
      <w:pPr>
        <w:jc w:val="both"/>
        <w:rPr>
          <w:noProof/>
        </w:rPr>
      </w:pPr>
      <w:r>
        <w:rPr>
          <w:noProof/>
        </w:rPr>
        <w:t xml:space="preserve">Dans les conditions susmentionnées, les entreprises seraient disposées à fournir tous les types d’informations aux autorités, les réponses les plus positives concernant les informations sur: le chiffre d’affaires, les volumes, les bénéfices, la répartition géographique, l’actionnariat, l’emploi et les activités transfrontalières. </w:t>
      </w:r>
    </w:p>
    <w:tbl>
      <w:tblPr>
        <w:tblStyle w:val="TableGrid"/>
        <w:tblW w:w="9322" w:type="dxa"/>
        <w:tblLook w:val="04A0" w:firstRow="1" w:lastRow="0" w:firstColumn="1" w:lastColumn="0" w:noHBand="0" w:noVBand="1"/>
      </w:tblPr>
      <w:tblGrid>
        <w:gridCol w:w="7621"/>
        <w:gridCol w:w="1701"/>
      </w:tblGrid>
      <w:tr>
        <w:tc>
          <w:tcPr>
            <w:tcW w:w="9322" w:type="dxa"/>
            <w:gridSpan w:val="2"/>
            <w:tcBorders>
              <w:top w:val="nil"/>
              <w:left w:val="nil"/>
              <w:right w:val="nil"/>
            </w:tcBorders>
          </w:tcPr>
          <w:p>
            <w:pPr>
              <w:rPr>
                <w:noProof/>
              </w:rPr>
            </w:pPr>
            <w:r>
              <w:rPr>
                <w:b/>
                <w:noProof/>
              </w:rPr>
              <w:t>Tableau </w:t>
            </w:r>
            <w:r>
              <w:rPr>
                <w:b/>
                <w:noProof/>
                <w:highlight w:val="green"/>
              </w:rPr>
              <w:t>3</w:t>
            </w:r>
            <w:r>
              <w:rPr>
                <w:b/>
                <w:noProof/>
              </w:rPr>
              <w:t>. Types d’informations sensibles que les entreprises fourniraient à certaines conditions</w:t>
            </w:r>
          </w:p>
        </w:tc>
      </w:tr>
      <w:tr>
        <w:tc>
          <w:tcPr>
            <w:tcW w:w="7621" w:type="dxa"/>
            <w:vAlign w:val="center"/>
          </w:tcPr>
          <w:p>
            <w:pPr>
              <w:rPr>
                <w:noProof/>
                <w:sz w:val="18"/>
                <w:szCs w:val="18"/>
              </w:rPr>
            </w:pPr>
            <w:r>
              <w:rPr>
                <w:rFonts w:ascii="Calibri" w:hAnsi="Calibri"/>
                <w:noProof/>
                <w:sz w:val="18"/>
              </w:rPr>
              <w:t>Chiffre d’affaires, volumes ou bénéfices</w:t>
            </w:r>
          </w:p>
        </w:tc>
        <w:tc>
          <w:tcPr>
            <w:tcW w:w="1701" w:type="dxa"/>
            <w:vAlign w:val="center"/>
          </w:tcPr>
          <w:p>
            <w:pPr>
              <w:rPr>
                <w:noProof/>
                <w:sz w:val="18"/>
                <w:szCs w:val="18"/>
              </w:rPr>
            </w:pPr>
            <w:r>
              <w:rPr>
                <w:noProof/>
                <w:sz w:val="18"/>
                <w:highlight w:val="green"/>
              </w:rPr>
              <w:t>39</w:t>
            </w:r>
            <w:r>
              <w:rPr>
                <w:noProof/>
                <w:sz w:val="18"/>
              </w:rPr>
              <w:t> % (</w:t>
            </w:r>
            <w:r>
              <w:rPr>
                <w:noProof/>
                <w:sz w:val="18"/>
                <w:highlight w:val="green"/>
              </w:rPr>
              <w:t>17</w:t>
            </w:r>
            <w:r>
              <w:rPr>
                <w:noProof/>
                <w:sz w:val="18"/>
              </w:rPr>
              <w:t xml:space="preserve">, </w:t>
            </w:r>
            <w:r>
              <w:rPr>
                <w:noProof/>
                <w:sz w:val="18"/>
                <w:highlight w:val="green"/>
              </w:rPr>
              <w:t>240</w:t>
            </w:r>
            <w:r>
              <w:rPr>
                <w:noProof/>
                <w:sz w:val="18"/>
              </w:rPr>
              <w:t> k*)</w:t>
            </w:r>
          </w:p>
        </w:tc>
      </w:tr>
      <w:tr>
        <w:tc>
          <w:tcPr>
            <w:tcW w:w="7621" w:type="dxa"/>
            <w:vAlign w:val="center"/>
          </w:tcPr>
          <w:p>
            <w:pPr>
              <w:rPr>
                <w:noProof/>
                <w:sz w:val="18"/>
                <w:szCs w:val="18"/>
              </w:rPr>
            </w:pPr>
            <w:r>
              <w:rPr>
                <w:rFonts w:ascii="Calibri" w:hAnsi="Calibri"/>
                <w:noProof/>
                <w:sz w:val="18"/>
              </w:rPr>
              <w:t>Coordonnées du siège, des entrepôts et des distributeurs</w:t>
            </w:r>
          </w:p>
        </w:tc>
        <w:tc>
          <w:tcPr>
            <w:tcW w:w="1701" w:type="dxa"/>
            <w:vAlign w:val="center"/>
          </w:tcPr>
          <w:p>
            <w:pPr>
              <w:rPr>
                <w:noProof/>
                <w:sz w:val="18"/>
                <w:szCs w:val="18"/>
              </w:rPr>
            </w:pPr>
            <w:r>
              <w:rPr>
                <w:noProof/>
                <w:sz w:val="18"/>
                <w:highlight w:val="green"/>
              </w:rPr>
              <w:t>37</w:t>
            </w:r>
            <w:r>
              <w:rPr>
                <w:noProof/>
                <w:sz w:val="18"/>
              </w:rPr>
              <w:t> % (</w:t>
            </w:r>
            <w:r>
              <w:rPr>
                <w:noProof/>
                <w:sz w:val="18"/>
                <w:highlight w:val="green"/>
              </w:rPr>
              <w:t>16</w:t>
            </w:r>
            <w:r>
              <w:rPr>
                <w:noProof/>
                <w:sz w:val="18"/>
              </w:rPr>
              <w:t xml:space="preserve">, </w:t>
            </w:r>
            <w:r>
              <w:rPr>
                <w:noProof/>
                <w:sz w:val="18"/>
                <w:highlight w:val="green"/>
              </w:rPr>
              <w:t>690</w:t>
            </w:r>
            <w:r>
              <w:rPr>
                <w:noProof/>
                <w:sz w:val="18"/>
              </w:rPr>
              <w:t> k*)</w:t>
            </w:r>
          </w:p>
        </w:tc>
      </w:tr>
      <w:tr>
        <w:tc>
          <w:tcPr>
            <w:tcW w:w="7621" w:type="dxa"/>
            <w:vAlign w:val="center"/>
          </w:tcPr>
          <w:p>
            <w:pPr>
              <w:rPr>
                <w:noProof/>
                <w:sz w:val="18"/>
                <w:szCs w:val="18"/>
              </w:rPr>
            </w:pPr>
            <w:r>
              <w:rPr>
                <w:rFonts w:ascii="Calibri" w:hAnsi="Calibri"/>
                <w:noProof/>
                <w:sz w:val="18"/>
              </w:rPr>
              <w:t>Structure de l’actionnariat</w:t>
            </w:r>
          </w:p>
        </w:tc>
        <w:tc>
          <w:tcPr>
            <w:tcW w:w="1701" w:type="dxa"/>
            <w:vAlign w:val="center"/>
          </w:tcPr>
          <w:p>
            <w:pPr>
              <w:rPr>
                <w:noProof/>
                <w:sz w:val="18"/>
                <w:szCs w:val="18"/>
              </w:rPr>
            </w:pPr>
            <w:r>
              <w:rPr>
                <w:noProof/>
                <w:sz w:val="18"/>
                <w:highlight w:val="green"/>
              </w:rPr>
              <w:t>32</w:t>
            </w:r>
            <w:r>
              <w:rPr>
                <w:noProof/>
                <w:sz w:val="18"/>
              </w:rPr>
              <w:t> % (</w:t>
            </w:r>
            <w:r>
              <w:rPr>
                <w:noProof/>
                <w:sz w:val="18"/>
                <w:highlight w:val="green"/>
              </w:rPr>
              <w:t>14</w:t>
            </w:r>
            <w:r>
              <w:rPr>
                <w:noProof/>
                <w:sz w:val="18"/>
              </w:rPr>
              <w:t xml:space="preserve">, </w:t>
            </w:r>
            <w:r>
              <w:rPr>
                <w:noProof/>
                <w:sz w:val="18"/>
                <w:highlight w:val="green"/>
              </w:rPr>
              <w:t>700</w:t>
            </w:r>
            <w:r>
              <w:rPr>
                <w:noProof/>
                <w:sz w:val="18"/>
              </w:rPr>
              <w:t> k*)</w:t>
            </w:r>
          </w:p>
        </w:tc>
      </w:tr>
      <w:tr>
        <w:tc>
          <w:tcPr>
            <w:tcW w:w="7621" w:type="dxa"/>
            <w:vAlign w:val="center"/>
          </w:tcPr>
          <w:p>
            <w:pPr>
              <w:rPr>
                <w:noProof/>
                <w:sz w:val="18"/>
                <w:szCs w:val="18"/>
              </w:rPr>
            </w:pPr>
            <w:r>
              <w:rPr>
                <w:rFonts w:ascii="Calibri" w:hAnsi="Calibri"/>
                <w:noProof/>
                <w:sz w:val="18"/>
              </w:rPr>
              <w:t>Contrats de travail et/ou nombre d’employés</w:t>
            </w:r>
          </w:p>
        </w:tc>
        <w:tc>
          <w:tcPr>
            <w:tcW w:w="1701" w:type="dxa"/>
            <w:vAlign w:val="center"/>
          </w:tcPr>
          <w:p>
            <w:pPr>
              <w:rPr>
                <w:noProof/>
                <w:sz w:val="18"/>
                <w:szCs w:val="18"/>
              </w:rPr>
            </w:pPr>
            <w:r>
              <w:rPr>
                <w:noProof/>
                <w:sz w:val="18"/>
                <w:highlight w:val="green"/>
              </w:rPr>
              <w:t>30</w:t>
            </w:r>
            <w:r>
              <w:rPr>
                <w:noProof/>
                <w:sz w:val="18"/>
              </w:rPr>
              <w:t> % (</w:t>
            </w:r>
            <w:r>
              <w:rPr>
                <w:noProof/>
                <w:sz w:val="18"/>
                <w:highlight w:val="green"/>
              </w:rPr>
              <w:t>13</w:t>
            </w:r>
            <w:r>
              <w:rPr>
                <w:noProof/>
                <w:sz w:val="18"/>
              </w:rPr>
              <w:t xml:space="preserve">, </w:t>
            </w:r>
            <w:r>
              <w:rPr>
                <w:noProof/>
                <w:sz w:val="18"/>
                <w:highlight w:val="green"/>
              </w:rPr>
              <w:t>240</w:t>
            </w:r>
            <w:r>
              <w:rPr>
                <w:noProof/>
                <w:sz w:val="18"/>
              </w:rPr>
              <w:t> k*)</w:t>
            </w:r>
          </w:p>
        </w:tc>
      </w:tr>
      <w:tr>
        <w:tc>
          <w:tcPr>
            <w:tcW w:w="7621" w:type="dxa"/>
            <w:vAlign w:val="center"/>
          </w:tcPr>
          <w:p>
            <w:pPr>
              <w:rPr>
                <w:noProof/>
                <w:sz w:val="18"/>
                <w:szCs w:val="18"/>
              </w:rPr>
            </w:pPr>
            <w:r>
              <w:rPr>
                <w:rFonts w:ascii="Calibri" w:hAnsi="Calibri"/>
                <w:noProof/>
                <w:sz w:val="18"/>
              </w:rPr>
              <w:t>Informations sur les affaires transfrontalières (p.ex. les succursales ou les filiales à l’étranger, les coûts des opérations transfrontalières, la prestation de service transfrontalière directe)</w:t>
            </w:r>
          </w:p>
        </w:tc>
        <w:tc>
          <w:tcPr>
            <w:tcW w:w="1701" w:type="dxa"/>
            <w:vAlign w:val="center"/>
          </w:tcPr>
          <w:p>
            <w:pPr>
              <w:rPr>
                <w:noProof/>
                <w:sz w:val="18"/>
                <w:szCs w:val="18"/>
              </w:rPr>
            </w:pPr>
            <w:r>
              <w:rPr>
                <w:noProof/>
                <w:sz w:val="18"/>
                <w:highlight w:val="green"/>
              </w:rPr>
              <w:t>27</w:t>
            </w:r>
            <w:r>
              <w:rPr>
                <w:noProof/>
                <w:sz w:val="18"/>
              </w:rPr>
              <w:t> % (</w:t>
            </w:r>
            <w:r>
              <w:rPr>
                <w:noProof/>
                <w:sz w:val="18"/>
                <w:highlight w:val="green"/>
              </w:rPr>
              <w:t>12</w:t>
            </w:r>
            <w:r>
              <w:rPr>
                <w:noProof/>
                <w:sz w:val="18"/>
              </w:rPr>
              <w:t xml:space="preserve">, </w:t>
            </w:r>
            <w:r>
              <w:rPr>
                <w:noProof/>
                <w:sz w:val="18"/>
                <w:highlight w:val="green"/>
              </w:rPr>
              <w:t>230</w:t>
            </w:r>
            <w:r>
              <w:rPr>
                <w:noProof/>
                <w:sz w:val="18"/>
              </w:rPr>
              <w:t> k*)</w:t>
            </w:r>
          </w:p>
        </w:tc>
      </w:tr>
      <w:tr>
        <w:tc>
          <w:tcPr>
            <w:tcW w:w="7621" w:type="dxa"/>
            <w:vAlign w:val="center"/>
          </w:tcPr>
          <w:p>
            <w:pPr>
              <w:rPr>
                <w:noProof/>
                <w:sz w:val="18"/>
                <w:szCs w:val="18"/>
              </w:rPr>
            </w:pPr>
            <w:r>
              <w:rPr>
                <w:rFonts w:ascii="Calibri" w:hAnsi="Calibri"/>
                <w:noProof/>
                <w:sz w:val="18"/>
              </w:rPr>
              <w:t>Stratégie commerciale (p.ex. la politique de prix)</w:t>
            </w:r>
          </w:p>
        </w:tc>
        <w:tc>
          <w:tcPr>
            <w:tcW w:w="1701" w:type="dxa"/>
            <w:vAlign w:val="center"/>
          </w:tcPr>
          <w:p>
            <w:pPr>
              <w:rPr>
                <w:noProof/>
                <w:sz w:val="18"/>
                <w:szCs w:val="18"/>
              </w:rPr>
            </w:pPr>
            <w:r>
              <w:rPr>
                <w:noProof/>
                <w:sz w:val="18"/>
                <w:highlight w:val="green"/>
              </w:rPr>
              <w:t>18</w:t>
            </w:r>
            <w:r>
              <w:rPr>
                <w:noProof/>
                <w:sz w:val="18"/>
              </w:rPr>
              <w:t> % (</w:t>
            </w:r>
            <w:r>
              <w:rPr>
                <w:noProof/>
                <w:sz w:val="18"/>
                <w:highlight w:val="green"/>
              </w:rPr>
              <w:t>8</w:t>
            </w:r>
            <w:r>
              <w:rPr>
                <w:noProof/>
                <w:sz w:val="18"/>
              </w:rPr>
              <w:t xml:space="preserve">, </w:t>
            </w:r>
            <w:r>
              <w:rPr>
                <w:noProof/>
                <w:sz w:val="18"/>
                <w:highlight w:val="green"/>
              </w:rPr>
              <w:t>2</w:t>
            </w:r>
            <w:r>
              <w:rPr>
                <w:noProof/>
                <w:sz w:val="18"/>
              </w:rPr>
              <w:t>,</w:t>
            </w:r>
            <w:r>
              <w:rPr>
                <w:noProof/>
                <w:sz w:val="18"/>
                <w:highlight w:val="green"/>
              </w:rPr>
              <w:t>4</w:t>
            </w:r>
            <w:r>
              <w:rPr>
                <w:noProof/>
                <w:sz w:val="18"/>
              </w:rPr>
              <w:t> k*)</w:t>
            </w:r>
          </w:p>
        </w:tc>
      </w:tr>
      <w:tr>
        <w:tc>
          <w:tcPr>
            <w:tcW w:w="7621" w:type="dxa"/>
            <w:vAlign w:val="center"/>
          </w:tcPr>
          <w:p>
            <w:pPr>
              <w:rPr>
                <w:noProof/>
                <w:sz w:val="18"/>
                <w:szCs w:val="18"/>
              </w:rPr>
            </w:pPr>
            <w:r>
              <w:rPr>
                <w:rFonts w:ascii="Calibri" w:hAnsi="Calibri"/>
                <w:noProof/>
                <w:sz w:val="18"/>
              </w:rPr>
              <w:t>Détails du contrat et relations avec les fournisseurs et autres partenaires</w:t>
            </w:r>
          </w:p>
        </w:tc>
        <w:tc>
          <w:tcPr>
            <w:tcW w:w="1701" w:type="dxa"/>
            <w:vAlign w:val="center"/>
          </w:tcPr>
          <w:p>
            <w:pPr>
              <w:rPr>
                <w:noProof/>
                <w:sz w:val="18"/>
                <w:szCs w:val="18"/>
              </w:rPr>
            </w:pPr>
            <w:r>
              <w:rPr>
                <w:noProof/>
                <w:sz w:val="18"/>
                <w:highlight w:val="green"/>
              </w:rPr>
              <w:t>16</w:t>
            </w:r>
            <w:r>
              <w:rPr>
                <w:noProof/>
                <w:sz w:val="18"/>
              </w:rPr>
              <w:t> % (</w:t>
            </w:r>
            <w:r>
              <w:rPr>
                <w:noProof/>
                <w:sz w:val="18"/>
                <w:highlight w:val="green"/>
              </w:rPr>
              <w:t>7</w:t>
            </w:r>
            <w:r>
              <w:rPr>
                <w:noProof/>
                <w:sz w:val="18"/>
              </w:rPr>
              <w:t xml:space="preserve">, </w:t>
            </w:r>
            <w:r>
              <w:rPr>
                <w:noProof/>
                <w:sz w:val="18"/>
                <w:highlight w:val="green"/>
              </w:rPr>
              <w:t>10</w:t>
            </w:r>
            <w:r>
              <w:rPr>
                <w:noProof/>
                <w:sz w:val="18"/>
              </w:rPr>
              <w:t> k*)</w:t>
            </w:r>
          </w:p>
        </w:tc>
      </w:tr>
      <w:tr>
        <w:tc>
          <w:tcPr>
            <w:tcW w:w="7621" w:type="dxa"/>
            <w:vAlign w:val="center"/>
          </w:tcPr>
          <w:p>
            <w:pPr>
              <w:rPr>
                <w:noProof/>
                <w:sz w:val="18"/>
                <w:szCs w:val="18"/>
              </w:rPr>
            </w:pPr>
            <w:r>
              <w:rPr>
                <w:rFonts w:ascii="Calibri" w:hAnsi="Calibri"/>
                <w:noProof/>
                <w:sz w:val="18"/>
              </w:rPr>
              <w:t>Caractéristiques du/des produit(s) et processus de fabrication</w:t>
            </w:r>
          </w:p>
        </w:tc>
        <w:tc>
          <w:tcPr>
            <w:tcW w:w="1701" w:type="dxa"/>
            <w:vAlign w:val="center"/>
          </w:tcPr>
          <w:p>
            <w:pPr>
              <w:rPr>
                <w:noProof/>
                <w:sz w:val="18"/>
                <w:szCs w:val="18"/>
              </w:rPr>
            </w:pPr>
            <w:r>
              <w:rPr>
                <w:noProof/>
                <w:sz w:val="18"/>
                <w:highlight w:val="green"/>
              </w:rPr>
              <w:t>14</w:t>
            </w:r>
            <w:r>
              <w:rPr>
                <w:noProof/>
                <w:sz w:val="18"/>
              </w:rPr>
              <w:t> % (</w:t>
            </w:r>
            <w:r>
              <w:rPr>
                <w:noProof/>
                <w:sz w:val="18"/>
                <w:highlight w:val="green"/>
              </w:rPr>
              <w:t>6</w:t>
            </w:r>
            <w:r>
              <w:rPr>
                <w:noProof/>
                <w:sz w:val="18"/>
              </w:rPr>
              <w:t xml:space="preserve">, </w:t>
            </w:r>
            <w:r>
              <w:rPr>
                <w:noProof/>
                <w:sz w:val="18"/>
                <w:highlight w:val="green"/>
              </w:rPr>
              <w:t>8</w:t>
            </w:r>
            <w:r>
              <w:rPr>
                <w:noProof/>
                <w:sz w:val="18"/>
              </w:rPr>
              <w:t>,</w:t>
            </w:r>
            <w:r>
              <w:rPr>
                <w:noProof/>
                <w:sz w:val="18"/>
                <w:highlight w:val="green"/>
              </w:rPr>
              <w:t>4</w:t>
            </w:r>
            <w:r>
              <w:rPr>
                <w:noProof/>
                <w:sz w:val="18"/>
              </w:rPr>
              <w:t> k*)</w:t>
            </w:r>
          </w:p>
        </w:tc>
      </w:tr>
      <w:tr>
        <w:tc>
          <w:tcPr>
            <w:tcW w:w="7621" w:type="dxa"/>
            <w:vAlign w:val="center"/>
          </w:tcPr>
          <w:p>
            <w:pPr>
              <w:rPr>
                <w:noProof/>
                <w:sz w:val="18"/>
                <w:szCs w:val="18"/>
              </w:rPr>
            </w:pPr>
            <w:r>
              <w:rPr>
                <w:rFonts w:ascii="Calibri" w:hAnsi="Calibri"/>
                <w:noProof/>
                <w:sz w:val="18"/>
              </w:rPr>
              <w:t>Informations sur les coûts absentes des rapports financiers</w:t>
            </w:r>
          </w:p>
        </w:tc>
        <w:tc>
          <w:tcPr>
            <w:tcW w:w="1701" w:type="dxa"/>
            <w:vAlign w:val="center"/>
          </w:tcPr>
          <w:p>
            <w:pPr>
              <w:rPr>
                <w:noProof/>
                <w:sz w:val="18"/>
                <w:szCs w:val="18"/>
              </w:rPr>
            </w:pPr>
            <w:r>
              <w:rPr>
                <w:noProof/>
                <w:sz w:val="18"/>
                <w:highlight w:val="green"/>
              </w:rPr>
              <w:t>11</w:t>
            </w:r>
            <w:r>
              <w:rPr>
                <w:noProof/>
                <w:sz w:val="18"/>
              </w:rPr>
              <w:t> % (</w:t>
            </w:r>
            <w:r>
              <w:rPr>
                <w:noProof/>
                <w:sz w:val="18"/>
                <w:highlight w:val="green"/>
              </w:rPr>
              <w:t>5</w:t>
            </w:r>
            <w:r>
              <w:rPr>
                <w:noProof/>
                <w:sz w:val="18"/>
              </w:rPr>
              <w:t xml:space="preserve">, </w:t>
            </w:r>
            <w:r>
              <w:rPr>
                <w:noProof/>
                <w:sz w:val="18"/>
                <w:highlight w:val="green"/>
              </w:rPr>
              <w:t>220</w:t>
            </w:r>
            <w:r>
              <w:rPr>
                <w:noProof/>
                <w:sz w:val="18"/>
              </w:rPr>
              <w:t> k*)</w:t>
            </w:r>
          </w:p>
        </w:tc>
      </w:tr>
      <w:tr>
        <w:tc>
          <w:tcPr>
            <w:tcW w:w="7621" w:type="dxa"/>
            <w:vAlign w:val="center"/>
          </w:tcPr>
          <w:p>
            <w:pPr>
              <w:spacing w:before="120"/>
              <w:rPr>
                <w:rFonts w:ascii="Calibri" w:hAnsi="Calibri" w:cs="Arial"/>
                <w:noProof/>
                <w:sz w:val="18"/>
                <w:szCs w:val="18"/>
              </w:rPr>
            </w:pPr>
            <w:r>
              <w:rPr>
                <w:rFonts w:ascii="Calibri" w:hAnsi="Calibri"/>
                <w:noProof/>
                <w:sz w:val="18"/>
              </w:rPr>
              <w:t>Aucun</w:t>
            </w:r>
          </w:p>
        </w:tc>
        <w:tc>
          <w:tcPr>
            <w:tcW w:w="1701" w:type="dxa"/>
            <w:vAlign w:val="center"/>
          </w:tcPr>
          <w:p>
            <w:pPr>
              <w:spacing w:before="120"/>
              <w:rPr>
                <w:noProof/>
                <w:sz w:val="18"/>
                <w:szCs w:val="18"/>
              </w:rPr>
            </w:pPr>
            <w:r>
              <w:rPr>
                <w:noProof/>
                <w:sz w:val="18"/>
                <w:highlight w:val="green"/>
              </w:rPr>
              <w:t>18</w:t>
            </w:r>
            <w:r>
              <w:rPr>
                <w:noProof/>
                <w:sz w:val="18"/>
              </w:rPr>
              <w:t> % (</w:t>
            </w:r>
            <w:r>
              <w:rPr>
                <w:noProof/>
                <w:sz w:val="18"/>
                <w:highlight w:val="green"/>
              </w:rPr>
              <w:t>8</w:t>
            </w:r>
            <w:r>
              <w:rPr>
                <w:noProof/>
                <w:sz w:val="18"/>
              </w:rPr>
              <w:t xml:space="preserve">, </w:t>
            </w:r>
            <w:r>
              <w:rPr>
                <w:noProof/>
                <w:sz w:val="18"/>
                <w:highlight w:val="green"/>
              </w:rPr>
              <w:t>180</w:t>
            </w:r>
            <w:r>
              <w:rPr>
                <w:noProof/>
                <w:sz w:val="18"/>
              </w:rPr>
              <w:t> k*)</w:t>
            </w:r>
          </w:p>
        </w:tc>
      </w:tr>
      <w:tr>
        <w:tc>
          <w:tcPr>
            <w:tcW w:w="7621" w:type="dxa"/>
            <w:tcBorders>
              <w:bottom w:val="single" w:sz="4" w:space="0" w:color="auto"/>
            </w:tcBorders>
            <w:vAlign w:val="center"/>
          </w:tcPr>
          <w:p>
            <w:pPr>
              <w:spacing w:before="120"/>
              <w:rPr>
                <w:rFonts w:ascii="Calibri" w:hAnsi="Calibri" w:cs="Arial"/>
                <w:noProof/>
                <w:sz w:val="18"/>
                <w:szCs w:val="18"/>
              </w:rPr>
            </w:pPr>
            <w:r>
              <w:rPr>
                <w:rFonts w:ascii="Calibri" w:hAnsi="Calibri"/>
                <w:noProof/>
                <w:sz w:val="18"/>
              </w:rPr>
              <w:t>Autre</w:t>
            </w:r>
          </w:p>
        </w:tc>
        <w:tc>
          <w:tcPr>
            <w:tcW w:w="1701" w:type="dxa"/>
            <w:tcBorders>
              <w:bottom w:val="single" w:sz="4" w:space="0" w:color="auto"/>
            </w:tcBorders>
            <w:vAlign w:val="center"/>
          </w:tcPr>
          <w:p>
            <w:pPr>
              <w:spacing w:before="120"/>
              <w:rPr>
                <w:rFonts w:ascii="Calibri" w:hAnsi="Calibri" w:cs="Arial"/>
                <w:noProof/>
                <w:sz w:val="18"/>
                <w:szCs w:val="18"/>
              </w:rPr>
            </w:pPr>
            <w:r>
              <w:rPr>
                <w:rFonts w:ascii="Calibri" w:hAnsi="Calibri"/>
                <w:noProof/>
                <w:sz w:val="18"/>
                <w:highlight w:val="green"/>
              </w:rPr>
              <w:t>30</w:t>
            </w:r>
            <w:r>
              <w:rPr>
                <w:rFonts w:ascii="Calibri" w:hAnsi="Calibri"/>
                <w:noProof/>
                <w:sz w:val="18"/>
              </w:rPr>
              <w:t> % (</w:t>
            </w:r>
            <w:r>
              <w:rPr>
                <w:rFonts w:ascii="Calibri" w:hAnsi="Calibri"/>
                <w:noProof/>
                <w:sz w:val="18"/>
                <w:highlight w:val="green"/>
              </w:rPr>
              <w:t>13</w:t>
            </w:r>
            <w:r>
              <w:rPr>
                <w:rFonts w:ascii="Calibri" w:hAnsi="Calibri"/>
                <w:noProof/>
                <w:sz w:val="18"/>
              </w:rPr>
              <w:t xml:space="preserve">, </w:t>
            </w:r>
            <w:r>
              <w:rPr>
                <w:rFonts w:ascii="Calibri" w:hAnsi="Calibri"/>
                <w:noProof/>
                <w:sz w:val="18"/>
                <w:highlight w:val="green"/>
              </w:rPr>
              <w:t>650</w:t>
            </w:r>
            <w:r>
              <w:rPr>
                <w:rFonts w:ascii="Calibri" w:hAnsi="Calibri"/>
                <w:noProof/>
                <w:sz w:val="18"/>
              </w:rPr>
              <w:t> k*)</w:t>
            </w:r>
          </w:p>
        </w:tc>
      </w:tr>
      <w:tr>
        <w:tc>
          <w:tcPr>
            <w:tcW w:w="9322" w:type="dxa"/>
            <w:gridSpan w:val="2"/>
            <w:tcBorders>
              <w:left w:val="nil"/>
              <w:bottom w:val="nil"/>
              <w:right w:val="nil"/>
            </w:tcBorders>
          </w:tcPr>
          <w:p>
            <w:pPr>
              <w:spacing w:after="120"/>
              <w:rPr>
                <w:noProof/>
                <w:sz w:val="18"/>
                <w:szCs w:val="18"/>
              </w:rPr>
            </w:pPr>
            <w:r>
              <w:rPr>
                <w:noProof/>
                <w:sz w:val="18"/>
              </w:rPr>
              <w:t>Légende: % de toutes les réponses (nombre de réponses, nombre d’entreprises représentées par les répondants), nombres arrondis</w:t>
            </w:r>
            <w:r>
              <w:rPr>
                <w:noProof/>
                <w:sz w:val="18"/>
                <w:szCs w:val="18"/>
              </w:rPr>
              <w:br/>
            </w:r>
            <w:r>
              <w:rPr>
                <w:noProof/>
                <w:sz w:val="18"/>
              </w:rPr>
              <w:t xml:space="preserve">* comprend la réponse de l’association des conseillers fiscaux (environ </w:t>
            </w:r>
            <w:r>
              <w:rPr>
                <w:noProof/>
                <w:sz w:val="18"/>
                <w:highlight w:val="green"/>
              </w:rPr>
              <w:t>220</w:t>
            </w:r>
            <w:r>
              <w:rPr>
                <w:noProof/>
                <w:sz w:val="18"/>
              </w:rPr>
              <w:t> k entreprises)</w:t>
            </w:r>
          </w:p>
        </w:tc>
      </w:tr>
    </w:tbl>
    <w:p>
      <w:pPr>
        <w:jc w:val="both"/>
        <w:rPr>
          <w:noProof/>
        </w:rPr>
      </w:pPr>
      <w:r>
        <w:rPr>
          <w:noProof/>
        </w:rPr>
        <w:t xml:space="preserve">Dans la catégorie «Autre», les répondants ont suggéré que les informations soient facilement disponibles dans les archives des entreprises. Ces informations ne devraient pas être demandées plusieurs fois par différentes instances gouvernementales. </w:t>
      </w:r>
      <w:r>
        <w:rPr>
          <w:noProof/>
          <w:highlight w:val="green"/>
        </w:rPr>
        <w:t>1</w:t>
      </w:r>
      <w:r>
        <w:rPr>
          <w:noProof/>
        </w:rPr>
        <w:t xml:space="preserve"> association a noté que plus les informations deviennent anciennes, moins elles sont sensibles et qu’elles sont donc plus faciles à fournir. D’autres répondants ont souligné que le type d’informations qu’ils pouvaient communiquer dépendait du type d’entreprise et du cas d’espèce et ne pouvait être déterminé à l’avance. Certains se sont également opposés à la demande d’informations sensibles aux entreprises, privilégiant une approche volontaire. </w:t>
      </w:r>
    </w:p>
    <w:p>
      <w:pPr>
        <w:pStyle w:val="Heading3"/>
        <w:ind w:left="709" w:hanging="709"/>
        <w:rPr>
          <w:noProof/>
        </w:rPr>
      </w:pPr>
      <w:bookmarkStart w:id="89" w:name="_Toc482714247"/>
      <w:r>
        <w:rPr>
          <w:noProof/>
        </w:rPr>
        <w:t>Pouvoirs dont disposent actuellement les États membres</w:t>
      </w:r>
      <w:bookmarkEnd w:id="89"/>
    </w:p>
    <w:p>
      <w:pPr>
        <w:jc w:val="both"/>
        <w:rPr>
          <w:noProof/>
        </w:rPr>
      </w:pPr>
      <w:r>
        <w:rPr>
          <w:noProof/>
        </w:rPr>
        <w:t xml:space="preserve">Seuls </w:t>
      </w:r>
      <w:r>
        <w:rPr>
          <w:noProof/>
          <w:highlight w:val="green"/>
        </w:rPr>
        <w:t>3</w:t>
      </w:r>
      <w:r>
        <w:rPr>
          <w:noProof/>
        </w:rPr>
        <w:t xml:space="preserve"> États membres répondants sur </w:t>
      </w:r>
      <w:r>
        <w:rPr>
          <w:noProof/>
          <w:highlight w:val="green"/>
        </w:rPr>
        <w:t>10</w:t>
      </w:r>
      <w:r>
        <w:rPr>
          <w:noProof/>
        </w:rPr>
        <w:t xml:space="preserve"> ont affirmé avoir le pouvoir de demander aux participants au marché des informations sur une base ad hoc: </w:t>
      </w:r>
      <w:r>
        <w:rPr>
          <w:noProof/>
          <w:highlight w:val="green"/>
        </w:rPr>
        <w:t>1</w:t>
      </w:r>
      <w:r>
        <w:rPr>
          <w:noProof/>
        </w:rPr>
        <w:t xml:space="preserve"> autorité du Royaume-Uni a indiqué être en mesure de demander des informations à des fins d’application de la loi (par exemple, des informations sur les salaires); </w:t>
      </w:r>
      <w:r>
        <w:rPr>
          <w:noProof/>
          <w:highlight w:val="green"/>
        </w:rPr>
        <w:t>1</w:t>
      </w:r>
      <w:r>
        <w:rPr>
          <w:noProof/>
        </w:rPr>
        <w:t xml:space="preserve"> autorité régionale en Espagne a déclaré avoir le pouvoir de collecter des informations aux fins de l’élaboration de mesures; </w:t>
      </w:r>
      <w:r>
        <w:rPr>
          <w:noProof/>
          <w:highlight w:val="green"/>
        </w:rPr>
        <w:t>1</w:t>
      </w:r>
      <w:r>
        <w:rPr>
          <w:noProof/>
        </w:rPr>
        <w:t xml:space="preserve"> autorité en France a déclaré avoir le pouvoir de demander des informations à la fois pour l’application des règles existantes et pour l’élaboration de mesures, mais uniquement dans les domaines de la concurrence et de la sécurité des produits, qui relèvent des règles de l’Union, ainsi que de la fiscalité. </w:t>
      </w:r>
      <w:r>
        <w:rPr>
          <w:noProof/>
          <w:highlight w:val="green"/>
        </w:rPr>
        <w:t>3</w:t>
      </w:r>
      <w:r>
        <w:rPr>
          <w:noProof/>
        </w:rPr>
        <w:t xml:space="preserve"> États membres (la République tchèque, les Pays-Bas et la Suède) et </w:t>
      </w:r>
      <w:r>
        <w:rPr>
          <w:noProof/>
          <w:highlight w:val="green"/>
        </w:rPr>
        <w:t>1</w:t>
      </w:r>
      <w:r>
        <w:rPr>
          <w:noProof/>
        </w:rPr>
        <w:t> autorité locale en Allemagne ont déclaré ne pas disposer d’un tel pouvoir</w:t>
      </w:r>
      <w:r>
        <w:rPr>
          <w:rStyle w:val="FootnoteReference"/>
          <w:noProof/>
        </w:rPr>
        <w:footnoteReference w:id="5"/>
      </w:r>
      <w:r>
        <w:rPr>
          <w:noProof/>
        </w:rPr>
        <w:t>.</w:t>
      </w:r>
    </w:p>
    <w:p>
      <w:pPr>
        <w:jc w:val="both"/>
        <w:rPr>
          <w:noProof/>
        </w:rPr>
      </w:pPr>
      <w:r>
        <w:rPr>
          <w:noProof/>
        </w:rPr>
        <w:t>La France a indiqué avoir, dans certains cas, le pouvoir de sanctionner les entreprises pour non-respect des demandes d’informations et noté que dans les domaines où les sanctions ne sont pas possibles, l’effet sur la participation des entreprises est négatif. L’autorité régionale espagnole a affirmé que la nature volontaire de ses demandes d’informations n’a pas eu d’incidence sur la qualité des données. Les autorités françaises et espagnoles ont déclaré qu’elles seraient en mesure de partager des informations avec la Commission, à l’inverse de l’autorité britannique.</w:t>
      </w:r>
    </w:p>
    <w:p>
      <w:pPr>
        <w:jc w:val="both"/>
        <w:rPr>
          <w:noProof/>
        </w:rPr>
      </w:pPr>
      <w:r>
        <w:rPr>
          <w:noProof/>
          <w:highlight w:val="green"/>
        </w:rPr>
        <w:t>3</w:t>
      </w:r>
      <w:r>
        <w:rPr>
          <w:noProof/>
        </w:rPr>
        <w:t xml:space="preserve"> autorités ont vu leur activité législative ou de mise à exécution de la loi limitée par le manque de données des entreprises, ce qui n’a pas été le cas pour </w:t>
      </w:r>
      <w:r>
        <w:rPr>
          <w:noProof/>
          <w:highlight w:val="green"/>
        </w:rPr>
        <w:t>3</w:t>
      </w:r>
      <w:r>
        <w:rPr>
          <w:noProof/>
        </w:rPr>
        <w:t xml:space="preserve"> autres. </w:t>
      </w:r>
      <w:r>
        <w:rPr>
          <w:noProof/>
          <w:highlight w:val="green"/>
        </w:rPr>
        <w:t>1</w:t>
      </w:r>
      <w:r>
        <w:rPr>
          <w:noProof/>
        </w:rPr>
        <w:t xml:space="preserve"> autorité a signalé des problèmes d’obtention de données provenant d’entreprises situées dans un autre État membre, puisque ni les entreprises ni les autorités étrangères ne coopéraient. </w:t>
      </w:r>
      <w:r>
        <w:rPr>
          <w:noProof/>
          <w:highlight w:val="green"/>
        </w:rPr>
        <w:t>1</w:t>
      </w:r>
      <w:r>
        <w:rPr>
          <w:noProof/>
        </w:rPr>
        <w:t> autre a expliqué que le manque de ressources ou les contraintes de temps pouvaient également expliquer pourquoi les informations au niveau des entreprises n’étaient pas collectées.</w:t>
      </w:r>
    </w:p>
    <w:p>
      <w:pPr>
        <w:pStyle w:val="Heading3"/>
        <w:ind w:left="709" w:hanging="709"/>
        <w:rPr>
          <w:noProof/>
        </w:rPr>
      </w:pPr>
      <w:bookmarkStart w:id="90" w:name="_Toc482714248"/>
      <w:r>
        <w:rPr>
          <w:noProof/>
        </w:rPr>
        <w:t>Quand convient-il d’utiliser un outil d’information sur le marché unique?</w:t>
      </w:r>
      <w:bookmarkEnd w:id="90"/>
    </w:p>
    <w:p>
      <w:pPr>
        <w:jc w:val="both"/>
        <w:rPr>
          <w:noProof/>
        </w:rPr>
      </w:pPr>
      <w:r>
        <w:rPr>
          <w:noProof/>
        </w:rPr>
        <w:t xml:space="preserve">Dans les </w:t>
      </w:r>
      <w:r>
        <w:rPr>
          <w:noProof/>
          <w:highlight w:val="green"/>
        </w:rPr>
        <w:t>3</w:t>
      </w:r>
      <w:r>
        <w:rPr>
          <w:noProof/>
        </w:rPr>
        <w:t> questionnaires, la Commission a posé la question de savoir dans quels cas il devrait être possible de demander des informations aux entreprises. Toutes les catégories de répondants ont répondu, en particulier, que cela devait être possible lorsqu’il s’agit (</w:t>
      </w:r>
      <w:r>
        <w:rPr>
          <w:noProof/>
          <w:highlight w:val="green"/>
        </w:rPr>
        <w:t>1</w:t>
      </w:r>
      <w:r>
        <w:rPr>
          <w:noProof/>
        </w:rPr>
        <w:t>) de remédier à une infraction au droit des entreprises et des citoyens prévus par l’UE, et (</w:t>
      </w:r>
      <w:r>
        <w:rPr>
          <w:noProof/>
          <w:highlight w:val="green"/>
        </w:rPr>
        <w:t>2</w:t>
      </w:r>
      <w:r>
        <w:rPr>
          <w:noProof/>
        </w:rPr>
        <w:t>) de prévenir les infractions futures.</w:t>
      </w:r>
    </w:p>
    <w:p>
      <w:pPr>
        <w:jc w:val="both"/>
        <w:rPr>
          <w:noProof/>
        </w:rPr>
      </w:pPr>
      <w:r>
        <w:rPr>
          <w:noProof/>
        </w:rPr>
        <w:t xml:space="preserve">En ce qui concerne les réponses communiquées par les autorités, </w:t>
      </w:r>
      <w:r>
        <w:rPr>
          <w:noProof/>
          <w:highlight w:val="green"/>
        </w:rPr>
        <w:t>3</w:t>
      </w:r>
      <w:r>
        <w:rPr>
          <w:noProof/>
        </w:rPr>
        <w:t xml:space="preserve"> parmi celles dotées de pouvoirs nationaux et </w:t>
      </w:r>
      <w:r>
        <w:rPr>
          <w:noProof/>
          <w:highlight w:val="green"/>
        </w:rPr>
        <w:t>1</w:t>
      </w:r>
      <w:r>
        <w:rPr>
          <w:noProof/>
        </w:rPr>
        <w:t xml:space="preserve"> n’ayant aucun pouvoir national ont soutenu la première option (</w:t>
      </w:r>
      <w:r>
        <w:rPr>
          <w:noProof/>
          <w:highlight w:val="green"/>
        </w:rPr>
        <w:t>1</w:t>
      </w:r>
      <w:r>
        <w:rPr>
          <w:noProof/>
        </w:rPr>
        <w:t xml:space="preserve">), et </w:t>
      </w:r>
      <w:r>
        <w:rPr>
          <w:noProof/>
          <w:highlight w:val="green"/>
        </w:rPr>
        <w:t>2</w:t>
      </w:r>
      <w:r>
        <w:rPr>
          <w:noProof/>
        </w:rPr>
        <w:t xml:space="preserve"> possédant des pouvoirs nationaux ont soutenu la deuxième option(</w:t>
      </w:r>
      <w:r>
        <w:rPr>
          <w:noProof/>
          <w:highlight w:val="green"/>
        </w:rPr>
        <w:t>2</w:t>
      </w:r>
      <w:r>
        <w:rPr>
          <w:noProof/>
        </w:rPr>
        <w:t xml:space="preserve">). </w:t>
      </w:r>
      <w:r>
        <w:rPr>
          <w:noProof/>
          <w:highlight w:val="green"/>
        </w:rPr>
        <w:t>2</w:t>
      </w:r>
      <w:r>
        <w:rPr>
          <w:noProof/>
        </w:rPr>
        <w:t xml:space="preserve"> autorités nationales ont exprimé leur préférence pour la coordination, par la Commission, des demandes d’information; </w:t>
      </w:r>
      <w:r>
        <w:rPr>
          <w:noProof/>
          <w:highlight w:val="green"/>
        </w:rPr>
        <w:t>2</w:t>
      </w:r>
      <w:r>
        <w:rPr>
          <w:noProof/>
        </w:rPr>
        <w:t xml:space="preserve"> ont choisi de pouvoir directement demander des informations aux entreprises de n’importe quel État membre, sans intervention de la Commission. </w:t>
      </w:r>
      <w:r>
        <w:rPr>
          <w:noProof/>
          <w:highlight w:val="green"/>
        </w:rPr>
        <w:t>2</w:t>
      </w:r>
      <w:r>
        <w:rPr>
          <w:noProof/>
        </w:rPr>
        <w:t> autorités ne disposant pas de pouvoirs nationaux ont affirmé que les pouvoirs publics ne devraient jamais demander d’informations sensibles aux entreprises.</w:t>
      </w:r>
    </w:p>
    <w:p>
      <w:pPr>
        <w:jc w:val="both"/>
        <w:rPr>
          <w:noProof/>
        </w:rPr>
      </w:pPr>
      <w:r>
        <w:rPr>
          <w:noProof/>
        </w:rPr>
        <w:t xml:space="preserve">Les </w:t>
      </w:r>
      <w:r>
        <w:rPr>
          <w:noProof/>
          <w:highlight w:val="green"/>
        </w:rPr>
        <w:t>4</w:t>
      </w:r>
      <w:r>
        <w:rPr>
          <w:noProof/>
        </w:rPr>
        <w:t> organisations de consommateurs répondantes ont soutenu la première option (</w:t>
      </w:r>
      <w:r>
        <w:rPr>
          <w:noProof/>
          <w:highlight w:val="green"/>
        </w:rPr>
        <w:t>1</w:t>
      </w:r>
      <w:r>
        <w:rPr>
          <w:noProof/>
        </w:rPr>
        <w:t xml:space="preserve">) et </w:t>
      </w:r>
      <w:r>
        <w:rPr>
          <w:noProof/>
          <w:highlight w:val="green"/>
        </w:rPr>
        <w:t>2</w:t>
      </w:r>
      <w:r>
        <w:rPr>
          <w:noProof/>
        </w:rPr>
        <w:t xml:space="preserve"> ont également soutenu la seconde (</w:t>
      </w:r>
      <w:r>
        <w:rPr>
          <w:noProof/>
          <w:highlight w:val="green"/>
        </w:rPr>
        <w:t>2</w:t>
      </w:r>
      <w:r>
        <w:rPr>
          <w:noProof/>
        </w:rPr>
        <w:t>).</w:t>
      </w:r>
    </w:p>
    <w:tbl>
      <w:tblPr>
        <w:tblStyle w:val="TableGrid"/>
        <w:tblW w:w="9322" w:type="dxa"/>
        <w:tblLayout w:type="fixed"/>
        <w:tblLook w:val="04A0" w:firstRow="1" w:lastRow="0" w:firstColumn="1" w:lastColumn="0" w:noHBand="0" w:noVBand="1"/>
      </w:tblPr>
      <w:tblGrid>
        <w:gridCol w:w="5920"/>
        <w:gridCol w:w="1134"/>
        <w:gridCol w:w="1276"/>
        <w:gridCol w:w="992"/>
      </w:tblGrid>
      <w:tr>
        <w:tc>
          <w:tcPr>
            <w:tcW w:w="9322" w:type="dxa"/>
            <w:gridSpan w:val="4"/>
            <w:tcBorders>
              <w:top w:val="nil"/>
              <w:left w:val="nil"/>
              <w:right w:val="nil"/>
            </w:tcBorders>
          </w:tcPr>
          <w:p>
            <w:pPr>
              <w:rPr>
                <w:b/>
                <w:noProof/>
              </w:rPr>
            </w:pPr>
            <w:r>
              <w:rPr>
                <w:b/>
                <w:noProof/>
              </w:rPr>
              <w:t>Tableau </w:t>
            </w:r>
            <w:r>
              <w:rPr>
                <w:b/>
                <w:noProof/>
                <w:highlight w:val="green"/>
              </w:rPr>
              <w:t>4</w:t>
            </w:r>
            <w:r>
              <w:rPr>
                <w:b/>
                <w:noProof/>
              </w:rPr>
              <w:t>. Cas dans lesquels les pouvoirs publics pourraient demander des informations sensibles aux entreprises</w:t>
            </w:r>
          </w:p>
        </w:tc>
      </w:tr>
      <w:tr>
        <w:tc>
          <w:tcPr>
            <w:tcW w:w="5920" w:type="dxa"/>
          </w:tcPr>
          <w:p>
            <w:pPr>
              <w:rPr>
                <w:noProof/>
                <w:sz w:val="18"/>
                <w:szCs w:val="18"/>
              </w:rPr>
            </w:pPr>
          </w:p>
        </w:tc>
        <w:tc>
          <w:tcPr>
            <w:tcW w:w="1134" w:type="dxa"/>
          </w:tcPr>
          <w:p>
            <w:pPr>
              <w:rPr>
                <w:noProof/>
                <w:sz w:val="18"/>
                <w:szCs w:val="18"/>
              </w:rPr>
            </w:pPr>
            <w:r>
              <w:rPr>
                <w:noProof/>
                <w:sz w:val="18"/>
              </w:rPr>
              <w:t>Entreprises</w:t>
            </w:r>
          </w:p>
        </w:tc>
        <w:tc>
          <w:tcPr>
            <w:tcW w:w="1276" w:type="dxa"/>
          </w:tcPr>
          <w:p>
            <w:pPr>
              <w:rPr>
                <w:noProof/>
                <w:sz w:val="18"/>
                <w:szCs w:val="18"/>
              </w:rPr>
            </w:pPr>
            <w:r>
              <w:rPr>
                <w:noProof/>
                <w:sz w:val="18"/>
              </w:rPr>
              <w:t>Autorités</w:t>
            </w:r>
          </w:p>
        </w:tc>
        <w:tc>
          <w:tcPr>
            <w:tcW w:w="992" w:type="dxa"/>
          </w:tcPr>
          <w:p>
            <w:pPr>
              <w:rPr>
                <w:noProof/>
                <w:sz w:val="18"/>
                <w:szCs w:val="18"/>
              </w:rPr>
            </w:pPr>
            <w:r>
              <w:rPr>
                <w:noProof/>
                <w:sz w:val="18"/>
              </w:rPr>
              <w:t>Citoyens</w:t>
            </w:r>
          </w:p>
        </w:tc>
      </w:tr>
      <w:tr>
        <w:tc>
          <w:tcPr>
            <w:tcW w:w="5920" w:type="dxa"/>
          </w:tcPr>
          <w:p>
            <w:pPr>
              <w:rPr>
                <w:noProof/>
                <w:sz w:val="18"/>
                <w:szCs w:val="18"/>
              </w:rPr>
            </w:pPr>
            <w:r>
              <w:rPr>
                <w:noProof/>
                <w:sz w:val="18"/>
              </w:rPr>
              <w:t>(</w:t>
            </w:r>
            <w:r>
              <w:rPr>
                <w:noProof/>
                <w:sz w:val="18"/>
                <w:highlight w:val="green"/>
              </w:rPr>
              <w:t>1</w:t>
            </w:r>
            <w:r>
              <w:rPr>
                <w:noProof/>
                <w:sz w:val="18"/>
              </w:rPr>
              <w:t>) Lorsque l’information est essentielle pour remédier à une infraction au droit européen des consommateurs ou des entreprises (comme l’égalité de traitement, la libre circulation, la liberté de prestation de services et d’établissement, ainsi que d’autres situations s’inscrivant dans un fort contexte transfrontalier)</w:t>
            </w:r>
          </w:p>
        </w:tc>
        <w:tc>
          <w:tcPr>
            <w:tcW w:w="1134" w:type="dxa"/>
          </w:tcPr>
          <w:p>
            <w:pPr>
              <w:rPr>
                <w:noProof/>
                <w:sz w:val="18"/>
                <w:szCs w:val="18"/>
              </w:rPr>
            </w:pPr>
            <w:r>
              <w:rPr>
                <w:noProof/>
                <w:sz w:val="18"/>
                <w:highlight w:val="green"/>
              </w:rPr>
              <w:t>41</w:t>
            </w:r>
            <w:r>
              <w:rPr>
                <w:noProof/>
                <w:sz w:val="18"/>
              </w:rPr>
              <w:t xml:space="preserve"> % </w:t>
            </w:r>
            <w:r>
              <w:rPr>
                <w:noProof/>
                <w:sz w:val="18"/>
                <w:szCs w:val="18"/>
              </w:rPr>
              <w:br/>
            </w:r>
            <w:r>
              <w:rPr>
                <w:noProof/>
                <w:sz w:val="18"/>
              </w:rPr>
              <w:t>(</w:t>
            </w:r>
            <w:r>
              <w:rPr>
                <w:noProof/>
                <w:sz w:val="18"/>
                <w:highlight w:val="green"/>
              </w:rPr>
              <w:t>18</w:t>
            </w:r>
            <w:r>
              <w:rPr>
                <w:noProof/>
                <w:sz w:val="18"/>
              </w:rPr>
              <w:t xml:space="preserve">, </w:t>
            </w:r>
            <w:r>
              <w:rPr>
                <w:noProof/>
                <w:sz w:val="18"/>
                <w:highlight w:val="green"/>
              </w:rPr>
              <w:t>250</w:t>
            </w:r>
            <w:r>
              <w:rPr>
                <w:noProof/>
                <w:sz w:val="18"/>
              </w:rPr>
              <w:t> k)</w:t>
            </w:r>
          </w:p>
        </w:tc>
        <w:tc>
          <w:tcPr>
            <w:tcW w:w="1276" w:type="dxa"/>
          </w:tcPr>
          <w:p>
            <w:pPr>
              <w:rPr>
                <w:noProof/>
                <w:sz w:val="18"/>
                <w:szCs w:val="18"/>
              </w:rPr>
            </w:pPr>
            <w:r>
              <w:rPr>
                <w:noProof/>
                <w:sz w:val="18"/>
                <w:highlight w:val="green"/>
              </w:rPr>
              <w:t>40</w:t>
            </w:r>
            <w:r>
              <w:rPr>
                <w:noProof/>
                <w:sz w:val="18"/>
              </w:rPr>
              <w:t xml:space="preserve"> % </w:t>
            </w:r>
            <w:r>
              <w:rPr>
                <w:noProof/>
                <w:sz w:val="18"/>
                <w:szCs w:val="18"/>
              </w:rPr>
              <w:br/>
            </w:r>
            <w:r>
              <w:rPr>
                <w:noProof/>
                <w:sz w:val="18"/>
              </w:rPr>
              <w:t>(</w:t>
            </w:r>
            <w:r>
              <w:rPr>
                <w:noProof/>
                <w:sz w:val="18"/>
                <w:highlight w:val="green"/>
              </w:rPr>
              <w:t>4</w:t>
            </w:r>
            <w:r>
              <w:rPr>
                <w:noProof/>
                <w:sz w:val="18"/>
              </w:rPr>
              <w:t>)</w:t>
            </w:r>
          </w:p>
        </w:tc>
        <w:tc>
          <w:tcPr>
            <w:tcW w:w="992" w:type="dxa"/>
          </w:tcPr>
          <w:p>
            <w:pPr>
              <w:rPr>
                <w:noProof/>
                <w:sz w:val="18"/>
                <w:szCs w:val="18"/>
              </w:rPr>
            </w:pPr>
            <w:r>
              <w:rPr>
                <w:noProof/>
                <w:sz w:val="18"/>
                <w:highlight w:val="green"/>
              </w:rPr>
              <w:t>69</w:t>
            </w:r>
            <w:r>
              <w:rPr>
                <w:noProof/>
                <w:sz w:val="18"/>
              </w:rPr>
              <w:t xml:space="preserve"> % </w:t>
            </w:r>
            <w:r>
              <w:rPr>
                <w:noProof/>
                <w:sz w:val="18"/>
                <w:szCs w:val="18"/>
              </w:rPr>
              <w:br/>
            </w:r>
            <w:r>
              <w:rPr>
                <w:noProof/>
                <w:sz w:val="18"/>
              </w:rPr>
              <w:t>(</w:t>
            </w:r>
            <w:r>
              <w:rPr>
                <w:noProof/>
                <w:sz w:val="18"/>
                <w:highlight w:val="green"/>
              </w:rPr>
              <w:t>11</w:t>
            </w:r>
            <w:r>
              <w:rPr>
                <w:noProof/>
                <w:sz w:val="18"/>
              </w:rPr>
              <w:t>)</w:t>
            </w:r>
          </w:p>
        </w:tc>
      </w:tr>
      <w:tr>
        <w:tc>
          <w:tcPr>
            <w:tcW w:w="5920" w:type="dxa"/>
          </w:tcPr>
          <w:p>
            <w:pPr>
              <w:rPr>
                <w:noProof/>
                <w:sz w:val="18"/>
                <w:szCs w:val="18"/>
              </w:rPr>
            </w:pPr>
            <w:r>
              <w:rPr>
                <w:noProof/>
                <w:sz w:val="18"/>
              </w:rPr>
              <w:t>(</w:t>
            </w:r>
            <w:r>
              <w:rPr>
                <w:noProof/>
                <w:sz w:val="18"/>
                <w:highlight w:val="green"/>
              </w:rPr>
              <w:t>2</w:t>
            </w:r>
            <w:r>
              <w:rPr>
                <w:noProof/>
                <w:sz w:val="18"/>
              </w:rPr>
              <w:t>) Lorsque l’information est essentielle pour prévenir de futures infractions au droit européen des consommateurs ou des entreprises lors de l’examen de règlements européens existants ou lors de la préparation de nouveaux règlements</w:t>
            </w:r>
          </w:p>
        </w:tc>
        <w:tc>
          <w:tcPr>
            <w:tcW w:w="1134" w:type="dxa"/>
          </w:tcPr>
          <w:p>
            <w:pPr>
              <w:rPr>
                <w:noProof/>
                <w:sz w:val="18"/>
                <w:szCs w:val="18"/>
              </w:rPr>
            </w:pPr>
            <w:r>
              <w:rPr>
                <w:noProof/>
                <w:sz w:val="18"/>
                <w:highlight w:val="green"/>
              </w:rPr>
              <w:t>18</w:t>
            </w:r>
            <w:r>
              <w:rPr>
                <w:noProof/>
                <w:sz w:val="18"/>
              </w:rPr>
              <w:t xml:space="preserve"> % </w:t>
            </w:r>
            <w:r>
              <w:rPr>
                <w:noProof/>
                <w:sz w:val="18"/>
                <w:szCs w:val="18"/>
              </w:rPr>
              <w:br/>
            </w:r>
            <w:r>
              <w:rPr>
                <w:noProof/>
                <w:sz w:val="18"/>
              </w:rPr>
              <w:t>(</w:t>
            </w:r>
            <w:r>
              <w:rPr>
                <w:noProof/>
                <w:sz w:val="18"/>
                <w:highlight w:val="green"/>
              </w:rPr>
              <w:t>8</w:t>
            </w:r>
            <w:r>
              <w:rPr>
                <w:noProof/>
                <w:sz w:val="18"/>
              </w:rPr>
              <w:t xml:space="preserve">, </w:t>
            </w:r>
            <w:r>
              <w:rPr>
                <w:noProof/>
                <w:sz w:val="18"/>
                <w:highlight w:val="green"/>
              </w:rPr>
              <w:t>26</w:t>
            </w:r>
            <w:r>
              <w:rPr>
                <w:noProof/>
                <w:sz w:val="18"/>
              </w:rPr>
              <w:t> k)</w:t>
            </w:r>
          </w:p>
        </w:tc>
        <w:tc>
          <w:tcPr>
            <w:tcW w:w="1276" w:type="dxa"/>
          </w:tcPr>
          <w:p>
            <w:pPr>
              <w:rPr>
                <w:noProof/>
                <w:sz w:val="18"/>
                <w:szCs w:val="18"/>
              </w:rPr>
            </w:pPr>
            <w:r>
              <w:rPr>
                <w:noProof/>
                <w:sz w:val="18"/>
                <w:highlight w:val="green"/>
              </w:rPr>
              <w:t>20</w:t>
            </w:r>
            <w:r>
              <w:rPr>
                <w:noProof/>
                <w:sz w:val="18"/>
              </w:rPr>
              <w:t xml:space="preserve"> % </w:t>
            </w:r>
            <w:r>
              <w:rPr>
                <w:noProof/>
                <w:sz w:val="18"/>
                <w:szCs w:val="18"/>
              </w:rPr>
              <w:br/>
            </w:r>
            <w:r>
              <w:rPr>
                <w:noProof/>
                <w:sz w:val="18"/>
              </w:rPr>
              <w:t>(</w:t>
            </w:r>
            <w:r>
              <w:rPr>
                <w:noProof/>
                <w:sz w:val="18"/>
                <w:highlight w:val="green"/>
              </w:rPr>
              <w:t>2</w:t>
            </w:r>
            <w:r>
              <w:rPr>
                <w:noProof/>
                <w:sz w:val="18"/>
              </w:rPr>
              <w:t>)</w:t>
            </w:r>
          </w:p>
        </w:tc>
        <w:tc>
          <w:tcPr>
            <w:tcW w:w="992" w:type="dxa"/>
          </w:tcPr>
          <w:p>
            <w:pPr>
              <w:rPr>
                <w:noProof/>
                <w:sz w:val="18"/>
                <w:szCs w:val="18"/>
              </w:rPr>
            </w:pPr>
            <w:r>
              <w:rPr>
                <w:noProof/>
                <w:sz w:val="18"/>
                <w:highlight w:val="green"/>
              </w:rPr>
              <w:t>31</w:t>
            </w:r>
            <w:r>
              <w:rPr>
                <w:noProof/>
                <w:sz w:val="18"/>
              </w:rPr>
              <w:t xml:space="preserve"> % </w:t>
            </w:r>
            <w:r>
              <w:rPr>
                <w:noProof/>
                <w:sz w:val="18"/>
                <w:szCs w:val="18"/>
              </w:rPr>
              <w:br/>
            </w:r>
            <w:r>
              <w:rPr>
                <w:noProof/>
                <w:sz w:val="18"/>
              </w:rPr>
              <w:t>(</w:t>
            </w:r>
            <w:r>
              <w:rPr>
                <w:noProof/>
                <w:sz w:val="18"/>
                <w:highlight w:val="green"/>
              </w:rPr>
              <w:t>5</w:t>
            </w:r>
            <w:r>
              <w:rPr>
                <w:noProof/>
                <w:sz w:val="18"/>
              </w:rPr>
              <w:t>)</w:t>
            </w:r>
          </w:p>
        </w:tc>
      </w:tr>
      <w:tr>
        <w:tc>
          <w:tcPr>
            <w:tcW w:w="5920" w:type="dxa"/>
          </w:tcPr>
          <w:p>
            <w:pPr>
              <w:rPr>
                <w:noProof/>
                <w:sz w:val="18"/>
                <w:szCs w:val="18"/>
              </w:rPr>
            </w:pPr>
            <w:r>
              <w:rPr>
                <w:noProof/>
                <w:sz w:val="18"/>
              </w:rPr>
              <w:t>Jamais</w:t>
            </w:r>
          </w:p>
        </w:tc>
        <w:tc>
          <w:tcPr>
            <w:tcW w:w="1134" w:type="dxa"/>
          </w:tcPr>
          <w:p>
            <w:pPr>
              <w:rPr>
                <w:noProof/>
                <w:sz w:val="18"/>
                <w:szCs w:val="18"/>
              </w:rPr>
            </w:pPr>
            <w:r>
              <w:rPr>
                <w:noProof/>
                <w:sz w:val="18"/>
                <w:highlight w:val="green"/>
              </w:rPr>
              <w:t>14</w:t>
            </w:r>
            <w:r>
              <w:rPr>
                <w:noProof/>
                <w:sz w:val="18"/>
              </w:rPr>
              <w:t> %</w:t>
            </w:r>
            <w:r>
              <w:rPr>
                <w:noProof/>
                <w:sz w:val="18"/>
                <w:szCs w:val="18"/>
              </w:rPr>
              <w:br/>
            </w:r>
            <w:r>
              <w:rPr>
                <w:noProof/>
                <w:sz w:val="18"/>
              </w:rPr>
              <w:t>(</w:t>
            </w:r>
            <w:r>
              <w:rPr>
                <w:noProof/>
                <w:sz w:val="18"/>
                <w:highlight w:val="green"/>
              </w:rPr>
              <w:t>6</w:t>
            </w:r>
            <w:r>
              <w:rPr>
                <w:noProof/>
                <w:sz w:val="18"/>
              </w:rPr>
              <w:t xml:space="preserve">, </w:t>
            </w:r>
            <w:r>
              <w:rPr>
                <w:noProof/>
                <w:sz w:val="18"/>
                <w:highlight w:val="green"/>
              </w:rPr>
              <w:t>340</w:t>
            </w:r>
            <w:r>
              <w:rPr>
                <w:noProof/>
                <w:sz w:val="18"/>
              </w:rPr>
              <w:t> k)</w:t>
            </w:r>
          </w:p>
        </w:tc>
        <w:tc>
          <w:tcPr>
            <w:tcW w:w="1276" w:type="dxa"/>
          </w:tcPr>
          <w:p>
            <w:pPr>
              <w:rPr>
                <w:noProof/>
                <w:sz w:val="18"/>
                <w:szCs w:val="18"/>
              </w:rPr>
            </w:pPr>
            <w:r>
              <w:rPr>
                <w:noProof/>
                <w:sz w:val="18"/>
                <w:highlight w:val="green"/>
              </w:rPr>
              <w:t>33</w:t>
            </w:r>
            <w:r>
              <w:rPr>
                <w:noProof/>
                <w:sz w:val="18"/>
              </w:rPr>
              <w:t xml:space="preserve"> % </w:t>
            </w:r>
            <w:r>
              <w:rPr>
                <w:noProof/>
                <w:sz w:val="18"/>
                <w:szCs w:val="18"/>
              </w:rPr>
              <w:br/>
            </w:r>
            <w:r>
              <w:rPr>
                <w:noProof/>
                <w:sz w:val="18"/>
              </w:rPr>
              <w:t>(</w:t>
            </w:r>
            <w:r>
              <w:rPr>
                <w:noProof/>
                <w:sz w:val="18"/>
                <w:highlight w:val="green"/>
              </w:rPr>
              <w:t>3</w:t>
            </w:r>
            <w:r>
              <w:rPr>
                <w:noProof/>
                <w:sz w:val="18"/>
              </w:rPr>
              <w:t>)</w:t>
            </w:r>
          </w:p>
        </w:tc>
        <w:tc>
          <w:tcPr>
            <w:tcW w:w="992" w:type="dxa"/>
          </w:tcPr>
          <w:p>
            <w:pPr>
              <w:rPr>
                <w:noProof/>
                <w:sz w:val="18"/>
                <w:szCs w:val="18"/>
              </w:rPr>
            </w:pPr>
            <w:r>
              <w:rPr>
                <w:noProof/>
                <w:sz w:val="18"/>
                <w:highlight w:val="green"/>
              </w:rPr>
              <w:t>19</w:t>
            </w:r>
            <w:r>
              <w:rPr>
                <w:noProof/>
                <w:sz w:val="18"/>
              </w:rPr>
              <w:t xml:space="preserve"> % </w:t>
            </w:r>
            <w:r>
              <w:rPr>
                <w:noProof/>
                <w:sz w:val="18"/>
                <w:szCs w:val="18"/>
              </w:rPr>
              <w:br/>
            </w:r>
            <w:r>
              <w:rPr>
                <w:noProof/>
                <w:sz w:val="18"/>
              </w:rPr>
              <w:t>(</w:t>
            </w:r>
            <w:r>
              <w:rPr>
                <w:noProof/>
                <w:sz w:val="18"/>
                <w:highlight w:val="green"/>
              </w:rPr>
              <w:t>3</w:t>
            </w:r>
            <w:r>
              <w:rPr>
                <w:noProof/>
                <w:sz w:val="18"/>
              </w:rPr>
              <w:t>)</w:t>
            </w:r>
          </w:p>
        </w:tc>
      </w:tr>
      <w:tr>
        <w:tc>
          <w:tcPr>
            <w:tcW w:w="5920" w:type="dxa"/>
            <w:tcBorders>
              <w:bottom w:val="single" w:sz="4" w:space="0" w:color="auto"/>
            </w:tcBorders>
          </w:tcPr>
          <w:p>
            <w:pPr>
              <w:rPr>
                <w:noProof/>
                <w:sz w:val="18"/>
                <w:szCs w:val="18"/>
              </w:rPr>
            </w:pPr>
            <w:r>
              <w:rPr>
                <w:noProof/>
                <w:sz w:val="18"/>
              </w:rPr>
              <w:t>Autre</w:t>
            </w:r>
          </w:p>
        </w:tc>
        <w:tc>
          <w:tcPr>
            <w:tcW w:w="1134" w:type="dxa"/>
            <w:tcBorders>
              <w:bottom w:val="single" w:sz="4" w:space="0" w:color="auto"/>
            </w:tcBorders>
          </w:tcPr>
          <w:p>
            <w:pPr>
              <w:rPr>
                <w:noProof/>
                <w:sz w:val="18"/>
                <w:szCs w:val="18"/>
              </w:rPr>
            </w:pPr>
            <w:r>
              <w:rPr>
                <w:noProof/>
                <w:sz w:val="18"/>
                <w:highlight w:val="green"/>
              </w:rPr>
              <w:t>32</w:t>
            </w:r>
            <w:r>
              <w:rPr>
                <w:noProof/>
                <w:sz w:val="18"/>
              </w:rPr>
              <w:t> %</w:t>
            </w:r>
            <w:r>
              <w:rPr>
                <w:noProof/>
                <w:sz w:val="18"/>
                <w:szCs w:val="18"/>
              </w:rPr>
              <w:br/>
            </w:r>
            <w:r>
              <w:rPr>
                <w:noProof/>
                <w:sz w:val="18"/>
              </w:rPr>
              <w:t>(</w:t>
            </w:r>
            <w:r>
              <w:rPr>
                <w:noProof/>
                <w:sz w:val="18"/>
                <w:highlight w:val="green"/>
              </w:rPr>
              <w:t>14</w:t>
            </w:r>
            <w:r>
              <w:rPr>
                <w:noProof/>
                <w:sz w:val="18"/>
              </w:rPr>
              <w:t xml:space="preserve">, </w:t>
            </w:r>
            <w:r>
              <w:rPr>
                <w:noProof/>
                <w:sz w:val="18"/>
                <w:highlight w:val="green"/>
              </w:rPr>
              <w:t>1</w:t>
            </w:r>
            <w:r>
              <w:rPr>
                <w:noProof/>
                <w:sz w:val="18"/>
              </w:rPr>
              <w:t>,</w:t>
            </w:r>
            <w:r>
              <w:rPr>
                <w:noProof/>
                <w:sz w:val="18"/>
                <w:highlight w:val="green"/>
              </w:rPr>
              <w:t>2</w:t>
            </w:r>
            <w:r>
              <w:rPr>
                <w:noProof/>
                <w:sz w:val="18"/>
              </w:rPr>
              <w:t> m)</w:t>
            </w:r>
          </w:p>
        </w:tc>
        <w:tc>
          <w:tcPr>
            <w:tcW w:w="1276" w:type="dxa"/>
            <w:tcBorders>
              <w:bottom w:val="single" w:sz="4" w:space="0" w:color="auto"/>
            </w:tcBorders>
          </w:tcPr>
          <w:p>
            <w:pPr>
              <w:rPr>
                <w:noProof/>
                <w:sz w:val="18"/>
                <w:szCs w:val="18"/>
              </w:rPr>
            </w:pPr>
            <w:r>
              <w:rPr>
                <w:noProof/>
                <w:sz w:val="18"/>
                <w:highlight w:val="green"/>
              </w:rPr>
              <w:t>0</w:t>
            </w:r>
          </w:p>
        </w:tc>
        <w:tc>
          <w:tcPr>
            <w:tcW w:w="992" w:type="dxa"/>
            <w:tcBorders>
              <w:bottom w:val="single" w:sz="4" w:space="0" w:color="auto"/>
            </w:tcBorders>
          </w:tcPr>
          <w:p>
            <w:pPr>
              <w:rPr>
                <w:noProof/>
                <w:sz w:val="18"/>
                <w:szCs w:val="18"/>
              </w:rPr>
            </w:pPr>
            <w:r>
              <w:rPr>
                <w:noProof/>
                <w:sz w:val="18"/>
                <w:highlight w:val="green"/>
              </w:rPr>
              <w:t>0</w:t>
            </w:r>
          </w:p>
        </w:tc>
      </w:tr>
      <w:tr>
        <w:tc>
          <w:tcPr>
            <w:tcW w:w="9322" w:type="dxa"/>
            <w:gridSpan w:val="4"/>
            <w:tcBorders>
              <w:left w:val="nil"/>
              <w:bottom w:val="nil"/>
              <w:right w:val="nil"/>
            </w:tcBorders>
          </w:tcPr>
          <w:p>
            <w:pPr>
              <w:spacing w:after="120"/>
              <w:rPr>
                <w:noProof/>
                <w:sz w:val="18"/>
                <w:szCs w:val="18"/>
              </w:rPr>
            </w:pPr>
            <w:r>
              <w:rPr>
                <w:noProof/>
                <w:sz w:val="18"/>
              </w:rPr>
              <w:t>Légende: % de toutes les réponses communiquées par une catégorie de répondants donnée (nombre de réponses, nombre d’entreprises représentées par les répondants - dans le cas des entreprises), nombres arrondis</w:t>
            </w:r>
            <w:r>
              <w:rPr>
                <w:noProof/>
                <w:sz w:val="18"/>
                <w:szCs w:val="18"/>
              </w:rPr>
              <w:br/>
            </w:r>
            <w:r>
              <w:rPr>
                <w:noProof/>
                <w:sz w:val="18"/>
              </w:rPr>
              <w:t>Remarque: Les «Sans réponse» n’apparaissent pas dans le tableau</w:t>
            </w:r>
          </w:p>
        </w:tc>
      </w:tr>
    </w:tbl>
    <w:p>
      <w:pPr>
        <w:jc w:val="both"/>
        <w:rPr>
          <w:noProof/>
        </w:rPr>
      </w:pPr>
      <w:r>
        <w:rPr>
          <w:noProof/>
        </w:rPr>
        <w:t xml:space="preserve">Dans le cas des entreprises, la catégorie «Autre» ne comprenait que des limitations aux infractions au droit de la concurrence et appelle à davantage de coopération avec les entreprises sur des cas concrets. </w:t>
      </w:r>
      <w:r>
        <w:rPr>
          <w:noProof/>
          <w:highlight w:val="green"/>
        </w:rPr>
        <w:t>1</w:t>
      </w:r>
      <w:r>
        <w:rPr>
          <w:noProof/>
        </w:rPr>
        <w:t> association a suggéré qu’il faudrait y avoir recours lorsqu’une action rapide de la Commission pourrait prévenir un préjudice pour les consommateurs et les entreprises ou empêcher des infractions persistantes au droit de l’UE. Des craintes quant à un surplus de charge administrative ou à des déclarations d’opposition à l’octroi de tels pouvoirs aux autorités ont également été soulevées.</w:t>
      </w:r>
    </w:p>
    <w:p>
      <w:pPr>
        <w:jc w:val="both"/>
        <w:rPr>
          <w:noProof/>
        </w:rPr>
      </w:pPr>
      <w:r>
        <w:rPr>
          <w:noProof/>
          <w:highlight w:val="green"/>
        </w:rPr>
        <w:t>13</w:t>
      </w:r>
      <w:r>
        <w:rPr>
          <w:noProof/>
        </w:rPr>
        <w:t> entreprises ont en outre envoyé des documents de prises de position dans lesquels elles affirmaient que la plupart des obstacles dans le marché unique étaient dus aux États membres et non aux entreprises</w:t>
      </w:r>
      <w:r>
        <w:rPr>
          <w:rStyle w:val="FootnoteReference"/>
          <w:noProof/>
        </w:rPr>
        <w:footnoteReference w:id="6"/>
      </w:r>
      <w:r>
        <w:rPr>
          <w:noProof/>
        </w:rPr>
        <w:t xml:space="preserve">. </w:t>
      </w:r>
      <w:r>
        <w:rPr>
          <w:noProof/>
          <w:highlight w:val="green"/>
        </w:rPr>
        <w:t>11</w:t>
      </w:r>
      <w:r>
        <w:rPr>
          <w:noProof/>
        </w:rPr>
        <w:t xml:space="preserve"> d’entre elles ont exprimé de vives préoccupations quant à l’introduction d’un outil permettant à la Commission de demander aux entreprises des informations sur le marché, outil qualifié de disproportionné, d’intrusif et de générateur de charge administrative. </w:t>
      </w:r>
      <w:r>
        <w:rPr>
          <w:noProof/>
          <w:highlight w:val="green"/>
        </w:rPr>
        <w:t>2</w:t>
      </w:r>
      <w:r>
        <w:rPr>
          <w:noProof/>
        </w:rPr>
        <w:t xml:space="preserve"> sont restées neutres, exposant les conditions nécessaires pour rendre un éventuel outil d’information sur le marché le plus simple possible pour les entreprises. Il a été souligné que les entreprises sont déjà soumises à pléthore de diverses demandes formelles et informelles d’information qui sont de plus en plus coûteuses, les ressources s’écartant ainsi du cœur d’activité. En conséquence, il a été indiqué que toute information demandée devrait être facilement disponible. Les demandes ciblant les PME devraient être proportionnées à leurs capacités. Il a été demandé à la Commission de ne pas imposer de nouvelle obligation d’information régulière et de réutiliser les outils et les sources d’information existants (y compris les instruments de concurrence, l’amélioration du processus de consultation, etc.), ainsi que d’éviter les doublons. Il a également été demandé de renforcer la coopération et l’échange de données entre les institutions et les États membres, ainsi que la coopération avec les organisations commerciales. La nature volontaire de la participation des entreprises a été soulevée à maintes reprises, l’opposition aux sanctions étant forte (tant pour la non-communication d’informations que pour les erreurs). De même, l’importance de garantir une sécurité juridique aux entreprises participantes a été soulignée, y compris la possibilité de recours et de mesures correctives. Si l’outil est adopté, il devrait être très rarement utilisé, après épuisement de toutes les autres sources d’information et uniquement aux fins pour lesquelles les informations ont été collectées. La nécessité de protéger les informations commerciales confidentielles grâce à des systèmes modernes a été souvent citée. </w:t>
      </w:r>
      <w:r>
        <w:rPr>
          <w:noProof/>
          <w:highlight w:val="green"/>
        </w:rPr>
        <w:t>1</w:t>
      </w:r>
      <w:r>
        <w:rPr>
          <w:noProof/>
        </w:rPr>
        <w:t xml:space="preserve"> répondant a proposé l’externalisation de la collecte d’informations à une entité indépendante et neutre. Il a été suggéré de ne permettre la demande d’informations que dans le cadre de procédures administratives ou pénales nationales, uniquement en cas de soupçons quant à une violation de la législation. De nombreux répondants ont demandé des éclaircissements sur le moment auquel l’outil d’information sur le marché et sur sa valeur ajoutée serait utilisé par rapport aux outils existants. D’autres ont demandé des précisions sur les conséquences de l’absence de réponse aux demandes d’informations sur le marché. </w:t>
      </w:r>
      <w:r>
        <w:rPr>
          <w:noProof/>
          <w:highlight w:val="green"/>
        </w:rPr>
        <w:t>1</w:t>
      </w:r>
      <w:r>
        <w:rPr>
          <w:noProof/>
        </w:rPr>
        <w:t> répondant a appelé à plus de transparence dans les informations communiquées par les entreprises et à un accès électronique aux états financiers.</w:t>
      </w:r>
    </w:p>
    <w:p>
      <w:pPr>
        <w:jc w:val="both"/>
        <w:rPr>
          <w:noProof/>
        </w:rPr>
      </w:pPr>
      <w:r>
        <w:rPr>
          <w:noProof/>
        </w:rPr>
        <w:t xml:space="preserve">Les autorités nationales ont également envoyé des documents de prises de position. </w:t>
      </w:r>
      <w:r>
        <w:rPr>
          <w:noProof/>
          <w:highlight w:val="green"/>
        </w:rPr>
        <w:t>1</w:t>
      </w:r>
      <w:r>
        <w:rPr>
          <w:noProof/>
        </w:rPr>
        <w:t> État membre favorable à un outil potentiel d’information sur le marché a appelé à utiliser ce dernier pour hiérarchiser les cas d’infraction. Il a également laissé entendre que des sanctions proportionnées étaient nécessaires pour garantir la participation des entreprises</w:t>
      </w:r>
      <w:r>
        <w:rPr>
          <w:rStyle w:val="FootnoteReference"/>
          <w:noProof/>
        </w:rPr>
        <w:footnoteReference w:id="7"/>
      </w:r>
      <w:r>
        <w:rPr>
          <w:noProof/>
        </w:rPr>
        <w:t xml:space="preserve">. Certains ont mis en garde contre la charge excessive, qui pourrait être réduite, par exemple, en imposant à la Commission le respect de conditions strictes pour lancer une demande d’information sur le marché (par exemple, une décision du collège des commissaires), ainsi que par une diversité des moyens de réponse (en face à face, par téléphone, sur l’internet). Des appels ont également été lancés pour que soit précisé le moment où le potentiel outil d’information sur le marché pourrait être utilisé. Les avantages d’une collaboration avec les États membres dans les processus de collecte des données ont été soulignés, y compris le fait de vérifier au préalable si les autorités nationales disposent ou non des informations afin d’éviter les doublons. Toutefois, il a également été noté que pour que la collecte d’informations soit efficace, aucun État membre ne devrait pouvoir s’opposer à la demande de la Commission. </w:t>
      </w:r>
      <w:r>
        <w:rPr>
          <w:noProof/>
          <w:highlight w:val="green"/>
        </w:rPr>
        <w:t>1</w:t>
      </w:r>
      <w:r>
        <w:rPr>
          <w:noProof/>
        </w:rPr>
        <w:t> autre État membre a demandé qu’il soit précisé de quelle manière les informations seraient utilisées, et qu’il soit démontré pourquoi les autorités nationales ne pouvaient pas s’occuper de ces demandes elles-mêmes. Il a également été suggéré que les États membres étaient mieux placés pour mener ces enquêtes et que les pouvoirs d’enquête dans la législation sectorielle pourraient être étendus. Les États membres qui s’opposent à un potentiel outil d’information sur le marché pour la Commission ont demandé un examen approfondi du besoin réel d’un tel outil, suggérant une meilleure utilisation des sources d’information existantes: les comptes annuels, les statistiques nationales, les registres d’entreprises, SOLVIT</w:t>
      </w:r>
      <w:r>
        <w:rPr>
          <w:rStyle w:val="FootnoteReference"/>
          <w:noProof/>
        </w:rPr>
        <w:footnoteReference w:id="8"/>
      </w:r>
      <w:r>
        <w:rPr>
          <w:noProof/>
        </w:rPr>
        <w:t>, le système d’information sur le marché intérieur (IMI)</w:t>
      </w:r>
      <w:r>
        <w:rPr>
          <w:rStyle w:val="FootnoteReference"/>
          <w:noProof/>
        </w:rPr>
        <w:footnoteReference w:id="9"/>
      </w:r>
      <w:r>
        <w:rPr>
          <w:noProof/>
        </w:rPr>
        <w:t xml:space="preserve"> ou REFIT</w:t>
      </w:r>
      <w:r>
        <w:rPr>
          <w:rStyle w:val="FootnoteReference"/>
          <w:noProof/>
        </w:rPr>
        <w:footnoteReference w:id="10"/>
      </w:r>
      <w:r>
        <w:rPr>
          <w:noProof/>
        </w:rPr>
        <w:t xml:space="preserve">. Ils ont également jugé les sanctions proportionnées uniquement en cas de violation potentielle des règles par une entreprise. </w:t>
      </w:r>
    </w:p>
    <w:p>
      <w:pPr>
        <w:pStyle w:val="Heading1"/>
        <w:rPr>
          <w:noProof/>
        </w:rPr>
      </w:pPr>
      <w:bookmarkStart w:id="91" w:name="_Toc467168153"/>
      <w:bookmarkStart w:id="92" w:name="_Toc467857897"/>
      <w:bookmarkStart w:id="93" w:name="_Toc468290776"/>
      <w:bookmarkStart w:id="94" w:name="_Toc468376270"/>
      <w:bookmarkStart w:id="95" w:name="_Toc468382188"/>
      <w:bookmarkStart w:id="96" w:name="_Toc468382256"/>
      <w:bookmarkStart w:id="97" w:name="_Toc468447118"/>
      <w:bookmarkStart w:id="98" w:name="_Toc468455537"/>
      <w:bookmarkStart w:id="99" w:name="_Toc468456660"/>
      <w:bookmarkStart w:id="100" w:name="_Toc468895792"/>
      <w:bookmarkStart w:id="101" w:name="_Toc468898792"/>
      <w:bookmarkStart w:id="102" w:name="_Toc468899064"/>
      <w:bookmarkStart w:id="103" w:name="_Toc468973802"/>
      <w:bookmarkStart w:id="104" w:name="_Toc468975230"/>
      <w:bookmarkStart w:id="105" w:name="_Toc468975526"/>
      <w:bookmarkStart w:id="106" w:name="_Toc469047457"/>
      <w:bookmarkStart w:id="107" w:name="_Toc469061121"/>
      <w:bookmarkStart w:id="108" w:name="_Toc469062504"/>
      <w:bookmarkStart w:id="109" w:name="_Toc469071012"/>
      <w:bookmarkStart w:id="110" w:name="_Toc469071962"/>
      <w:bookmarkStart w:id="111" w:name="_Toc469319878"/>
      <w:bookmarkStart w:id="112" w:name="_Toc469324822"/>
      <w:bookmarkStart w:id="113" w:name="_Toc469332603"/>
      <w:bookmarkStart w:id="114" w:name="_Toc469335283"/>
      <w:bookmarkStart w:id="115" w:name="_Toc469399804"/>
      <w:bookmarkStart w:id="116" w:name="_Toc469401917"/>
      <w:bookmarkStart w:id="117" w:name="_Toc469406349"/>
      <w:bookmarkStart w:id="118" w:name="_Toc474333337"/>
      <w:bookmarkStart w:id="119" w:name="_Toc474339101"/>
      <w:bookmarkStart w:id="120" w:name="_Toc474509416"/>
      <w:bookmarkStart w:id="121" w:name="_Toc474762730"/>
      <w:bookmarkStart w:id="122" w:name="_Toc474766291"/>
      <w:bookmarkStart w:id="123" w:name="_Toc474770477"/>
      <w:bookmarkStart w:id="124" w:name="_Toc474773753"/>
      <w:bookmarkStart w:id="125" w:name="_Toc480284794"/>
      <w:bookmarkStart w:id="126" w:name="_Toc482714249"/>
      <w:r>
        <w:rPr>
          <w:noProof/>
        </w:rPr>
        <w:t>Résultats des consultations ciblées</w:t>
      </w:r>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p>
    <w:p>
      <w:pPr>
        <w:jc w:val="both"/>
        <w:rPr>
          <w:noProof/>
        </w:rPr>
      </w:pPr>
      <w:r>
        <w:rPr>
          <w:noProof/>
        </w:rPr>
        <w:t xml:space="preserve">La Commission a examiné la possibilité d’un outil d’information sur le marché lors de réunions bilatérales avec plusieurs organisations commerciales paneuropéennes: BusinessEurope, EuroCommerce, UEAPME et PostEurop en </w:t>
      </w:r>
      <w:r>
        <w:rPr>
          <w:noProof/>
          <w:highlight w:val="green"/>
        </w:rPr>
        <w:t>2016</w:t>
      </w:r>
      <w:r>
        <w:rPr>
          <w:noProof/>
        </w:rPr>
        <w:t xml:space="preserve"> (toutes ces organisations sont enregistrées dans le registre de transparence). Toutes ont émis des réserves, en particulier en raison de l’augmentation de la charge administrative par une énième demande d’information. </w:t>
      </w:r>
      <w:r>
        <w:rPr>
          <w:noProof/>
          <w:highlight w:val="green"/>
        </w:rPr>
        <w:t>1</w:t>
      </w:r>
      <w:r>
        <w:rPr>
          <w:noProof/>
        </w:rPr>
        <w:t xml:space="preserve"> organisation a souligné que les instruments de concurrence existants étaient suffisants et ne devraient pas être étendus. Elles ont mentionné le fait que même les informations facilement disponibles devraient être retravaillées avant d’être envoyées. Aussi, ont-elles souligné qu’un possible outil d’information sur le marché, s’il est adopté, devrait uniquement être utilisé à titre exceptionnel. Certaines craintes ont également été émises quant aux mécanismes de protection des données sensibles sur le plan commercial. </w:t>
      </w:r>
      <w:r>
        <w:rPr>
          <w:noProof/>
          <w:highlight w:val="green"/>
        </w:rPr>
        <w:t>1</w:t>
      </w:r>
      <w:r>
        <w:rPr>
          <w:noProof/>
        </w:rPr>
        <w:t xml:space="preserve"> association a déclaré, sur la base de son expérience avec les demandes relatives à la concurrence, que l’élaboration d’une version non confidentielle supplémentaire de la réponse aux États membres était extrêmement lourde. La nature obligatoire des demandes et les amendes potentielles en cas d’absence de réponse ou de fourniture d’informations trompeuses n’ont pas non plus reçu un accueil favorable. La nécessité de prévoir une possibilité de recours contre les demandes d’information a également été soulevée. </w:t>
      </w:r>
      <w:r>
        <w:rPr>
          <w:noProof/>
          <w:highlight w:val="green"/>
        </w:rPr>
        <w:t>1</w:t>
      </w:r>
      <w:r>
        <w:rPr>
          <w:noProof/>
        </w:rPr>
        <w:t> association a affirmé que les entreprises étaient disposées à apporter à la Commission la preuve des infractions au marché unique commises par les États membres, mais qu’elles étaient frustrées par l’absence de réaction ou la lenteur de la réaction de la Commission pour mettre fin à ces infractions.</w:t>
      </w:r>
    </w:p>
    <w:p>
      <w:pPr>
        <w:jc w:val="both"/>
        <w:rPr>
          <w:noProof/>
        </w:rPr>
      </w:pPr>
      <w:r>
        <w:rPr>
          <w:noProof/>
        </w:rPr>
        <w:t xml:space="preserve">Un possible outil d’information sur le marché a également fait l’objet de discussions lors de réunions du groupe de travail du Conseil sur la compétitivité et la croissance en </w:t>
      </w:r>
      <w:r>
        <w:rPr>
          <w:noProof/>
          <w:highlight w:val="green"/>
        </w:rPr>
        <w:t>2015</w:t>
      </w:r>
      <w:r>
        <w:rPr>
          <w:noProof/>
        </w:rPr>
        <w:t xml:space="preserve"> et en </w:t>
      </w:r>
      <w:r>
        <w:rPr>
          <w:noProof/>
          <w:highlight w:val="green"/>
        </w:rPr>
        <w:t>2016</w:t>
      </w:r>
      <w:r>
        <w:rPr>
          <w:noProof/>
        </w:rPr>
        <w:t xml:space="preserve">, ainsi qu’au sein du groupe de travail de haut niveau sur la compétitivité et la croissance et au cours de plusieurs réunions bilatérales avec les différents États membres. Les autorités nationales étaient avant tout intéressées par les conditions à remplir par la Commission pour pouvoir lancer des demandes d’information aux entreprises, par les personnes ou les entités qui collecteraient les informations, par le rôle des États membres, par le fait que les données collectées par la Commission seraient ou non partagées avec les États membres, par la charge administrative qu’un tel outil pourrait engendrer et par la proportionnalité des éventuelles sanctions. </w:t>
      </w:r>
    </w:p>
    <w:p>
      <w:pPr>
        <w:pStyle w:val="Heading1"/>
        <w:rPr>
          <w:noProof/>
        </w:rPr>
      </w:pPr>
      <w:bookmarkStart w:id="127" w:name="_Toc467168154"/>
      <w:bookmarkStart w:id="128" w:name="_Toc467857898"/>
      <w:bookmarkStart w:id="129" w:name="_Toc468290777"/>
      <w:bookmarkStart w:id="130" w:name="_Toc468376271"/>
      <w:bookmarkStart w:id="131" w:name="_Toc468382189"/>
      <w:bookmarkStart w:id="132" w:name="_Toc468382257"/>
      <w:bookmarkStart w:id="133" w:name="_Toc468447119"/>
      <w:bookmarkStart w:id="134" w:name="_Toc468455538"/>
      <w:bookmarkStart w:id="135" w:name="_Toc468456661"/>
      <w:bookmarkStart w:id="136" w:name="_Toc468895793"/>
      <w:bookmarkStart w:id="137" w:name="_Toc468898793"/>
      <w:bookmarkStart w:id="138" w:name="_Toc468899065"/>
      <w:bookmarkStart w:id="139" w:name="_Toc468973803"/>
      <w:bookmarkStart w:id="140" w:name="_Toc468975231"/>
      <w:bookmarkStart w:id="141" w:name="_Toc468975527"/>
      <w:bookmarkStart w:id="142" w:name="_Toc469047458"/>
      <w:bookmarkStart w:id="143" w:name="_Toc469047908"/>
      <w:bookmarkStart w:id="144" w:name="_Toc469061122"/>
      <w:bookmarkStart w:id="145" w:name="_Toc469062505"/>
      <w:bookmarkStart w:id="146" w:name="_Toc469071013"/>
      <w:bookmarkStart w:id="147" w:name="_Toc469071963"/>
      <w:bookmarkStart w:id="148" w:name="_Toc469319879"/>
      <w:bookmarkStart w:id="149" w:name="_Toc469324823"/>
      <w:bookmarkStart w:id="150" w:name="_Toc469332604"/>
      <w:bookmarkStart w:id="151" w:name="_Toc469335284"/>
      <w:bookmarkStart w:id="152" w:name="_Toc469399805"/>
      <w:bookmarkStart w:id="153" w:name="_Toc469401918"/>
      <w:bookmarkStart w:id="154" w:name="_Toc469406350"/>
      <w:bookmarkStart w:id="155" w:name="_Toc474333338"/>
      <w:bookmarkStart w:id="156" w:name="_Toc474339102"/>
      <w:bookmarkStart w:id="157" w:name="_Toc474509417"/>
      <w:bookmarkStart w:id="158" w:name="_Toc474762731"/>
      <w:bookmarkStart w:id="159" w:name="_Toc474766292"/>
      <w:bookmarkStart w:id="160" w:name="_Toc480284795"/>
      <w:bookmarkStart w:id="161" w:name="_Toc482714250"/>
      <w:r>
        <w:rPr>
          <w:noProof/>
        </w:rPr>
        <w:t>Comment les résultats des consultations ont-ils été utilisés?</w:t>
      </w: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p>
    <w:p>
      <w:pPr>
        <w:jc w:val="both"/>
        <w:rPr>
          <w:noProof/>
        </w:rPr>
      </w:pPr>
      <w:r>
        <w:rPr>
          <w:noProof/>
        </w:rPr>
        <w:t xml:space="preserve">Les suggestions des parties prenantes ont été prises en compte lors de l’élaboration de l’initiative sur un outil d’information sur le marché. En particulier, les appels à une application parcimonieuse de l’outil et les précisions quant au moment de son utilisation ont été traduits par des exigences strictes ex ante - l’outil d’information sur le marché ne serait utilisé que pour des cas revêtant une grande importance pour le marché unique, la Commission devrait démontrer que toutes les sources d’information disponibles ne peuvent fournir les informations demandées et l’accord du collège des commissaires serait nécessaire avant le lancement des demandes d’information. Il a également été expliqué dans l’analyse d’impact pourquoi les outils existants, y compris ceux dans le domaine de la concurrence, ne peuvent fournir le type d’informations voulues dans le cadre du marché unique: le droit de l’UE restreint l’utilisation d’informations collectées par la Commission en vertu des règles de concurrence aux seules fins de la concurrence; d’autres outils comme SOLVIT, l’IMI et REFIT ne collectent pas le type d’informations au niveau de l’entreprise visées dans la présente initiative. L’aspect de protection des informations confidentielles a été renforcé, entre autres, en s’appuyant sur les outils et les procédures modernes utilisés dans le cadre des enquêtes en matière de concurrence. En ce qui concerne la question controversée des sanctions pour absence de réponse, la proposition a été précisée, indiquant que ces sanctions agissent comme une incitation à répondre (et pas comme une punition pour mauvais comportement), qu’elles sont en pratique rarement utilisées (sur la base de l’expérience des affaires de concurrence) et qu’elles seront toujours examinées au cas par cas. Comme pour toute décision de la Commission, la possibilité d’un recours devant la Cour de justice de l’Union européenne a été explicitement mentionnée. En ce qui concerne la réduction de la charge administrative, la proposition soulignait que les informations devraient être aisément disponibles pour les entreprises, que les questionnaires devraient être clairs et simples, et qu’il faudrait pouvoir y répondre par d’autres moyens. </w:t>
      </w:r>
    </w:p>
    <w:p>
      <w:pPr>
        <w:jc w:val="both"/>
        <w:rPr>
          <w:noProof/>
        </w:rPr>
      </w:pPr>
      <w:r>
        <w:rPr>
          <w:noProof/>
        </w:rPr>
        <w:t>Les commentaires et les craintes soulevés par les États membres ont été pris en compte pour l’élaboration des options, en particulier en ce qui concerne la proportionnalité d’un outil d’information, la subsidiarité (tout particulièrement pour ce qui est du rôle approprié des États membres) et les mesures visant à réduire autant que possible la charge administrative pour les entreprises répondantes.</w:t>
      </w:r>
    </w:p>
    <w:sectPr>
      <w:headerReference w:type="even" r:id="rId17"/>
      <w:headerReference w:type="default" r:id="rId18"/>
      <w:footerReference w:type="even" r:id="rId19"/>
      <w:footerReference w:type="default" r:id="rId20"/>
      <w:headerReference w:type="first" r:id="rId21"/>
      <w:footerReference w:type="first" r:id="rId22"/>
      <w:pgSz w:w="11906" w:h="16838"/>
      <w:pgMar w:top="1440" w:right="1440" w:bottom="1440" w:left="1440" w:header="708" w:footer="708" w:gutter="0"/>
      <w:pgNumType w:start="2"/>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after="0" w:line="240" w:lineRule="auto"/>
      </w:pPr>
      <w:r>
        <w:separator/>
      </w:r>
    </w:p>
  </w:endnote>
  <w:endnote w:type="continuationSeparator" w:id="0">
    <w:p>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rPr>
        <w:rFonts w:ascii="Arial" w:hAnsi="Arial" w:cs="Arial"/>
        <w:b/>
        <w:sz w:val="48"/>
      </w:rPr>
    </w:pPr>
    <w:r>
      <w:rPr>
        <w:rFonts w:ascii="Arial" w:hAnsi="Arial" w:cs="Arial"/>
        <w:b/>
        <w:sz w:val="48"/>
      </w:rPr>
      <w:t>FR</w:t>
    </w:r>
    <w:r>
      <w:rPr>
        <w:rFonts w:ascii="Arial" w:hAnsi="Arial" w:cs="Arial"/>
        <w:b/>
        <w:sz w:val="48"/>
      </w:rPr>
      <w:tab/>
    </w:r>
    <w:r>
      <w:rPr>
        <w:rFonts w:ascii="Arial" w:hAnsi="Arial" w:cs="Arial"/>
        <w:b/>
        <w:sz w:val="48"/>
      </w:rPr>
      <w:tab/>
    </w:r>
    <w:r>
      <w:fldChar w:fldCharType="begin"/>
    </w:r>
    <w:r>
      <w:instrText xml:space="preserve"> DOCVARIABLE "LW_Confidence" \* MERGEFORMAT </w:instrText>
    </w:r>
    <w:r>
      <w:fldChar w:fldCharType="separate"/>
    </w:r>
    <w:r>
      <w:t xml:space="preserve"> </w:t>
    </w:r>
    <w:r>
      <w:fldChar w:fldCharType="end"/>
    </w:r>
    <w:r>
      <w:tab/>
    </w:r>
    <w:r>
      <w:rPr>
        <w:rFonts w:ascii="Arial" w:hAnsi="Arial" w:cs="Arial"/>
        <w:b/>
        <w:sz w:val="48"/>
      </w:rPr>
      <w:t>FR</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3953367"/>
      <w:docPartObj>
        <w:docPartGallery w:val="Page Numbers (Bottom of Page)"/>
        <w:docPartUnique/>
      </w:docPartObj>
    </w:sdtPr>
    <w:sdtEndPr>
      <w:rPr>
        <w:noProof/>
      </w:rPr>
    </w:sdtEndPr>
    <w:sdtContent>
      <w:p>
        <w:pPr>
          <w:pStyle w:val="Footer"/>
        </w:pPr>
        <w:r>
          <w:fldChar w:fldCharType="begin"/>
        </w:r>
        <w:r>
          <w:instrText xml:space="preserve"> PAGE   \* MERGEFORMAT </w:instrText>
        </w:r>
        <w:r>
          <w:fldChar w:fldCharType="separate"/>
        </w:r>
        <w:r>
          <w:rPr>
            <w:noProof/>
          </w:rPr>
          <w:t>2</w:t>
        </w:r>
        <w:r>
          <w:rPr>
            <w:noProof/>
          </w:rPr>
          <w:fldChar w:fldCharType="end"/>
        </w:r>
      </w:p>
    </w:sdtContent>
  </w:sdt>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after="0" w:line="240" w:lineRule="auto"/>
      </w:pPr>
      <w:r>
        <w:separator/>
      </w:r>
    </w:p>
  </w:footnote>
  <w:footnote w:type="continuationSeparator" w:id="0">
    <w:p>
      <w:pPr>
        <w:spacing w:after="0" w:line="240" w:lineRule="auto"/>
      </w:pPr>
      <w:r>
        <w:continuationSeparator/>
      </w:r>
    </w:p>
  </w:footnote>
  <w:footnote w:id="1">
    <w:p>
      <w:pPr>
        <w:pStyle w:val="FootnoteText"/>
      </w:pPr>
      <w:r>
        <w:rPr>
          <w:rStyle w:val="FootnoteReference"/>
        </w:rPr>
        <w:footnoteRef/>
      </w:r>
      <w:r>
        <w:t xml:space="preserve"> </w:t>
      </w:r>
      <w:hyperlink r:id="rId1">
        <w:r>
          <w:rPr>
            <w:rStyle w:val="Hyperlink"/>
          </w:rPr>
          <w:t>http://ec.europa.eu/growth/tools-databases/newsroom/cf/itemdetail.cfm?item_id=</w:t>
        </w:r>
        <w:r>
          <w:rPr>
            <w:rStyle w:val="Hyperlink"/>
            <w:highlight w:val="green"/>
          </w:rPr>
          <w:t>8899</w:t>
        </w:r>
      </w:hyperlink>
      <w:r>
        <w:t xml:space="preserve"> </w:t>
      </w:r>
    </w:p>
  </w:footnote>
  <w:footnote w:id="2">
    <w:p>
      <w:pPr>
        <w:pStyle w:val="FootnoteText"/>
      </w:pPr>
      <w:r>
        <w:rPr>
          <w:rStyle w:val="FootnoteReference"/>
        </w:rPr>
        <w:footnoteRef/>
      </w:r>
      <w:r>
        <w:t xml:space="preserve"> L’analyse chiffrée des réponses ne repose que sur les contributions parvenues par l’intermédiaire d’EUSurvey; les prises de position ne suivant pas le questionnaire d’EUSurvey sont utilisées uniquement pour décrire les arguments présentés par les parties prenantes et pour décrire les répondants.</w:t>
      </w:r>
    </w:p>
  </w:footnote>
  <w:footnote w:id="3">
    <w:p>
      <w:pPr>
        <w:pStyle w:val="FootnoteText"/>
        <w:rPr>
          <w:lang w:val="fr-BE"/>
        </w:rPr>
      </w:pPr>
      <w:r>
        <w:rPr>
          <w:rStyle w:val="FootnoteReference"/>
        </w:rPr>
        <w:footnoteRef/>
      </w:r>
      <w:r>
        <w:t xml:space="preserve"> </w:t>
      </w:r>
      <w:r>
        <w:rPr>
          <w:highlight w:val="green"/>
        </w:rPr>
        <w:t>2</w:t>
      </w:r>
      <w:r>
        <w:t xml:space="preserve"> autorités différentes d’un même État membre ont répondu, de sorte que seuls </w:t>
      </w:r>
      <w:r>
        <w:rPr>
          <w:highlight w:val="green"/>
        </w:rPr>
        <w:t>10</w:t>
      </w:r>
      <w:r>
        <w:t> États membres étaient représentés dans ces consultations.</w:t>
      </w:r>
    </w:p>
  </w:footnote>
  <w:footnote w:id="4">
    <w:p>
      <w:pPr>
        <w:pStyle w:val="FootnoteText"/>
      </w:pPr>
      <w:r>
        <w:rPr>
          <w:rStyle w:val="FootnoteReference"/>
        </w:rPr>
        <w:footnoteRef/>
      </w:r>
      <w:r>
        <w:t xml:space="preserve"> </w:t>
      </w:r>
      <w:hyperlink r:id="rId2" w:anchor="fr">
        <w:r>
          <w:rPr>
            <w:rStyle w:val="Hyperlink"/>
          </w:rPr>
          <w:t>http://ec.europa.eu/transparencyregister/public/homePage.do?locale=fr#fr</w:t>
        </w:r>
      </w:hyperlink>
      <w:r>
        <w:t xml:space="preserve"> </w:t>
      </w:r>
    </w:p>
  </w:footnote>
  <w:footnote w:id="5">
    <w:p>
      <w:pPr>
        <w:pStyle w:val="FootnoteText"/>
      </w:pPr>
      <w:r>
        <w:rPr>
          <w:rStyle w:val="FootnoteReference"/>
        </w:rPr>
        <w:footnoteRef/>
      </w:r>
      <w:r>
        <w:t xml:space="preserve"> Par ailleurs, dans sa réponse, </w:t>
      </w:r>
      <w:r>
        <w:rPr>
          <w:highlight w:val="green"/>
        </w:rPr>
        <w:t>1</w:t>
      </w:r>
      <w:r>
        <w:t> association commerciale danoise (non gouvernementale) a indiqué que le gouvernement danois avait le pouvoir de demander des informations commerciales sensibles lorsqu’il enquête sur une possible violation des règles.</w:t>
      </w:r>
    </w:p>
  </w:footnote>
  <w:footnote w:id="6">
    <w:p>
      <w:pPr>
        <w:pStyle w:val="FootnoteText"/>
      </w:pPr>
      <w:r>
        <w:rPr>
          <w:rStyle w:val="FootnoteReference"/>
        </w:rPr>
        <w:footnoteRef/>
      </w:r>
      <w:r>
        <w:t xml:space="preserve"> </w:t>
      </w:r>
      <w:r>
        <w:rPr>
          <w:highlight w:val="green"/>
        </w:rPr>
        <w:t>1</w:t>
      </w:r>
      <w:r>
        <w:t> organisation a expliqué que, par exemple, le géoblocage existe parce qu’il est souvent le seul moyen d’agir dans un marché unique fragmenté.</w:t>
      </w:r>
    </w:p>
  </w:footnote>
  <w:footnote w:id="7">
    <w:p>
      <w:pPr>
        <w:pStyle w:val="FootnoteText"/>
      </w:pPr>
      <w:r>
        <w:rPr>
          <w:rStyle w:val="FootnoteReference"/>
        </w:rPr>
        <w:footnoteRef/>
      </w:r>
      <w:r>
        <w:t xml:space="preserve"> La réponse était la suivante: </w:t>
      </w:r>
      <w:r>
        <w:rPr>
          <w:i/>
        </w:rPr>
        <w:t>«Pour que l’outil d’information sur le marché intérieur fonctionne, les entreprises doivent fournir les informations demandées par la Commission. (…) Si la Commission n’a pas été en mesure de garantir le respect des règles par d’autres moyens et qu’elle juge que les informations sont suffisamment importantes, elle devrait avoir le pouvoir d’imposer des amendes aux entreprises pour non-respect des règles.</w:t>
      </w:r>
      <w:r>
        <w:t>»</w:t>
      </w:r>
    </w:p>
  </w:footnote>
  <w:footnote w:id="8">
    <w:p>
      <w:pPr>
        <w:pStyle w:val="FootnoteText"/>
      </w:pPr>
      <w:r>
        <w:rPr>
          <w:rStyle w:val="FootnoteReference"/>
        </w:rPr>
        <w:footnoteRef/>
      </w:r>
      <w:r>
        <w:t xml:space="preserve"> </w:t>
      </w:r>
      <w:hyperlink r:id="rId3">
        <w:r>
          <w:rPr>
            <w:rStyle w:val="Hyperlink"/>
          </w:rPr>
          <w:t>http://ec.europa.eu/solvit/index_fr.htm</w:t>
        </w:r>
      </w:hyperlink>
      <w:r>
        <w:t xml:space="preserve">  </w:t>
      </w:r>
    </w:p>
  </w:footnote>
  <w:footnote w:id="9">
    <w:p>
      <w:pPr>
        <w:pStyle w:val="FootnoteText"/>
      </w:pPr>
      <w:r>
        <w:rPr>
          <w:rStyle w:val="FootnoteReference"/>
        </w:rPr>
        <w:footnoteRef/>
      </w:r>
      <w:r>
        <w:t xml:space="preserve"> </w:t>
      </w:r>
      <w:hyperlink r:id="rId4">
        <w:r>
          <w:rPr>
            <w:rStyle w:val="Hyperlink"/>
          </w:rPr>
          <w:t>http://ec.europa.eu/internal_market/imi-net/index_fr.htm</w:t>
        </w:r>
      </w:hyperlink>
      <w:r>
        <w:t xml:space="preserve"> </w:t>
      </w:r>
    </w:p>
  </w:footnote>
  <w:footnote w:id="10">
    <w:p>
      <w:pPr>
        <w:pStyle w:val="FootnoteText"/>
        <w:jc w:val="left"/>
      </w:pPr>
      <w:r>
        <w:rPr>
          <w:rStyle w:val="FootnoteReference"/>
        </w:rPr>
        <w:footnoteRef/>
      </w:r>
      <w:r>
        <w:t xml:space="preserve"> </w:t>
      </w:r>
      <w:hyperlink r:id="rId5">
        <w:r>
          <w:rPr>
            <w:rStyle w:val="Hyperlink"/>
          </w:rPr>
          <w:t>http://ec.europa.eu/info/law-making-process/evaluating-and-improving-existing-laws/refit-making-eu-law-simpler-and-less_fr</w:t>
        </w:r>
      </w:hyperlink>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3411021"/>
    <w:multiLevelType w:val="multilevel"/>
    <w:tmpl w:val="4BF4215E"/>
    <w:lvl w:ilvl="0">
      <w:start w:val="1"/>
      <w:numFmt w:val="decimal"/>
      <w:pStyle w:val="Heading1"/>
      <w:lvlText w:val="%1."/>
      <w:lvlJc w:val="left"/>
      <w:pPr>
        <w:ind w:left="360" w:hanging="360"/>
      </w:pPr>
    </w:lvl>
    <w:lvl w:ilvl="1">
      <w:start w:val="1"/>
      <w:numFmt w:val="decimal"/>
      <w:pStyle w:val="Heading2"/>
      <w:lvlText w:val="%1.%2."/>
      <w:lvlJc w:val="left"/>
      <w:pPr>
        <w:ind w:left="792" w:hanging="432"/>
      </w:pPr>
      <w:rPr>
        <w:b/>
        <w:bCs w:val="0"/>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1.%2.%3."/>
      <w:lvlJc w:val="left"/>
      <w:pPr>
        <w:ind w:left="6033" w:hanging="504"/>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6"/>
  <w:hideSpellingErrors/>
  <w:hideGrammaticalErrors/>
  <w:revisionView w:markup="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VERPAGE_EXISTS" w:val="True"/>
    <w:docVar w:name="DocStatus" w:val="Green"/>
    <w:docVar w:name="LW_ACCOMPAGNANT.CP" w:val="accompagnant le document:"/>
    <w:docVar w:name="LW_CONFIDENCE" w:val=" "/>
    <w:docVar w:name="LW_CONST_RESTREINT_UE" w:val="RESTREINT UE"/>
    <w:docVar w:name="LW_CORRIGENDUM" w:val="&lt;UNUSED&gt;"/>
    <w:docVar w:name="LW_COVERPAGE_GUID" w:val="9B1C6888A69F4EF5B3DB534DE051C57E"/>
    <w:docVar w:name="LW_CROSSREFERENCE" w:val="{COM(2017) 257 final}_x000b_{SWD(2017) 216 final}_x000b_{SWD(2017) 217 final}"/>
    <w:docVar w:name="LW_DocType" w:val="NORMAL"/>
    <w:docVar w:name="LW_EMISSION" w:val="2.5.2017"/>
    <w:docVar w:name="LW_EMISSION_ISODATE" w:val="2017-05-02"/>
    <w:docVar w:name="LW_EMISSION_LOCATION" w:val="BRX"/>
    <w:docVar w:name="LW_EMISSION_PREFIX" w:val="Bruxelles, le "/>
    <w:docVar w:name="LW_EMISSION_SUFFIX" w:val=" "/>
    <w:docVar w:name="LW_ID_DOCTYPE_NONLW" w:val="CP-025"/>
    <w:docVar w:name="LW_LANGUE" w:val="FR"/>
    <w:docVar w:name="LW_MARKING" w:val="&lt;UNUSED&gt;"/>
    <w:docVar w:name="LW_NOM.INST" w:val="COMMISSION EUROPÉENNE"/>
    <w:docVar w:name="LW_NOM.INST_JOINTDOC" w:val="&lt;EMPTY&gt;"/>
    <w:docVar w:name="LW_OBJETACTEPRINCIPAL.CP" w:val="fixant les conditions et la procédure qui permettent à la Commission de demander aux entreprises et associations d\u8217?entreprises de fournir des renseignements en rapport avec le marché intérieur et des domaines connexes_x000b__x000b_"/>
    <w:docVar w:name="LW_PART_NBR" w:val="1"/>
    <w:docVar w:name="LW_PART_NBR_TOTAL" w:val="1"/>
    <w:docVar w:name="LW_REF.INST.NEW" w:val="SWD"/>
    <w:docVar w:name="LW_REF.INST.NEW_ADOPTED" w:val="final"/>
    <w:docVar w:name="LW_REF.INST.NEW_TEXT" w:val="(2017) 215"/>
    <w:docVar w:name="LW_REF.INTERNE" w:val="&lt;UNUSED&gt;"/>
    <w:docVar w:name="LW_SUPERTITRE" w:val="Paquet conformité"/>
    <w:docVar w:name="LW_TITRE.OBJ.CP" w:val="CONSULTATION DES PARTIES PRENANTES - RAPPORT DE SYNTHÈSE"/>
    <w:docVar w:name="LW_TYPE.DOC.CP" w:val="DOCUMENT DE TRAVAIL DES SERVICES DE LA COMMISSION"/>
    <w:docVar w:name="LW_TYPEACTEPRINCIPAL.CP" w:val="Proposition de_x000b__x000b_RÈGLEMENT DU PARLEMENT EUROPÉEN ET DU CONSEIL_x000b_"/>
  </w:docVar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fr-FR" w:bidi="fr-F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pPr>
      <w:keepNext/>
      <w:numPr>
        <w:numId w:val="1"/>
      </w:numPr>
      <w:spacing w:before="240" w:after="240" w:line="240" w:lineRule="auto"/>
      <w:jc w:val="both"/>
      <w:outlineLvl w:val="0"/>
    </w:pPr>
    <w:rPr>
      <w:rFonts w:eastAsia="Times New Roman" w:cs="Times New Roman"/>
      <w:b/>
      <w:smallCaps/>
      <w:sz w:val="28"/>
      <w:szCs w:val="20"/>
    </w:rPr>
  </w:style>
  <w:style w:type="paragraph" w:styleId="Heading2">
    <w:name w:val="heading 2"/>
    <w:basedOn w:val="Heading1"/>
    <w:next w:val="Normal"/>
    <w:link w:val="Heading2Char"/>
    <w:uiPriority w:val="9"/>
    <w:unhideWhenUsed/>
    <w:qFormat/>
    <w:pPr>
      <w:numPr>
        <w:ilvl w:val="1"/>
      </w:numPr>
      <w:outlineLvl w:val="1"/>
    </w:pPr>
    <w:rPr>
      <w:bCs/>
      <w:smallCaps w:val="0"/>
      <w:sz w:val="24"/>
    </w:rPr>
  </w:style>
  <w:style w:type="paragraph" w:styleId="Heading3">
    <w:name w:val="heading 3"/>
    <w:basedOn w:val="Heading2"/>
    <w:next w:val="Normal"/>
    <w:link w:val="Heading3Char"/>
    <w:uiPriority w:val="9"/>
    <w:unhideWhenUsed/>
    <w:qFormat/>
    <w:pPr>
      <w:numPr>
        <w:ilvl w:val="2"/>
      </w:numPr>
      <w:outlineLvl w:val="2"/>
    </w:pPr>
    <w:rPr>
      <w:sz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spacing w:after="0" w:line="240" w:lineRule="auto"/>
      <w:jc w:val="both"/>
    </w:pPr>
    <w:rPr>
      <w:rFonts w:ascii="Times New Roman" w:hAnsi="Times New Roman" w:cs="Times New Roman"/>
      <w:sz w:val="24"/>
    </w:rPr>
  </w:style>
  <w:style w:type="paragraph" w:styleId="Header">
    <w:name w:val="header"/>
    <w:basedOn w:val="Normal"/>
    <w:link w:val="HeaderChar"/>
    <w:uiPriority w:val="99"/>
    <w:unhideWhenUsed/>
    <w:pPr>
      <w:tabs>
        <w:tab w:val="center" w:pos="4536"/>
        <w:tab w:val="right" w:pos="9072"/>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36"/>
        <w:tab w:val="right" w:pos="9072"/>
      </w:tabs>
      <w:spacing w:after="0" w:line="240" w:lineRule="auto"/>
    </w:pPr>
  </w:style>
  <w:style w:type="character" w:customStyle="1" w:styleId="FooterChar">
    <w:name w:val="Footer Char"/>
    <w:basedOn w:val="DefaultParagraphFont"/>
    <w:link w:val="Footer"/>
    <w:uiPriority w:val="99"/>
  </w:style>
  <w:style w:type="paragraph" w:customStyle="1" w:styleId="FooterCoverPage">
    <w:name w:val="Footer Cover Page"/>
    <w:basedOn w:val="Normal"/>
    <w:link w:val="FooterCoverPageChar"/>
    <w:pPr>
      <w:tabs>
        <w:tab w:val="center" w:pos="4535"/>
        <w:tab w:val="right" w:pos="9071"/>
        <w:tab w:val="right" w:pos="9921"/>
      </w:tabs>
      <w:spacing w:before="360" w:after="0" w:line="240" w:lineRule="auto"/>
      <w:ind w:left="-850" w:right="-850"/>
    </w:pPr>
    <w:rPr>
      <w:rFonts w:ascii="Times New Roman" w:hAnsi="Times New Roman" w:cs="Times New Roman"/>
      <w:sz w:val="24"/>
    </w:rPr>
  </w:style>
  <w:style w:type="character" w:customStyle="1" w:styleId="FooterCoverPageChar">
    <w:name w:val="Footer Cover Page Char"/>
    <w:basedOn w:val="DefaultParagraphFont"/>
    <w:link w:val="FooterCoverPage"/>
    <w:rPr>
      <w:rFonts w:ascii="Times New Roman" w:hAnsi="Times New Roman" w:cs="Times New Roman"/>
      <w:sz w:val="24"/>
    </w:rPr>
  </w:style>
  <w:style w:type="paragraph" w:customStyle="1" w:styleId="HeaderCoverPage">
    <w:name w:val="Header Cover Page"/>
    <w:basedOn w:val="Normal"/>
    <w:link w:val="HeaderCoverPageChar"/>
    <w:pPr>
      <w:tabs>
        <w:tab w:val="center" w:pos="4535"/>
        <w:tab w:val="right" w:pos="9071"/>
      </w:tabs>
      <w:spacing w:after="120" w:line="240" w:lineRule="auto"/>
      <w:jc w:val="both"/>
    </w:pPr>
    <w:rPr>
      <w:rFonts w:ascii="Times New Roman" w:hAnsi="Times New Roman" w:cs="Times New Roman"/>
      <w:sz w:val="24"/>
    </w:rPr>
  </w:style>
  <w:style w:type="character" w:customStyle="1" w:styleId="HeaderCoverPageChar">
    <w:name w:val="Header Cover Page Char"/>
    <w:basedOn w:val="DefaultParagraphFont"/>
    <w:link w:val="HeaderCoverPage"/>
    <w:rPr>
      <w:rFonts w:ascii="Times New Roman" w:hAnsi="Times New Roman" w:cs="Times New Roman"/>
      <w:sz w:val="24"/>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character" w:customStyle="1" w:styleId="Heading1Char">
    <w:name w:val="Heading 1 Char"/>
    <w:basedOn w:val="DefaultParagraphFont"/>
    <w:link w:val="Heading1"/>
    <w:rPr>
      <w:rFonts w:eastAsia="Times New Roman" w:cs="Times New Roman"/>
      <w:b/>
      <w:smallCaps/>
      <w:sz w:val="28"/>
      <w:szCs w:val="20"/>
      <w:lang w:val="fr-FR"/>
    </w:rPr>
  </w:style>
  <w:style w:type="character" w:customStyle="1" w:styleId="Heading2Char">
    <w:name w:val="Heading 2 Char"/>
    <w:basedOn w:val="DefaultParagraphFont"/>
    <w:link w:val="Heading2"/>
    <w:uiPriority w:val="9"/>
    <w:rPr>
      <w:rFonts w:eastAsia="Times New Roman" w:cs="Times New Roman"/>
      <w:b/>
      <w:bCs/>
      <w:sz w:val="24"/>
      <w:szCs w:val="20"/>
      <w:lang w:val="fr-FR"/>
    </w:rPr>
  </w:style>
  <w:style w:type="character" w:customStyle="1" w:styleId="Heading3Char">
    <w:name w:val="Heading 3 Char"/>
    <w:basedOn w:val="DefaultParagraphFont"/>
    <w:link w:val="Heading3"/>
    <w:uiPriority w:val="9"/>
    <w:rPr>
      <w:rFonts w:eastAsia="Times New Roman" w:cs="Times New Roman"/>
      <w:b/>
      <w:bCs/>
      <w:szCs w:val="20"/>
      <w:lang w:val="fr-FR"/>
    </w:rPr>
  </w:style>
  <w:style w:type="paragraph" w:styleId="TOC1">
    <w:name w:val="toc 1"/>
    <w:basedOn w:val="Normal"/>
    <w:next w:val="Normal"/>
    <w:autoRedefine/>
    <w:uiPriority w:val="39"/>
    <w:unhideWhenUsed/>
    <w:pPr>
      <w:tabs>
        <w:tab w:val="left" w:pos="426"/>
        <w:tab w:val="right" w:leader="dot" w:pos="9016"/>
      </w:tabs>
      <w:spacing w:after="100"/>
      <w:jc w:val="both"/>
    </w:pPr>
    <w:rPr>
      <w:rFonts w:eastAsia="Batang"/>
    </w:rPr>
  </w:style>
  <w:style w:type="paragraph" w:styleId="TOC2">
    <w:name w:val="toc 2"/>
    <w:basedOn w:val="Normal"/>
    <w:next w:val="Normal"/>
    <w:autoRedefine/>
    <w:uiPriority w:val="39"/>
    <w:unhideWhenUsed/>
    <w:pPr>
      <w:tabs>
        <w:tab w:val="left" w:pos="880"/>
        <w:tab w:val="right" w:leader="dot" w:pos="9016"/>
      </w:tabs>
      <w:spacing w:after="100"/>
      <w:ind w:left="851" w:hanging="631"/>
    </w:pPr>
    <w:rPr>
      <w:rFonts w:eastAsia="Batang"/>
    </w:r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pPr>
      <w:spacing w:after="0" w:line="240" w:lineRule="auto"/>
    </w:pPr>
    <w:rPr>
      <w:rFonts w:eastAsia="Batan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aliases w:val="Testo nota a piè di pagina_Rientro,stile 1,Footnote,Footnote1,Footnote2,Footnote3,Footnote4,Footnote5,Footnote6,Footnote7,Footnote8,Footnote9,Footnote10,Footnote11,Footnote21,Footnote31,Footnote41,Footnote51,Footnote61,ft,fn,Fußnotentextf"/>
    <w:basedOn w:val="Normal"/>
    <w:link w:val="FootnoteTextChar"/>
    <w:uiPriority w:val="99"/>
    <w:unhideWhenUsed/>
    <w:qFormat/>
    <w:pPr>
      <w:spacing w:after="0" w:line="240" w:lineRule="auto"/>
      <w:jc w:val="both"/>
    </w:pPr>
    <w:rPr>
      <w:rFonts w:eastAsia="Batang"/>
      <w:sz w:val="20"/>
      <w:szCs w:val="20"/>
    </w:rPr>
  </w:style>
  <w:style w:type="character" w:customStyle="1" w:styleId="FootnoteTextChar">
    <w:name w:val="Footnote Text Char"/>
    <w:aliases w:val="Testo nota a piè di pagina_Rientro Char,stile 1 Char,Footnote Char,Footnote1 Char,Footnote2 Char,Footnote3 Char,Footnote4 Char,Footnote5 Char,Footnote6 Char,Footnote7 Char,Footnote8 Char,Footnote9 Char,Footnote10 Char,Footnote11 Char"/>
    <w:basedOn w:val="DefaultParagraphFont"/>
    <w:link w:val="FootnoteText"/>
    <w:uiPriority w:val="99"/>
    <w:rPr>
      <w:rFonts w:eastAsia="Batang"/>
      <w:sz w:val="20"/>
      <w:szCs w:val="20"/>
      <w:lang w:val="fr-FR"/>
    </w:rPr>
  </w:style>
  <w:style w:type="character" w:styleId="FootnoteReference">
    <w:name w:val="footnote reference"/>
    <w:aliases w:val="Footnote Refernece,BVI fnr,callout,16 Point,Superscript 6 Point,Footnote Reference Superscript,Ref,de nota al pie,-E Fußnotenzeichen,number,SUPERS,EN Footnote Reference,-E Fuﬂnotenzeichen,-E Fuûnotenzeichen,Footnote number,F,FR,o,f"/>
    <w:basedOn w:val="DefaultParagraphFont"/>
    <w:link w:val="FootnotesymbolCarZchn"/>
    <w:uiPriority w:val="99"/>
    <w:unhideWhenUsed/>
    <w:qFormat/>
    <w:rPr>
      <w:vertAlign w:val="superscript"/>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
    <w:link w:val="FootnoteReference"/>
    <w:uiPriority w:val="99"/>
    <w:pPr>
      <w:spacing w:after="0" w:line="240" w:lineRule="auto"/>
      <w:ind w:left="284" w:hanging="284"/>
      <w:jc w:val="both"/>
    </w:pPr>
    <w:rPr>
      <w:vertAlign w:val="superscript"/>
    </w:rPr>
  </w:style>
  <w:style w:type="paragraph" w:styleId="CommentText">
    <w:name w:val="annotation text"/>
    <w:basedOn w:val="Normal"/>
    <w:uiPriority w:val="99"/>
    <w:semiHidden/>
    <w:unhideWhenUsed/>
    <w:pPr>
      <w:spacing w:line="240" w:lineRule="auto"/>
    </w:pPr>
    <w:rPr>
      <w:sz w:val="20"/>
      <w:szCs w:val="20"/>
    </w:rPr>
  </w:style>
  <w:style w:type="character" w:styleId="CommentReference">
    <w:name w:val="annotation reference"/>
    <w:basedOn w:val="DefaultParagraphFont"/>
    <w:uiPriority w:val="99"/>
    <w:semiHidden/>
    <w:unhideWhenUsed/>
    <w:rPr>
      <w:sz w:val="16"/>
      <w:szCs w:val="16"/>
    </w:rPr>
  </w:style>
  <w:style w:type="paragraph" w:styleId="TOCHeading">
    <w:name w:val="TOC Heading"/>
    <w:basedOn w:val="Heading1"/>
    <w:next w:val="Normal"/>
    <w:uiPriority w:val="39"/>
    <w:semiHidden/>
    <w:unhideWhenUsed/>
    <w:qFormat/>
    <w:pPr>
      <w:keepLines/>
      <w:numPr>
        <w:numId w:val="0"/>
      </w:numPr>
      <w:spacing w:before="480" w:after="0" w:line="276" w:lineRule="auto"/>
      <w:jc w:val="left"/>
      <w:outlineLvl w:val="9"/>
    </w:pPr>
    <w:rPr>
      <w:rFonts w:asciiTheme="majorHAnsi" w:eastAsiaTheme="majorEastAsia" w:hAnsiTheme="majorHAnsi" w:cstheme="majorBidi"/>
      <w:bCs/>
      <w:smallCaps w:val="0"/>
      <w:color w:val="365F91" w:themeColor="accent1" w:themeShade="BF"/>
      <w:szCs w:val="28"/>
      <w:lang w:val="en-US" w:eastAsia="ja-JP" w:bidi="ar-SA"/>
    </w:rPr>
  </w:style>
  <w:style w:type="paragraph" w:styleId="TOC3">
    <w:name w:val="toc 3"/>
    <w:basedOn w:val="Normal"/>
    <w:next w:val="Normal"/>
    <w:autoRedefine/>
    <w:uiPriority w:val="39"/>
    <w:unhideWhenUsed/>
    <w:pPr>
      <w:spacing w:after="100"/>
      <w:ind w:left="4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fr-FR" w:bidi="fr-F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pPr>
      <w:keepNext/>
      <w:numPr>
        <w:numId w:val="1"/>
      </w:numPr>
      <w:spacing w:before="240" w:after="240" w:line="240" w:lineRule="auto"/>
      <w:jc w:val="both"/>
      <w:outlineLvl w:val="0"/>
    </w:pPr>
    <w:rPr>
      <w:rFonts w:eastAsia="Times New Roman" w:cs="Times New Roman"/>
      <w:b/>
      <w:smallCaps/>
      <w:sz w:val="28"/>
      <w:szCs w:val="20"/>
    </w:rPr>
  </w:style>
  <w:style w:type="paragraph" w:styleId="Heading2">
    <w:name w:val="heading 2"/>
    <w:basedOn w:val="Heading1"/>
    <w:next w:val="Normal"/>
    <w:link w:val="Heading2Char"/>
    <w:uiPriority w:val="9"/>
    <w:unhideWhenUsed/>
    <w:qFormat/>
    <w:pPr>
      <w:numPr>
        <w:ilvl w:val="1"/>
      </w:numPr>
      <w:outlineLvl w:val="1"/>
    </w:pPr>
    <w:rPr>
      <w:bCs/>
      <w:smallCaps w:val="0"/>
      <w:sz w:val="24"/>
    </w:rPr>
  </w:style>
  <w:style w:type="paragraph" w:styleId="Heading3">
    <w:name w:val="heading 3"/>
    <w:basedOn w:val="Heading2"/>
    <w:next w:val="Normal"/>
    <w:link w:val="Heading3Char"/>
    <w:uiPriority w:val="9"/>
    <w:unhideWhenUsed/>
    <w:qFormat/>
    <w:pPr>
      <w:numPr>
        <w:ilvl w:val="2"/>
      </w:numPr>
      <w:outlineLvl w:val="2"/>
    </w:pPr>
    <w:rPr>
      <w:sz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spacing w:after="0" w:line="240" w:lineRule="auto"/>
      <w:jc w:val="both"/>
    </w:pPr>
    <w:rPr>
      <w:rFonts w:ascii="Times New Roman" w:hAnsi="Times New Roman" w:cs="Times New Roman"/>
      <w:sz w:val="24"/>
    </w:rPr>
  </w:style>
  <w:style w:type="paragraph" w:styleId="Header">
    <w:name w:val="header"/>
    <w:basedOn w:val="Normal"/>
    <w:link w:val="HeaderChar"/>
    <w:uiPriority w:val="99"/>
    <w:unhideWhenUsed/>
    <w:pPr>
      <w:tabs>
        <w:tab w:val="center" w:pos="4536"/>
        <w:tab w:val="right" w:pos="9072"/>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36"/>
        <w:tab w:val="right" w:pos="9072"/>
      </w:tabs>
      <w:spacing w:after="0" w:line="240" w:lineRule="auto"/>
    </w:pPr>
  </w:style>
  <w:style w:type="character" w:customStyle="1" w:styleId="FooterChar">
    <w:name w:val="Footer Char"/>
    <w:basedOn w:val="DefaultParagraphFont"/>
    <w:link w:val="Footer"/>
    <w:uiPriority w:val="99"/>
  </w:style>
  <w:style w:type="paragraph" w:customStyle="1" w:styleId="FooterCoverPage">
    <w:name w:val="Footer Cover Page"/>
    <w:basedOn w:val="Normal"/>
    <w:link w:val="FooterCoverPageChar"/>
    <w:pPr>
      <w:tabs>
        <w:tab w:val="center" w:pos="4535"/>
        <w:tab w:val="right" w:pos="9071"/>
        <w:tab w:val="right" w:pos="9921"/>
      </w:tabs>
      <w:spacing w:before="360" w:after="0" w:line="240" w:lineRule="auto"/>
      <w:ind w:left="-850" w:right="-850"/>
    </w:pPr>
    <w:rPr>
      <w:rFonts w:ascii="Times New Roman" w:hAnsi="Times New Roman" w:cs="Times New Roman"/>
      <w:sz w:val="24"/>
    </w:rPr>
  </w:style>
  <w:style w:type="character" w:customStyle="1" w:styleId="FooterCoverPageChar">
    <w:name w:val="Footer Cover Page Char"/>
    <w:basedOn w:val="DefaultParagraphFont"/>
    <w:link w:val="FooterCoverPage"/>
    <w:rPr>
      <w:rFonts w:ascii="Times New Roman" w:hAnsi="Times New Roman" w:cs="Times New Roman"/>
      <w:sz w:val="24"/>
    </w:rPr>
  </w:style>
  <w:style w:type="paragraph" w:customStyle="1" w:styleId="HeaderCoverPage">
    <w:name w:val="Header Cover Page"/>
    <w:basedOn w:val="Normal"/>
    <w:link w:val="HeaderCoverPageChar"/>
    <w:pPr>
      <w:tabs>
        <w:tab w:val="center" w:pos="4535"/>
        <w:tab w:val="right" w:pos="9071"/>
      </w:tabs>
      <w:spacing w:after="120" w:line="240" w:lineRule="auto"/>
      <w:jc w:val="both"/>
    </w:pPr>
    <w:rPr>
      <w:rFonts w:ascii="Times New Roman" w:hAnsi="Times New Roman" w:cs="Times New Roman"/>
      <w:sz w:val="24"/>
    </w:rPr>
  </w:style>
  <w:style w:type="character" w:customStyle="1" w:styleId="HeaderCoverPageChar">
    <w:name w:val="Header Cover Page Char"/>
    <w:basedOn w:val="DefaultParagraphFont"/>
    <w:link w:val="HeaderCoverPage"/>
    <w:rPr>
      <w:rFonts w:ascii="Times New Roman" w:hAnsi="Times New Roman" w:cs="Times New Roman"/>
      <w:sz w:val="24"/>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character" w:customStyle="1" w:styleId="Heading1Char">
    <w:name w:val="Heading 1 Char"/>
    <w:basedOn w:val="DefaultParagraphFont"/>
    <w:link w:val="Heading1"/>
    <w:rPr>
      <w:rFonts w:eastAsia="Times New Roman" w:cs="Times New Roman"/>
      <w:b/>
      <w:smallCaps/>
      <w:sz w:val="28"/>
      <w:szCs w:val="20"/>
      <w:lang w:val="fr-FR"/>
    </w:rPr>
  </w:style>
  <w:style w:type="character" w:customStyle="1" w:styleId="Heading2Char">
    <w:name w:val="Heading 2 Char"/>
    <w:basedOn w:val="DefaultParagraphFont"/>
    <w:link w:val="Heading2"/>
    <w:uiPriority w:val="9"/>
    <w:rPr>
      <w:rFonts w:eastAsia="Times New Roman" w:cs="Times New Roman"/>
      <w:b/>
      <w:bCs/>
      <w:sz w:val="24"/>
      <w:szCs w:val="20"/>
      <w:lang w:val="fr-FR"/>
    </w:rPr>
  </w:style>
  <w:style w:type="character" w:customStyle="1" w:styleId="Heading3Char">
    <w:name w:val="Heading 3 Char"/>
    <w:basedOn w:val="DefaultParagraphFont"/>
    <w:link w:val="Heading3"/>
    <w:uiPriority w:val="9"/>
    <w:rPr>
      <w:rFonts w:eastAsia="Times New Roman" w:cs="Times New Roman"/>
      <w:b/>
      <w:bCs/>
      <w:szCs w:val="20"/>
      <w:lang w:val="fr-FR"/>
    </w:rPr>
  </w:style>
  <w:style w:type="paragraph" w:styleId="TOC1">
    <w:name w:val="toc 1"/>
    <w:basedOn w:val="Normal"/>
    <w:next w:val="Normal"/>
    <w:autoRedefine/>
    <w:uiPriority w:val="39"/>
    <w:unhideWhenUsed/>
    <w:pPr>
      <w:tabs>
        <w:tab w:val="left" w:pos="426"/>
        <w:tab w:val="right" w:leader="dot" w:pos="9016"/>
      </w:tabs>
      <w:spacing w:after="100"/>
      <w:jc w:val="both"/>
    </w:pPr>
    <w:rPr>
      <w:rFonts w:eastAsia="Batang"/>
    </w:rPr>
  </w:style>
  <w:style w:type="paragraph" w:styleId="TOC2">
    <w:name w:val="toc 2"/>
    <w:basedOn w:val="Normal"/>
    <w:next w:val="Normal"/>
    <w:autoRedefine/>
    <w:uiPriority w:val="39"/>
    <w:unhideWhenUsed/>
    <w:pPr>
      <w:tabs>
        <w:tab w:val="left" w:pos="880"/>
        <w:tab w:val="right" w:leader="dot" w:pos="9016"/>
      </w:tabs>
      <w:spacing w:after="100"/>
      <w:ind w:left="851" w:hanging="631"/>
    </w:pPr>
    <w:rPr>
      <w:rFonts w:eastAsia="Batang"/>
    </w:r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pPr>
      <w:spacing w:after="0" w:line="240" w:lineRule="auto"/>
    </w:pPr>
    <w:rPr>
      <w:rFonts w:eastAsia="Batan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aliases w:val="Testo nota a piè di pagina_Rientro,stile 1,Footnote,Footnote1,Footnote2,Footnote3,Footnote4,Footnote5,Footnote6,Footnote7,Footnote8,Footnote9,Footnote10,Footnote11,Footnote21,Footnote31,Footnote41,Footnote51,Footnote61,ft,fn,Fußnotentextf"/>
    <w:basedOn w:val="Normal"/>
    <w:link w:val="FootnoteTextChar"/>
    <w:uiPriority w:val="99"/>
    <w:unhideWhenUsed/>
    <w:qFormat/>
    <w:pPr>
      <w:spacing w:after="0" w:line="240" w:lineRule="auto"/>
      <w:jc w:val="both"/>
    </w:pPr>
    <w:rPr>
      <w:rFonts w:eastAsia="Batang"/>
      <w:sz w:val="20"/>
      <w:szCs w:val="20"/>
    </w:rPr>
  </w:style>
  <w:style w:type="character" w:customStyle="1" w:styleId="FootnoteTextChar">
    <w:name w:val="Footnote Text Char"/>
    <w:aliases w:val="Testo nota a piè di pagina_Rientro Char,stile 1 Char,Footnote Char,Footnote1 Char,Footnote2 Char,Footnote3 Char,Footnote4 Char,Footnote5 Char,Footnote6 Char,Footnote7 Char,Footnote8 Char,Footnote9 Char,Footnote10 Char,Footnote11 Char"/>
    <w:basedOn w:val="DefaultParagraphFont"/>
    <w:link w:val="FootnoteText"/>
    <w:uiPriority w:val="99"/>
    <w:rPr>
      <w:rFonts w:eastAsia="Batang"/>
      <w:sz w:val="20"/>
      <w:szCs w:val="20"/>
      <w:lang w:val="fr-FR"/>
    </w:rPr>
  </w:style>
  <w:style w:type="character" w:styleId="FootnoteReference">
    <w:name w:val="footnote reference"/>
    <w:aliases w:val="Footnote Refernece,BVI fnr,callout,16 Point,Superscript 6 Point,Footnote Reference Superscript,Ref,de nota al pie,-E Fußnotenzeichen,number,SUPERS,EN Footnote Reference,-E Fuﬂnotenzeichen,-E Fuûnotenzeichen,Footnote number,F,FR,o,f"/>
    <w:basedOn w:val="DefaultParagraphFont"/>
    <w:link w:val="FootnotesymbolCarZchn"/>
    <w:uiPriority w:val="99"/>
    <w:unhideWhenUsed/>
    <w:qFormat/>
    <w:rPr>
      <w:vertAlign w:val="superscript"/>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
    <w:link w:val="FootnoteReference"/>
    <w:uiPriority w:val="99"/>
    <w:pPr>
      <w:spacing w:after="0" w:line="240" w:lineRule="auto"/>
      <w:ind w:left="284" w:hanging="284"/>
      <w:jc w:val="both"/>
    </w:pPr>
    <w:rPr>
      <w:vertAlign w:val="superscript"/>
    </w:rPr>
  </w:style>
  <w:style w:type="paragraph" w:styleId="CommentText">
    <w:name w:val="annotation text"/>
    <w:basedOn w:val="Normal"/>
    <w:uiPriority w:val="99"/>
    <w:semiHidden/>
    <w:unhideWhenUsed/>
    <w:pPr>
      <w:spacing w:line="240" w:lineRule="auto"/>
    </w:pPr>
    <w:rPr>
      <w:sz w:val="20"/>
      <w:szCs w:val="20"/>
    </w:rPr>
  </w:style>
  <w:style w:type="character" w:styleId="CommentReference">
    <w:name w:val="annotation reference"/>
    <w:basedOn w:val="DefaultParagraphFont"/>
    <w:uiPriority w:val="99"/>
    <w:semiHidden/>
    <w:unhideWhenUsed/>
    <w:rPr>
      <w:sz w:val="16"/>
      <w:szCs w:val="16"/>
    </w:rPr>
  </w:style>
  <w:style w:type="paragraph" w:styleId="TOCHeading">
    <w:name w:val="TOC Heading"/>
    <w:basedOn w:val="Heading1"/>
    <w:next w:val="Normal"/>
    <w:uiPriority w:val="39"/>
    <w:semiHidden/>
    <w:unhideWhenUsed/>
    <w:qFormat/>
    <w:pPr>
      <w:keepLines/>
      <w:numPr>
        <w:numId w:val="0"/>
      </w:numPr>
      <w:spacing w:before="480" w:after="0" w:line="276" w:lineRule="auto"/>
      <w:jc w:val="left"/>
      <w:outlineLvl w:val="9"/>
    </w:pPr>
    <w:rPr>
      <w:rFonts w:asciiTheme="majorHAnsi" w:eastAsiaTheme="majorEastAsia" w:hAnsiTheme="majorHAnsi" w:cstheme="majorBidi"/>
      <w:bCs/>
      <w:smallCaps w:val="0"/>
      <w:color w:val="365F91" w:themeColor="accent1" w:themeShade="BF"/>
      <w:szCs w:val="28"/>
      <w:lang w:val="en-US" w:eastAsia="ja-JP" w:bidi="ar-SA"/>
    </w:rPr>
  </w:style>
  <w:style w:type="paragraph" w:styleId="TOC3">
    <w:name w:val="toc 3"/>
    <w:basedOn w:val="Normal"/>
    <w:next w:val="Normal"/>
    <w:autoRedefine/>
    <w:uiPriority w:val="39"/>
    <w:unhideWhenUsed/>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footer" Target="footer4.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3.xml"/><Relationship Id="rId22" Type="http://schemas.openxmlformats.org/officeDocument/2006/relationships/footer" Target="footer6.xml"/></Relationships>
</file>

<file path=word/_rels/footnotes.xml.rels><?xml version="1.0" encoding="UTF-8" standalone="yes"?>
<Relationships xmlns="http://schemas.openxmlformats.org/package/2006/relationships"><Relationship Id="rId3" Type="http://schemas.openxmlformats.org/officeDocument/2006/relationships/hyperlink" Target="http://ec.europa.eu/solvit/index_fr.htm" TargetMode="External"/><Relationship Id="rId2" Type="http://schemas.openxmlformats.org/officeDocument/2006/relationships/hyperlink" Target="http://ec.europa.eu/transparencyregister/public/homePage.do?locale=fr" TargetMode="External"/><Relationship Id="rId1" Type="http://schemas.openxmlformats.org/officeDocument/2006/relationships/hyperlink" Target="http://ec.europa.eu/growth/tools-databases/newsroom/cf/itemdetail.cfm?item_id=8899" TargetMode="External"/><Relationship Id="rId5" Type="http://schemas.openxmlformats.org/officeDocument/2006/relationships/hyperlink" Target="http://ec.europa.eu/info/law-making-process/evaluating-and-improving-existing-laws/refit-making-eu-law-simpler-and-less_fr" TargetMode="External"/><Relationship Id="rId4" Type="http://schemas.openxmlformats.org/officeDocument/2006/relationships/hyperlink" Target="http://ec.europa.eu/internal_market/imi-net/index_fr.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096AC6-7FF0-4041-AFB7-605389C988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TotalTime>
  <Pages>13</Pages>
  <Words>5234</Words>
  <Characters>29206</Characters>
  <Application>Microsoft Office Word</Application>
  <DocSecurity>0</DocSecurity>
  <Lines>561</Lines>
  <Paragraphs>220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34220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DIGIT/A3</cp:lastModifiedBy>
  <cp:revision>25</cp:revision>
  <cp:lastPrinted>2017-05-18T13:09:00Z</cp:lastPrinted>
  <dcterms:created xsi:type="dcterms:W3CDTF">2017-04-18T14:03:00Z</dcterms:created>
  <dcterms:modified xsi:type="dcterms:W3CDTF">2017-05-22T10:55:00Z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art">
    <vt:lpwstr>1</vt:lpwstr>
  </property>
  <property fmtid="{D5CDD505-2E9C-101B-9397-08002B2CF9AE}" pid="3" name="Total parts">
    <vt:lpwstr>1</vt:lpwstr>
  </property>
  <property fmtid="{D5CDD505-2E9C-101B-9397-08002B2CF9AE}" pid="4" name="DocStatus">
    <vt:lpwstr>Green</vt:lpwstr>
  </property>
  <property fmtid="{D5CDD505-2E9C-101B-9397-08002B2CF9AE}" pid="5" name="Classification">
    <vt:lpwstr> </vt:lpwstr>
  </property>
</Properties>
</file>