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249EB55E08941268E7546BFA6C08516" style="width:450.9pt;height:334.8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Въведение</w:t>
      </w:r>
    </w:p>
    <w:p>
      <w:pPr>
        <w:spacing w:after="120"/>
        <w:rPr>
          <w:noProof/>
        </w:rPr>
      </w:pPr>
      <w:r>
        <w:rPr>
          <w:noProof/>
        </w:rPr>
        <w:t>Създаването на работни места, засилването на растежа и повишаването на конкурентоспособността са приоритет за ЕС. Това предполага насърчаване на инвестициите на местно, регионално, национално и европейско равнище. Настоящото съобщение е посветено на усъвършенстването и ефикасността на управлението на големи проекти за възлагане на обществени поръчки от страна на публичните органи, независимо от това дали са финансирани от ЕС или не, с цел постигане на оптимална добавена стойност за данъкоплатците, изграждане на висококачествена инфраструктура и максимално увеличаване на работните места и растежа. За тази цел Комисията ще използва механизъм от три части с оглед подпомагането на публичните органи при прилагането на правилата на ЕС в областта на обществените поръчки.</w:t>
      </w:r>
    </w:p>
    <w:p>
      <w:pPr>
        <w:spacing w:after="120"/>
        <w:rPr>
          <w:noProof/>
        </w:rPr>
      </w:pPr>
      <w:r>
        <w:rPr>
          <w:noProof/>
        </w:rPr>
        <w:t>Още от встъпването си в длъжност през ноември 2014 г. настоящата Европейска комисия постави  инвестициите на челно място, въвеждайки Плана за инвестиции за Европа. Сред инициативите е Европейският фонд за стратегически инвестиции (ЕФСИ), чиято цел е да мобилизира 315 млрд. евро до средата на 2018 г., като се използват публични гаранции за привличането и осигуряването на частни инвестиции в големи проекти. От ключово значение за успеха на Плана е отпадането на пречките пред инвестициите, постигането на по-голяма регулаторна предвидимост и осигуряване на техническа помощ за инвестиционни проекти.</w:t>
      </w:r>
    </w:p>
    <w:p>
      <w:pPr>
        <w:spacing w:after="120"/>
        <w:rPr>
          <w:noProof/>
        </w:rPr>
      </w:pPr>
      <w:r>
        <w:rPr>
          <w:noProof/>
        </w:rPr>
        <w:t>Като се има предвид успехът на Плана още при изпълнението на началната му фаза, през 2016 г. Европейската комисия реши да удължи неговия срок на действие, да разшири капацитета му и да го укрепи чрез засилване на техническата помощ и премахване на пречките пред инвестициите в рамките на единния пазар</w:t>
      </w:r>
      <w:r>
        <w:rPr>
          <w:rStyle w:val="FootnoteReference"/>
          <w:noProof/>
        </w:rPr>
        <w:footnoteReference w:id="2"/>
      </w:r>
      <w:r>
        <w:rPr>
          <w:noProof/>
        </w:rPr>
        <w:t>. Предложението за Европейски фонд за стратегически инвестиции (ЕФСИ 2.0)</w:t>
      </w:r>
      <w:r>
        <w:rPr>
          <w:rStyle w:val="FootnoteReference"/>
          <w:noProof/>
        </w:rPr>
        <w:footnoteReference w:id="3"/>
      </w:r>
      <w:r>
        <w:rPr>
          <w:noProof/>
        </w:rPr>
        <w:t xml:space="preserve"> ще спомогне за постигането на сериозен тласък за икономиката на ЕС. ЕФСИ има за цел не само да увеличи общия размер на мобилизираните инвестиции до най-малко 500 млрд. EUR до края на 2020 г., но и да разшири географския обхват и да подобри усвояването в по-слабо развитите региони и регионите в преход. Това е от решаващо значение за създаването на работни места, икономическия растеж и конкурентоспособността в Европа в бъдеще.</w:t>
      </w:r>
    </w:p>
    <w:p>
      <w:pPr>
        <w:spacing w:after="120"/>
        <w:rPr>
          <w:noProof/>
        </w:rPr>
      </w:pPr>
      <w:r>
        <w:rPr>
          <w:noProof/>
        </w:rPr>
        <w:t xml:space="preserve">Същевременно Механизмът за свързване на Европа подкрепя свързаността в ЕС в областта на транспорта и далекосъобщенията, като финансира проекти в трансевропейската мрежа. От 2014 г. досега по линия на проекта са финансирани 25 млрд. </w:t>
      </w:r>
      <w:r>
        <w:rPr>
          <w:noProof/>
          <w:lang w:val="en-GB"/>
        </w:rPr>
        <w:t>EUR</w:t>
      </w:r>
      <w:r>
        <w:rPr>
          <w:noProof/>
        </w:rPr>
        <w:t xml:space="preserve">, което е довело до инвестиции във инфраструктура за приблизително 50 млрд. </w:t>
      </w:r>
      <w:r>
        <w:rPr>
          <w:noProof/>
          <w:lang w:val="en-GB"/>
        </w:rPr>
        <w:t>EUR</w:t>
      </w:r>
      <w:r>
        <w:rPr>
          <w:noProof/>
        </w:rPr>
        <w:t>.</w:t>
      </w:r>
    </w:p>
    <w:p>
      <w:pPr>
        <w:spacing w:after="120"/>
        <w:rPr>
          <w:noProof/>
        </w:rPr>
      </w:pPr>
      <w:r>
        <w:rPr>
          <w:noProof/>
        </w:rPr>
        <w:t>Привличането на частни инвестиции е от съществено значение, както и възможно най-ефективното и ефикасно използване на обществените поръчки. Обществените поръчки представляват около 14 % от БВП на ЕС, като всяка година публичните органи изразходват над 2 трлн. EUR, събрани от европейските данъкоплатци. Въпреки това потенциалът на обществените поръчки за стимулиране на създаването на работни места и растеж не се използва в пълна степен.</w:t>
      </w:r>
    </w:p>
    <w:p>
      <w:pPr>
        <w:spacing w:after="120"/>
        <w:rPr>
          <w:noProof/>
        </w:rPr>
      </w:pPr>
      <w:r>
        <w:rPr>
          <w:noProof/>
        </w:rPr>
        <w:t>Процедурите за възлагане на обществени поръчки гарантират, че организаторът на проекта ще бъде в състояние да сравни различните оферти и да избере най-подходящата и най-изгодната от финансова гледна точка.  Той също така дава увереност на предприятията да представят оферти, тъй като изборът на изпълнителя ще бъде направен въз основа на справедливо третиране и равни условия. Въпреки това възлагането на обществени поръчки често се извършва без необходимите умения, технически познания или пълно разбиране на процедурите</w:t>
      </w:r>
      <w:r>
        <w:rPr>
          <w:rStyle w:val="FootnoteReference"/>
          <w:noProof/>
        </w:rPr>
        <w:footnoteReference w:id="4"/>
      </w:r>
      <w:r>
        <w:rPr>
          <w:noProof/>
        </w:rPr>
        <w:t xml:space="preserve">. </w:t>
      </w:r>
    </w:p>
    <w:p>
      <w:pPr>
        <w:rPr>
          <w:noProof/>
        </w:rPr>
      </w:pPr>
      <w:r>
        <w:rPr>
          <w:noProof/>
        </w:rPr>
        <w:t>Много от големите инфраструктурни проекти не се изпълняват по план. Бюджетите често не се спазват и се надхвърлят. Планирането и изпълнението често отнемат значително повече време от първоначално предвиденото</w:t>
      </w:r>
      <w:r>
        <w:rPr>
          <w:rStyle w:val="FootnoteReference"/>
          <w:noProof/>
        </w:rPr>
        <w:footnoteReference w:id="5"/>
      </w:r>
      <w:r>
        <w:rPr>
          <w:noProof/>
        </w:rPr>
        <w:t>.</w:t>
      </w:r>
    </w:p>
    <w:p>
      <w:pPr>
        <w:spacing w:after="120"/>
        <w:rPr>
          <w:noProof/>
        </w:rPr>
      </w:pPr>
      <w:r>
        <w:rPr>
          <w:noProof/>
        </w:rPr>
        <w:t>Причините за това са много. неяснота по отношение на равнището и начините за финансиране, непълни или незадълбочени оценки на нуждите и променящите се икономически и политически условия. Роля играят и сложността и продължителността на процедурите за възлагане на обществени поръчки, грешките в процедурите и някои слабости на системите  за обществени поръчки на държавите членки</w:t>
      </w:r>
      <w:r>
        <w:rPr>
          <w:rStyle w:val="FootnoteReference"/>
          <w:noProof/>
        </w:rPr>
        <w:footnoteReference w:id="6"/>
      </w:r>
      <w:r>
        <w:rPr>
          <w:noProof/>
        </w:rPr>
        <w:t xml:space="preserve">. </w:t>
      </w:r>
    </w:p>
    <w:p>
      <w:pPr>
        <w:spacing w:after="120"/>
        <w:rPr>
          <w:noProof/>
        </w:rPr>
      </w:pPr>
      <w:r>
        <w:rPr>
          <w:noProof/>
        </w:rPr>
        <w:t>Големите трансгранични проекти, насочени към преодоляване на инфрастурктурните несъответствия между държавите членки, са изправени пред допълнителни трудности поради евентуалните различия между националните законодателни рамки. Въпреки че по-голямата част от правилата в областта на обществените поръчки са хармонизирани на равнище ЕС, директивите за обществените поръчки създават условия за гъвкавост на национално равнище.</w:t>
      </w:r>
    </w:p>
    <w:p>
      <w:pPr>
        <w:spacing w:after="120"/>
        <w:rPr>
          <w:noProof/>
        </w:rPr>
      </w:pPr>
      <w:r>
        <w:rPr>
          <w:noProof/>
        </w:rPr>
        <w:t>Това трябва да се промени. Настоящото съобщение предлага някои основни елементи, които ще допринесат за промяната. Както бе обявено в Съобщението за стратегията за единния пазар</w:t>
      </w:r>
      <w:r>
        <w:rPr>
          <w:rStyle w:val="FootnoteReference"/>
          <w:noProof/>
        </w:rPr>
        <w:footnoteReference w:id="7"/>
      </w:r>
      <w:r>
        <w:rPr>
          <w:noProof/>
        </w:rPr>
        <w:t xml:space="preserve"> и Съобщението „Европа инвестира отново“</w:t>
      </w:r>
      <w:r>
        <w:rPr>
          <w:rStyle w:val="FootnoteReference"/>
          <w:noProof/>
        </w:rPr>
        <w:footnoteReference w:id="8"/>
      </w:r>
      <w:r>
        <w:rPr>
          <w:noProof/>
        </w:rPr>
        <w:t>, Комисията въвежда механизъм от три части за големите инфраструктурни проекти. Целта е правилата да бъдат по-ясни, да се дадат насоки на публичните органи и те да бъдат подпомогнати в обмена и утвърждаването на добри практики. Това ще спомогне за подобряването на ефективността на националните разходи, което е от съществено значение за използването на пълния потенциал на инвестициите в Европа.</w:t>
      </w:r>
    </w:p>
    <w:p>
      <w:pPr>
        <w:spacing w:after="120"/>
        <w:rPr>
          <w:noProof/>
        </w:rPr>
      </w:pPr>
      <w:r>
        <w:rPr>
          <w:noProof/>
        </w:rPr>
        <w:t>Инициативата е един от стълбовете на стратегията на Комисията за повишаване на ефективността на обществените поръчки и тяхната целенасоченост, като по този начин се насърчават конкурентоспособността, работните места и растежът.</w:t>
      </w:r>
    </w:p>
    <w:p>
      <w:pPr>
        <w:spacing w:after="200"/>
        <w:rPr>
          <w:noProof/>
        </w:rPr>
      </w:pPr>
      <w:r>
        <w:rPr>
          <w:noProof/>
        </w:rPr>
        <w:t>Предварителният механизъм е част от пакета за обществените поръчки, който включва Съобщение относно стратегията за обществените поръчки, „Повишаване на ефективността на обществените поръчки в Европа и в полза на Европа“, и Препоръка на Комисията за професионализация на обществените поръчки: „Изграждане на архитектура за професионализацията на обществените поръчки“. Успоредно с това започна консултация относно насоките за новаторските обществени поръчки в подкрепа на навлизането на нови и осигуряващи устойчиво развитие решения за нашите общества.</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spacing w:after="120"/>
              <w:jc w:val="center"/>
              <w:rPr>
                <w:b/>
                <w:i/>
                <w:noProof/>
              </w:rPr>
            </w:pPr>
            <w:r>
              <w:rPr>
                <w:b/>
                <w:i/>
                <w:noProof/>
              </w:rPr>
              <w:t xml:space="preserve">Когато обществените поръчки не се планират внимателно, има опасност за публичните инвестиции  </w:t>
            </w:r>
          </w:p>
          <w:p>
            <w:pPr>
              <w:spacing w:after="120"/>
              <w:rPr>
                <w:i/>
                <w:noProof/>
              </w:rPr>
            </w:pPr>
            <w:r>
              <w:rPr>
                <w:i/>
                <w:noProof/>
              </w:rPr>
              <w:t>Големият град K изпитва неотложна нужда от нова нежилищна сграда. Частен предприемач предлага да я построи. Органите на публичната власт и  предприемачът сключват договор за наем за сградата преди започването на строителните работи. Споразумението за отдаване под наем, сключено без тръжна процедура, съдържа подробните изисквания на публичните органи за сградата.</w:t>
            </w:r>
          </w:p>
          <w:p>
            <w:pPr>
              <w:spacing w:after="120"/>
              <w:rPr>
                <w:i/>
                <w:noProof/>
              </w:rPr>
            </w:pPr>
            <w:r>
              <w:rPr>
                <w:i/>
                <w:noProof/>
              </w:rPr>
              <w:t>Вследствие на подадена от гражданин жалба Комисията стигна до заключението, че тъй като по отношение на проектът се прилагат правилата на ЕС за обществените поръчки, е трябвало да бъде предмет на тръжна процедура. Наложи се властите на град K да прекратят договора за наем, за да избегнат санкции от страна на ЕС. В същото време към тях бяха отправени претенции за обезщетение за вреди от страна на частния предприемач заради прекратения договор за наем.</w:t>
            </w:r>
          </w:p>
          <w:p>
            <w:pPr>
              <w:spacing w:after="120"/>
              <w:rPr>
                <w:noProof/>
              </w:rPr>
            </w:pPr>
            <w:r>
              <w:rPr>
                <w:i/>
                <w:noProof/>
              </w:rPr>
              <w:t>Ако властите разполагаха с предложения механизъм, щяха да избегнат правните пречки и да управляват издържан от икономическа гледна точка проект.</w:t>
            </w:r>
          </w:p>
        </w:tc>
      </w:tr>
    </w:tbl>
    <w:p>
      <w:pPr>
        <w:pStyle w:val="Heading1"/>
        <w:rPr>
          <w:noProof/>
        </w:rPr>
      </w:pPr>
      <w:r>
        <w:rPr>
          <w:noProof/>
        </w:rPr>
        <w:t>Доброволен предварителен механизъм</w:t>
      </w:r>
    </w:p>
    <w:p>
      <w:pPr>
        <w:rPr>
          <w:noProof/>
        </w:rPr>
      </w:pPr>
      <w:r>
        <w:rPr>
          <w:noProof/>
        </w:rPr>
        <w:t>Националните органи, възлагащите органи и възложителите разполагат с възможността да използват механизма на доброволна основа за задаване на въпроси</w:t>
      </w:r>
      <w:r>
        <w:rPr>
          <w:rStyle w:val="FootnoteReference"/>
          <w:noProof/>
        </w:rPr>
        <w:footnoteReference w:id="9"/>
      </w:r>
      <w:r>
        <w:rPr>
          <w:rStyle w:val="FootnoteReference"/>
          <w:noProof/>
        </w:rPr>
        <w:footnoteReference w:id="10"/>
      </w:r>
      <w:r>
        <w:rPr>
          <w:noProof/>
        </w:rPr>
        <w:t xml:space="preserve"> пред Комисията и да получават оценка</w:t>
      </w:r>
      <w:r>
        <w:rPr>
          <w:rStyle w:val="FootnoteReference"/>
          <w:noProof/>
        </w:rPr>
        <w:footnoteReference w:id="11"/>
      </w:r>
      <w:r>
        <w:rPr>
          <w:noProof/>
        </w:rPr>
        <w:t xml:space="preserve"> на съвместимостта на проекта</w:t>
      </w:r>
      <w:r>
        <w:rPr>
          <w:rStyle w:val="FootnoteReference"/>
          <w:noProof/>
        </w:rPr>
        <w:footnoteReference w:id="12"/>
      </w:r>
      <w:r>
        <w:rPr>
          <w:noProof/>
        </w:rPr>
        <w:t xml:space="preserve"> с нормативната уредба на ЕС преди да предприемат важни стъпки, например да отправят покана за участие в тръжна процедура за основните строителни работи по проекта, да подпишат международно споразумение или да решат да използват процедура на договаряне без предварително обявление.</w:t>
      </w:r>
    </w:p>
    <w:p>
      <w:pPr>
        <w:rPr>
          <w:noProof/>
        </w:rPr>
      </w:pPr>
      <w:r>
        <w:rPr>
          <w:noProof/>
        </w:rPr>
        <w:t>Националните органи и възлагащите органи/възложителите, които работят по големи проекти и по-специално по трансгранични проекти, могат да използват този механизъм, когато и където е нужно или полезно. Това ще помогне за намаляване на риска от закъснения и преразход на средства, произтичащи от трудности при процедурите за възлагане на обществени поръчки.</w:t>
      </w:r>
    </w:p>
    <w:p>
      <w:pPr>
        <w:rPr>
          <w:noProof/>
        </w:rPr>
      </w:pPr>
      <w:r>
        <w:rPr>
          <w:noProof/>
        </w:rPr>
        <w:t>Механизмът ще спомогне за въвеждането на добри практики в рамките на преразгледаната и модернизирана европейска рамка за обществените поръчки, приета през 2014 г.</w:t>
      </w:r>
      <w:r>
        <w:rPr>
          <w:rStyle w:val="FootnoteReference"/>
          <w:noProof/>
        </w:rPr>
        <w:footnoteReference w:id="13"/>
      </w:r>
      <w:r>
        <w:rPr>
          <w:noProof/>
        </w:rPr>
        <w:t xml:space="preserve"> Това може да бъде особено важно за концесиите, за които за първи път има напълно хармонизиран режим на ЕС.</w:t>
      </w:r>
    </w:p>
    <w:p>
      <w:pPr>
        <w:rPr>
          <w:noProof/>
          <w:shd w:val="clear" w:color="auto" w:fill="FFFFFF" w:themeFill="background1"/>
        </w:rPr>
      </w:pPr>
      <w:r>
        <w:rPr>
          <w:noProof/>
        </w:rPr>
        <w:t>Механизмът е предназначен за всички видове инфраструктурни проекти, особено в секторите на транспорта и енергетиката, ИКТ и нежилищното строителство</w:t>
      </w:r>
      <w:r>
        <w:rPr>
          <w:rStyle w:val="FootnoteReference"/>
          <w:noProof/>
          <w:shd w:val="clear" w:color="auto" w:fill="FFFFFF" w:themeFill="background1"/>
        </w:rPr>
        <w:footnoteReference w:id="14"/>
      </w:r>
      <w:r>
        <w:rPr>
          <w:noProof/>
        </w:rPr>
        <w:t>. Обикновено той е на разположение за поръчки на стойност над определени прагове</w:t>
      </w:r>
      <w:r>
        <w:rPr>
          <w:rStyle w:val="FootnoteReference"/>
          <w:noProof/>
          <w:shd w:val="clear" w:color="auto" w:fill="FFFFFF" w:themeFill="background1"/>
        </w:rPr>
        <w:footnoteReference w:id="15"/>
      </w:r>
      <w:r>
        <w:rPr>
          <w:noProof/>
        </w:rPr>
        <w:t>. Освен това всяка държава членка може да поиска Комисията да използва този механизъм за всякакви инфраструктурни проекти на по-ниска стойност, за които тя преценява, че са от голямо значение за нея самата и/или за ЕС като цяло</w:t>
      </w:r>
      <w:r>
        <w:rPr>
          <w:rStyle w:val="FootnoteReference"/>
          <w:noProof/>
          <w:shd w:val="clear" w:color="auto" w:fill="FFFFFF" w:themeFill="background1"/>
        </w:rPr>
        <w:footnoteReference w:id="16"/>
      </w:r>
      <w:r>
        <w:rPr>
          <w:noProof/>
        </w:rPr>
        <w:t>, например за проектите от общ интерес (ПОИ) в областта на трансевропейските мрежи.</w:t>
      </w:r>
    </w:p>
    <w:p>
      <w:pPr>
        <w:rPr>
          <w:noProof/>
        </w:rPr>
      </w:pPr>
      <w:r>
        <w:rPr>
          <w:noProof/>
        </w:rPr>
        <w:t>Чрез този механизъм ще се анализират проблемите, повдигнати в контекста на европейската рамка за обществените поръчки. Той ще допълва, но не и заменя съществуващите национални механизми за предварителен контрол или подпомагане. Органите на държавите членки са отговорни за националното измерение на обществените поръчки и по всеки проект ще трябва да спазват националното законодателство, както и, ако е приложимо, правото на Съюза. Съдилищата на държавите членки или органите за правна защита са компетентни да вземат решение по всякакви конфликти.</w:t>
      </w:r>
    </w:p>
    <w:p>
      <w:pPr>
        <w:rPr>
          <w:noProof/>
        </w:rPr>
      </w:pPr>
      <w:r>
        <w:rPr>
          <w:noProof/>
        </w:rPr>
        <w:t>Преди създаването на механизма Комисията проведе широки консултации с национални органи, експерти в областта на обществените поръчки, бизнес организации, организатори на проекти и други заинтересовани страни относно ползата от него и различните негови параметри. Заинтересованите страни като цяло подкрепят предложения механизъм и изразиха готовността си да използват различните предложени инструменти. Много от тях предложиха разширяване на приложното му поле, както и понижаване на прага. Публикувано бе обобщение на резултатите от откритата обществена консултация</w:t>
      </w:r>
      <w:r>
        <w:rPr>
          <w:rStyle w:val="FootnoteReference"/>
          <w:noProof/>
        </w:rPr>
        <w:footnoteReference w:id="17"/>
      </w:r>
      <w:r>
        <w:rPr>
          <w:noProof/>
        </w:rPr>
        <w:t>.</w:t>
      </w:r>
    </w:p>
    <w:p>
      <w:pPr>
        <w:rPr>
          <w:b/>
          <w:noProof/>
        </w:rPr>
      </w:pPr>
      <w:r>
        <w:rPr>
          <w:noProof/>
        </w:rPr>
        <w:t>Помощта, предоставена чрез механизма, ще допълва съществуващите механизми за подкрепа, като например Европейския консултантски център по инвестиционни въпроси (ЕКЦИВ), Съвместната помощ за подкрепа на проекти в европейските региони (JASPERS) и Европейския експертен център за ПЧП (EPEC). Тези механизми се прилагат само за проекти, които се ползват от или се фокусират върху отрасли, допустими за финансова подкрепа от Европейската комисия или Европейската инвестиционна банка, и не обхващат изцяло свързаните с възлагането на обществени поръчки проблеми и процеси. Например, основната задача на JASPERS е оказване на помощ за проекти до получаване на оценката за финансиране от ЕС. EPEC помага на публичните органи само когато възнамеряват да реализират проектите си чрез публично-частни партньорства, като поставя акцент върху кредитирането и финансирането. Той не може да е от помощ при избора на най-подходящия модел за възлагане на обществени поръчки и не предоставя експертни знания за проектите, разработвани по друг начин. Доброволният предварителен механизъм ще предоставя конкретна и специална подкрепа по всички въпроси, свързани с обществените поръчки през целия период на изпълнение на проектите. Той предлага цялостна подкрепа, която допълва набора от инструменти, с които разполагат държавите членки.</w:t>
      </w:r>
    </w:p>
    <w:p>
      <w:pPr>
        <w:rPr>
          <w:noProof/>
        </w:rPr>
      </w:pPr>
      <w:r>
        <w:rPr>
          <w:noProof/>
        </w:rPr>
        <w:t>Чрез комбинация от инструменти с различна специфика органите на държавите членки и организаторите ще извлекат значителна полза от натрупания опит по големи инфраструктурни проекти.</w:t>
      </w:r>
    </w:p>
    <w:p>
      <w:pPr>
        <w:rPr>
          <w:noProof/>
        </w:rPr>
      </w:pPr>
      <w:r>
        <w:rPr>
          <w:noProof/>
        </w:rPr>
        <w:t>Проектите, финансирани в рамките на ЕФСИ или други инструменти на ЕС, като например Механизмът за свързване на Европа, ще се възползват от новостите наред с подкрепата от Европейския консултантски център по въпросите на инвестициите. Много от тях са инфраструктурни проекти, като например проекти за енергия от възобновяеми източници (ветроенергийни паркове и пр.) и проекти за модернизиране на транспортните мрежи. ЕФСИ беше използван също така за подобряване на социалната инфраструктура. Успешното справяне с проблемите на обществените поръчки може да бъде от решаващо значение за успеха на тези проекти.</w:t>
      </w:r>
    </w:p>
    <w:p>
      <w:pPr>
        <w:rPr>
          <w:noProof/>
        </w:rPr>
      </w:pPr>
      <w:r>
        <w:rPr>
          <w:noProof/>
        </w:rPr>
        <w:t>По отношение на Плана за инвестиции за Европа Комисията обяви</w:t>
      </w:r>
      <w:r>
        <w:rPr>
          <w:rStyle w:val="FootnoteReference"/>
          <w:rFonts w:ascii="Calibri" w:hAnsi="Calibri"/>
          <w:noProof/>
        </w:rPr>
        <w:footnoteReference w:id="18"/>
      </w:r>
      <w:r>
        <w:rPr>
          <w:noProof/>
        </w:rPr>
        <w:t>, че ще създаде единен екип по инвестиционна политика, който обединява всички отговорни служби на Комисията, за да може  бързо и ефективно да оценява големите инфраструктурни проекти. Вече са направени първите стъпки за създаване на това звено. Предварителният механизъм ще даде своя принос към тази рамка и ще интегрира и подкрепи тази по-широкообхватна функция, след като тя започне да функционира пълноценно. И накрая, подготвя се оценка</w:t>
      </w:r>
      <w:r>
        <w:rPr>
          <w:rStyle w:val="FootnoteReference"/>
          <w:i/>
          <w:noProof/>
        </w:rPr>
        <w:footnoteReference w:id="19"/>
      </w:r>
      <w:r>
        <w:rPr>
          <w:noProof/>
        </w:rPr>
        <w:t xml:space="preserve"> и тече обществена консултация</w:t>
      </w:r>
      <w:r>
        <w:rPr>
          <w:rStyle w:val="FootnoteReference"/>
          <w:i/>
          <w:noProof/>
        </w:rPr>
        <w:footnoteReference w:id="20"/>
      </w:r>
      <w:r>
        <w:rPr>
          <w:noProof/>
        </w:rPr>
        <w:t>, за да се определи какви допълнителни мерки могат да бъдат полезни за подпомагане на организаторите на проекти при осъществяване на трансгранични проекти и други проекти по TEN-T.</w:t>
      </w:r>
    </w:p>
    <w:p>
      <w:pPr>
        <w:pStyle w:val="Heading1"/>
        <w:rPr>
          <w:noProof/>
        </w:rPr>
      </w:pPr>
      <w:r>
        <w:rPr>
          <w:noProof/>
        </w:rPr>
        <w:t>Структура на доброволния предварителен механизъм</w:t>
      </w:r>
    </w:p>
    <w:p>
      <w:pPr>
        <w:rPr>
          <w:noProof/>
        </w:rPr>
      </w:pPr>
      <w:r>
        <w:rPr>
          <w:noProof/>
        </w:rPr>
        <w:t>Този механизъм ще се състои от три компонента:</w:t>
      </w:r>
    </w:p>
    <w:p>
      <w:pPr>
        <w:pStyle w:val="ListParagraph"/>
        <w:numPr>
          <w:ilvl w:val="0"/>
          <w:numId w:val="40"/>
        </w:numPr>
        <w:rPr>
          <w:noProof/>
        </w:rPr>
      </w:pPr>
      <w:r>
        <w:rPr>
          <w:b/>
          <w:noProof/>
        </w:rPr>
        <w:t>бюро за помощ</w:t>
      </w:r>
      <w:r>
        <w:rPr>
          <w:noProof/>
        </w:rPr>
        <w:t>,</w:t>
      </w:r>
    </w:p>
    <w:p>
      <w:pPr>
        <w:pStyle w:val="ListParagraph"/>
        <w:numPr>
          <w:ilvl w:val="0"/>
          <w:numId w:val="40"/>
        </w:numPr>
        <w:rPr>
          <w:noProof/>
        </w:rPr>
      </w:pPr>
      <w:r>
        <w:rPr>
          <w:b/>
          <w:noProof/>
        </w:rPr>
        <w:t>механизъм за уведомяване</w:t>
      </w:r>
      <w:r>
        <w:rPr>
          <w:noProof/>
        </w:rPr>
        <w:t xml:space="preserve"> и</w:t>
      </w:r>
    </w:p>
    <w:p>
      <w:pPr>
        <w:pStyle w:val="ListParagraph"/>
        <w:numPr>
          <w:ilvl w:val="0"/>
          <w:numId w:val="40"/>
        </w:numPr>
        <w:rPr>
          <w:noProof/>
        </w:rPr>
      </w:pPr>
      <w:r>
        <w:rPr>
          <w:b/>
          <w:noProof/>
        </w:rPr>
        <w:t>механизъм за обмен на информация</w:t>
      </w:r>
      <w:r>
        <w:rPr>
          <w:noProof/>
        </w:rPr>
        <w:t>.</w:t>
      </w:r>
    </w:p>
    <w:p>
      <w:pPr>
        <w:pStyle w:val="Heading2"/>
        <w:numPr>
          <w:ilvl w:val="0"/>
          <w:numId w:val="0"/>
        </w:numPr>
        <w:rPr>
          <w:b w:val="0"/>
          <w:noProof/>
        </w:rPr>
      </w:pPr>
      <w:r>
        <w:rPr>
          <w:b w:val="0"/>
          <w:noProof/>
        </w:rPr>
        <w:t>Тези компоненти могат да бъдат използвани независимо един от друг за всеки проект.</w:t>
      </w:r>
    </w:p>
    <w:p>
      <w:pPr>
        <w:pStyle w:val="Heading2"/>
        <w:rPr>
          <w:noProof/>
        </w:rPr>
      </w:pPr>
      <w:r>
        <w:rPr>
          <w:noProof/>
        </w:rPr>
        <w:t>Бюро за помощ</w:t>
      </w:r>
    </w:p>
    <w:p>
      <w:pPr>
        <w:rPr>
          <w:noProof/>
          <w:color w:val="000000"/>
        </w:rPr>
      </w:pPr>
      <w:r>
        <w:rPr>
          <w:noProof/>
          <w:color w:val="000000"/>
        </w:rPr>
        <w:t xml:space="preserve">Бюрото за помощ ще предоставя на националните органи и възлагащите поръчките органи/институции насоки, ще отговаря на въпроси, ще обяснява конкретни проблеми в областта на обществените поръчки на ранен етап в изготвянето на решения за възлагане на обществени поръчки. </w:t>
      </w:r>
      <w:r>
        <w:rPr>
          <w:noProof/>
        </w:rPr>
        <w:t>Бюрото за помощ ще бъде на разположение за проекти, чиято обща стойност е най-малко 250 милиона евро</w:t>
      </w:r>
      <w:r>
        <w:rPr>
          <w:rStyle w:val="FootnoteReference"/>
          <w:noProof/>
        </w:rPr>
        <w:footnoteReference w:id="21"/>
      </w:r>
      <w:r>
        <w:rPr>
          <w:noProof/>
        </w:rPr>
        <w:t>.</w:t>
      </w:r>
    </w:p>
    <w:p>
      <w:pPr>
        <w:rPr>
          <w:noProof/>
          <w:color w:val="000000"/>
        </w:rPr>
      </w:pPr>
      <w:r>
        <w:rPr>
          <w:noProof/>
          <w:color w:val="000000"/>
        </w:rPr>
        <w:t>То може да играе важна роля при трансграничните проекти за разбирането на последиците от различните възможни решения.</w:t>
      </w:r>
    </w:p>
    <w:p>
      <w:pPr>
        <w:rPr>
          <w:noProof/>
          <w:color w:val="000000"/>
        </w:rPr>
      </w:pPr>
      <w:r>
        <w:rPr>
          <w:noProof/>
          <w:color w:val="000000"/>
        </w:rPr>
        <w:t xml:space="preserve">Националните органи могат да се свържат с бюрото за помощ по конкретните проблеми, с които се сблъскват при разработването на плана за възлагане на поръчка за проект. Тези въпроси биха могли, например, да се отнасят до:  </w:t>
      </w:r>
    </w:p>
    <w:p>
      <w:pPr>
        <w:pStyle w:val="ListParagraph"/>
        <w:numPr>
          <w:ilvl w:val="0"/>
          <w:numId w:val="28"/>
        </w:numPr>
        <w:rPr>
          <w:noProof/>
          <w:color w:val="000000"/>
        </w:rPr>
      </w:pPr>
      <w:r>
        <w:rPr>
          <w:noProof/>
          <w:color w:val="000000"/>
        </w:rPr>
        <w:t>приложимата нормативна база на ЕС, уреждаща проекта: Класическата директива за обществените поръчки или Директивата за комуналните услуги; Директивата за концесиите и др.</w:t>
      </w:r>
    </w:p>
    <w:p>
      <w:pPr>
        <w:pStyle w:val="ListParagraph"/>
        <w:numPr>
          <w:ilvl w:val="0"/>
          <w:numId w:val="28"/>
        </w:numPr>
        <w:rPr>
          <w:noProof/>
          <w:color w:val="000000"/>
        </w:rPr>
      </w:pPr>
      <w:r>
        <w:rPr>
          <w:noProof/>
          <w:color w:val="000000"/>
        </w:rPr>
        <w:t>условията за прилагане на изключения от директивите;</w:t>
      </w:r>
    </w:p>
    <w:p>
      <w:pPr>
        <w:pStyle w:val="ListParagraph"/>
        <w:numPr>
          <w:ilvl w:val="0"/>
          <w:numId w:val="28"/>
        </w:numPr>
        <w:rPr>
          <w:noProof/>
          <w:color w:val="000000"/>
        </w:rPr>
      </w:pPr>
      <w:r>
        <w:rPr>
          <w:noProof/>
          <w:color w:val="000000"/>
        </w:rPr>
        <w:t>процедурите за възлагане на обществени поръчки, които следва да се използват, и техните специфични характеристики;</w:t>
      </w:r>
    </w:p>
    <w:p>
      <w:pPr>
        <w:pStyle w:val="ListParagraph"/>
        <w:numPr>
          <w:ilvl w:val="0"/>
          <w:numId w:val="28"/>
        </w:numPr>
        <w:rPr>
          <w:noProof/>
          <w:color w:val="000000"/>
        </w:rPr>
      </w:pPr>
      <w:r>
        <w:rPr>
          <w:noProof/>
          <w:color w:val="000000"/>
        </w:rPr>
        <w:t>критериите за подбор и за възлагане;</w:t>
      </w:r>
    </w:p>
    <w:p>
      <w:pPr>
        <w:pStyle w:val="ListParagraph"/>
        <w:numPr>
          <w:ilvl w:val="0"/>
          <w:numId w:val="28"/>
        </w:numPr>
        <w:rPr>
          <w:noProof/>
          <w:color w:val="000000"/>
        </w:rPr>
      </w:pPr>
      <w:r>
        <w:rPr>
          <w:noProof/>
          <w:color w:val="000000"/>
        </w:rPr>
        <w:t>включването на съображения от екологично и социално естество, както и такива, свързани с иновациите;</w:t>
      </w:r>
    </w:p>
    <w:p>
      <w:pPr>
        <w:pStyle w:val="ListParagraph"/>
        <w:numPr>
          <w:ilvl w:val="0"/>
          <w:numId w:val="28"/>
        </w:numPr>
        <w:rPr>
          <w:noProof/>
          <w:color w:val="000000"/>
        </w:rPr>
      </w:pPr>
      <w:r>
        <w:rPr>
          <w:noProof/>
          <w:color w:val="000000"/>
        </w:rPr>
        <w:t>начините за осъществяване на съвместни поръчки по член 39 от Директива 2014/24/ЕС.</w:t>
      </w:r>
    </w:p>
    <w:p>
      <w:pPr>
        <w:rPr>
          <w:noProof/>
          <w:color w:val="000000"/>
        </w:rPr>
      </w:pPr>
      <w:r>
        <w:rPr>
          <w:noProof/>
          <w:color w:val="000000"/>
        </w:rPr>
        <w:t xml:space="preserve">Ако е необходимо, бюрото за помощ ще може да предлага съвети по време на проекта, например по въпроси, свързани с процедурите за възлагане или възможността за изменение на съществуващите договори. Подробната оценка на един по-широк план за възлагане на обществени поръчки или специфични аспекти от него обаче ще става чрез механизма за уведомяване. Ще се прилагат условията на механизма за уведомяване. </w:t>
      </w:r>
    </w:p>
    <w:p>
      <w:pPr>
        <w:rPr>
          <w:noProof/>
          <w:color w:val="1F497D"/>
        </w:rPr>
      </w:pPr>
      <w:r>
        <w:rPr>
          <w:noProof/>
          <w:color w:val="000000"/>
        </w:rPr>
        <w:t>Всички въпроси трябва да се изпращат чрез специалната електронна система на адрес:</w:t>
      </w:r>
      <w:r>
        <w:rPr>
          <w:noProof/>
        </w:rPr>
        <w:t xml:space="preserve"> </w:t>
      </w:r>
      <w:hyperlink r:id="rId16">
        <w:r>
          <w:rPr>
            <w:rStyle w:val="Hyperlink"/>
            <w:noProof/>
          </w:rPr>
          <w:t>https://ec.europa.eu/growth/tools-databases/pp-large-projects/</w:t>
        </w:r>
      </w:hyperlink>
      <w:r>
        <w:rPr>
          <w:noProof/>
          <w:color w:val="000000"/>
        </w:rPr>
        <w:t>. Електронната система ще обработва всякакъв обмен на информация, всички последващи въпроси и отговори на Комисията. Чрез тази система потребителите ще могат да поставят допълнителни въпроси или да уведомяват Комисията за проекта на по-късен етап. Това ще даде възможност на Комисията да следи развитието на проекта.</w:t>
      </w:r>
    </w:p>
    <w:p>
      <w:pPr>
        <w:pStyle w:val="Text1"/>
        <w:ind w:left="0"/>
        <w:rPr>
          <w:b/>
          <w:noProof/>
        </w:rPr>
      </w:pPr>
      <w:r>
        <w:rPr>
          <w:noProof/>
          <w:color w:val="000000"/>
        </w:rPr>
        <w:t>Комисията ще се стреми да отговори</w:t>
      </w:r>
      <w:r>
        <w:rPr>
          <w:noProof/>
          <w:color w:val="000000"/>
          <w:vertAlign w:val="superscript"/>
          <w:lang w:val="en-GB" w:eastAsia="en-US" w:bidi="ar-SA"/>
        </w:rPr>
        <w:footnoteReference w:id="22"/>
      </w:r>
      <w:r>
        <w:rPr>
          <w:noProof/>
          <w:color w:val="000000"/>
        </w:rPr>
        <w:t xml:space="preserve"> на поставените въпроси в срок до един месец. Тя може, ако е необходимо, да поиска допълнителна информация, която е от значение за анализа, като в такъв случай крайният срок за получаване на отговори ще бъде удължен.  </w:t>
      </w:r>
    </w:p>
    <w:p>
      <w:pPr>
        <w:rPr>
          <w:noProof/>
          <w:color w:val="000000"/>
        </w:rPr>
      </w:pPr>
      <w:r>
        <w:rPr>
          <w:noProof/>
          <w:color w:val="000000"/>
        </w:rPr>
        <w:t>След като искането бъде удовлетворено, на уебсайта на предварителния механизъм</w:t>
      </w:r>
      <w:r>
        <w:rPr>
          <w:noProof/>
          <w:color w:val="000000"/>
          <w:vertAlign w:val="superscript"/>
          <w:lang w:val="en-GB" w:eastAsia="en-US" w:bidi="ar-SA"/>
        </w:rPr>
        <w:footnoteReference w:id="23"/>
      </w:r>
      <w:r>
        <w:rPr>
          <w:noProof/>
          <w:color w:val="000000"/>
        </w:rPr>
        <w:t xml:space="preserve"> в общ вид ще бъдат публикувани въпросите и отговорите, без да се дава лична информация. Цялата поверителна и чувствителна в търговско отношение информация ще бъдат премахната в сътрудничество със съответния възлагащ орган</w:t>
      </w:r>
      <w:r>
        <w:rPr>
          <w:noProof/>
          <w:color w:val="000000"/>
          <w:vertAlign w:val="superscript"/>
          <w:lang w:val="en-GB" w:eastAsia="en-US" w:bidi="ar-SA"/>
        </w:rPr>
        <w:footnoteReference w:id="24"/>
      </w:r>
      <w:r>
        <w:rPr>
          <w:noProof/>
          <w:color w:val="000000"/>
        </w:rPr>
        <w:t>. Това ще позволи на възлагащите органи да извлекат поуки от широк спектър от случаи, предадени на Комисията, включително за проекти, които не са пряко допустими за помощ в рамките на механизма.</w:t>
      </w:r>
    </w:p>
    <w:tbl>
      <w:tblPr>
        <w:tblStyle w:val="TableGrid"/>
        <w:tblW w:w="0" w:type="auto"/>
        <w:tblLook w:val="04A0" w:firstRow="1" w:lastRow="0" w:firstColumn="1" w:lastColumn="0" w:noHBand="0" w:noVBand="1"/>
      </w:tblPr>
      <w:tblGrid>
        <w:gridCol w:w="8834"/>
      </w:tblGrid>
      <w:tr>
        <w:tc>
          <w:tcPr>
            <w:tcW w:w="8834" w:type="dxa"/>
            <w:shd w:val="clear" w:color="auto" w:fill="D9D9D9" w:themeFill="background1" w:themeFillShade="D9"/>
          </w:tcPr>
          <w:p>
            <w:pPr>
              <w:jc w:val="center"/>
              <w:rPr>
                <w:rFonts w:ascii="Times New Roman" w:hAnsi="Times New Roman" w:cs="Times New Roman"/>
                <w:b/>
                <w:i/>
                <w:noProof/>
              </w:rPr>
            </w:pPr>
            <w:r>
              <w:rPr>
                <w:b/>
                <w:i/>
                <w:noProof/>
              </w:rPr>
              <w:t>Бъдещо изграждане на железопътна линия — съдействие от бюрото за помощ</w:t>
            </w:r>
          </w:p>
          <w:p>
            <w:pPr>
              <w:rPr>
                <w:rFonts w:ascii="Times New Roman" w:hAnsi="Times New Roman" w:cs="Times New Roman"/>
                <w:i/>
                <w:noProof/>
              </w:rPr>
            </w:pPr>
            <w:r>
              <w:rPr>
                <w:i/>
                <w:noProof/>
              </w:rPr>
              <w:t>Възлагащ орган търси най-добрия вариант за обществена поръчка за изграждане на нова железопътна линия с дължина 150 km. Той може да се свърже с бюрото за помощ веднъж или многократно, за да провери например:</w:t>
            </w:r>
          </w:p>
          <w:p>
            <w:pPr>
              <w:pStyle w:val="ListParagraph"/>
              <w:numPr>
                <w:ilvl w:val="0"/>
                <w:numId w:val="36"/>
              </w:numPr>
              <w:rPr>
                <w:rFonts w:ascii="Times New Roman" w:hAnsi="Times New Roman" w:cs="Times New Roman"/>
                <w:i/>
                <w:noProof/>
              </w:rPr>
            </w:pPr>
            <w:r>
              <w:rPr>
                <w:i/>
                <w:noProof/>
              </w:rPr>
              <w:t>Как следва да се развие публично-частното партньорство, което изгражда и експлоатира железопътната линия? Очакваното разпределение на рисковете налага ли използването на процедури за възлагане на обществени поръчки в областта на комуналните услуги или проектът попада в обхвата на Директивата за концесиите?</w:t>
            </w:r>
          </w:p>
          <w:p>
            <w:pPr>
              <w:pStyle w:val="ListParagraph"/>
              <w:numPr>
                <w:ilvl w:val="0"/>
                <w:numId w:val="36"/>
              </w:numPr>
              <w:rPr>
                <w:rFonts w:ascii="Times New Roman" w:hAnsi="Times New Roman" w:cs="Times New Roman"/>
                <w:i/>
                <w:noProof/>
              </w:rPr>
            </w:pPr>
            <w:r>
              <w:rPr>
                <w:i/>
                <w:noProof/>
              </w:rPr>
              <w:t>Ако съответната държава обмисля подписването на международно споразумение, което обхваща изпълнението на проекта, това споразумение ще изведе ли процедурите за възлагане на обществени поръчки от обхвата на директивите?</w:t>
            </w:r>
          </w:p>
          <w:p>
            <w:pPr>
              <w:pStyle w:val="ListParagraph"/>
              <w:numPr>
                <w:ilvl w:val="0"/>
                <w:numId w:val="36"/>
              </w:numPr>
              <w:rPr>
                <w:rFonts w:ascii="Times New Roman" w:hAnsi="Times New Roman" w:cs="Times New Roman"/>
                <w:i/>
                <w:noProof/>
              </w:rPr>
            </w:pPr>
            <w:r>
              <w:rPr>
                <w:i/>
                <w:noProof/>
              </w:rPr>
              <w:t>Кой е най-добрият начин за планиране и провеждане на състезателна процедура с договаряне? Как може да се намали броят на квалифицираните кандидати, поканени да участват в процедурата?</w:t>
            </w:r>
          </w:p>
          <w:p>
            <w:pPr>
              <w:pStyle w:val="ListParagraph"/>
              <w:numPr>
                <w:ilvl w:val="0"/>
                <w:numId w:val="36"/>
              </w:numPr>
              <w:rPr>
                <w:rFonts w:ascii="Times New Roman" w:hAnsi="Times New Roman" w:cs="Times New Roman"/>
                <w:i/>
                <w:noProof/>
              </w:rPr>
            </w:pPr>
            <w:r>
              <w:rPr>
                <w:i/>
                <w:noProof/>
              </w:rPr>
              <w:t>Как най-добре в проекта могат да бъдат застъпени екологичните, социалните и новаторските аспекти на обществените поръчки?</w:t>
            </w:r>
          </w:p>
          <w:p>
            <w:pPr>
              <w:rPr>
                <w:rFonts w:cs="Times New Roman"/>
                <w:i/>
                <w:noProof/>
              </w:rPr>
            </w:pPr>
            <w:r>
              <w:rPr>
                <w:i/>
                <w:noProof/>
              </w:rPr>
              <w:t>Ако железопътна линия свързва две различни държави, може да се обърне към бюрото за помощ:</w:t>
            </w:r>
          </w:p>
          <w:p>
            <w:pPr>
              <w:pStyle w:val="ListParagraph"/>
              <w:numPr>
                <w:ilvl w:val="0"/>
                <w:numId w:val="37"/>
              </w:numPr>
              <w:rPr>
                <w:rFonts w:ascii="Times New Roman" w:hAnsi="Times New Roman" w:cs="Times New Roman"/>
                <w:i/>
                <w:noProof/>
              </w:rPr>
            </w:pPr>
            <w:r>
              <w:rPr>
                <w:i/>
                <w:noProof/>
              </w:rPr>
              <w:t>във връзка с уточняването на споразумението между възлагащите органи от двете държави да осъществят съвместно възлагане на обществени поръчки;</w:t>
            </w:r>
          </w:p>
          <w:p>
            <w:pPr>
              <w:pStyle w:val="ListParagraph"/>
              <w:numPr>
                <w:ilvl w:val="0"/>
                <w:numId w:val="37"/>
              </w:numPr>
              <w:rPr>
                <w:rFonts w:ascii="Times New Roman" w:hAnsi="Times New Roman" w:cs="Times New Roman"/>
                <w:i/>
                <w:noProof/>
              </w:rPr>
            </w:pPr>
            <w:r>
              <w:rPr>
                <w:i/>
                <w:noProof/>
              </w:rPr>
              <w:t>за да се изясни приложимият режим за обществените поръчки, когато две държави членки искат да създадат съвместно предприятие за реализиране на проекта.</w:t>
            </w:r>
          </w:p>
          <w:p>
            <w:pPr>
              <w:rPr>
                <w:noProof/>
                <w:color w:val="000000"/>
              </w:rPr>
            </w:pPr>
            <w:r>
              <w:rPr>
                <w:i/>
                <w:noProof/>
              </w:rPr>
              <w:t>Ако договорът трябва да бъде променен след неговото подписване, даден орган може да отправи въпроси относно условията, при които договорите могат да бъдат изменяни. Това ще помогне да се прецени дали дадено изменение е възможно без нова прозрачна процедура за възлагане.</w:t>
            </w:r>
          </w:p>
        </w:tc>
      </w:tr>
    </w:tbl>
    <w:p>
      <w:pPr>
        <w:rPr>
          <w:noProof/>
          <w:color w:val="000000"/>
        </w:rPr>
      </w:pPr>
    </w:p>
    <w:p>
      <w:pPr>
        <w:pStyle w:val="Heading2"/>
        <w:rPr>
          <w:noProof/>
        </w:rPr>
      </w:pPr>
      <w:r>
        <w:rPr>
          <w:noProof/>
        </w:rPr>
        <w:t>Механизъм за уведомяване</w:t>
      </w:r>
    </w:p>
    <w:p>
      <w:pPr>
        <w:rPr>
          <w:noProof/>
          <w:color w:val="000000"/>
        </w:rPr>
      </w:pPr>
      <w:r>
        <w:rPr>
          <w:noProof/>
          <w:color w:val="000000"/>
        </w:rPr>
        <w:t>След като се вземе решение за това как проектът ще се изпълнява от гледна точка на обществената поръчка и националните органи и/или възлагащите органи/възложителите са напреднали в подготовката на необходимата тръжна документация</w:t>
      </w:r>
      <w:r>
        <w:rPr>
          <w:rStyle w:val="FootnoteReference"/>
          <w:noProof/>
          <w:color w:val="000000"/>
        </w:rPr>
        <w:footnoteReference w:id="25"/>
      </w:r>
      <w:r>
        <w:rPr>
          <w:noProof/>
          <w:color w:val="000000"/>
        </w:rPr>
        <w:t>, те ще имат възможност да уведомят Комисията за плана за възлагане на инфраструктурни проекти, чиято обща стойност надхвърля 500 млн. EUR</w:t>
      </w:r>
      <w:r>
        <w:rPr>
          <w:rStyle w:val="FootnoteReference"/>
          <w:noProof/>
          <w:color w:val="000000"/>
        </w:rPr>
        <w:footnoteReference w:id="26"/>
      </w:r>
      <w:r>
        <w:rPr>
          <w:noProof/>
          <w:color w:val="000000"/>
        </w:rPr>
        <w:t>. След това службите на Комисията ще направят оценка</w:t>
      </w:r>
      <w:r>
        <w:rPr>
          <w:rStyle w:val="FootnoteReference"/>
          <w:noProof/>
          <w:color w:val="000000"/>
        </w:rPr>
        <w:footnoteReference w:id="27"/>
      </w:r>
      <w:r>
        <w:rPr>
          <w:noProof/>
          <w:color w:val="000000"/>
        </w:rPr>
        <w:t>, в която изразяват становище дали планът за възлагане на обществени поръчки е в съответствие с правилата за обществените поръчки на ЕС,</w:t>
      </w:r>
      <w:r>
        <w:rPr>
          <w:noProof/>
        </w:rPr>
        <w:t xml:space="preserve"> без да се засяга евентуално бъдещо правно тълкуване или оценка</w:t>
      </w:r>
      <w:r>
        <w:rPr>
          <w:noProof/>
          <w:color w:val="000000"/>
        </w:rPr>
        <w:t>.</w:t>
      </w:r>
    </w:p>
    <w:p>
      <w:pPr>
        <w:rPr>
          <w:noProof/>
          <w:color w:val="000000"/>
        </w:rPr>
      </w:pPr>
      <w:r>
        <w:rPr>
          <w:noProof/>
          <w:color w:val="000000"/>
        </w:rPr>
        <w:t>Бюрото за помощ е полезно при търсенето на отговори по конкретни въпроси, а механизмът за уведомяване обхваща по-общия план за възлагане на обществени поръчки. Планът за възлагане на обществени поръчки определя начина, по който даден проект ще бъде изпълнен от гледна точка на обществената поръчка. Например, той установява i) дали проектът ще използва договор  за строителство, договор „проектиране—строителство“ или  договор „проектиране—строителство—експлоатация“, ii) дали даден проект ще бъде изпълнен чрез няколко отделни тръжни процедури и чрез кои процедури за възлагане на обществени поръчки, и iii) как би могло да се реализира обществена поръчка за трансграничен проект.</w:t>
      </w:r>
    </w:p>
    <w:p>
      <w:pPr>
        <w:rPr>
          <w:noProof/>
          <w:color w:val="000000"/>
        </w:rPr>
      </w:pPr>
      <w:r>
        <w:rPr>
          <w:noProof/>
          <w:color w:val="000000"/>
        </w:rPr>
        <w:t>Националните органи и/или възлагащите органи/възложителите могат да уведомят Комисията за плана за обществените поръчки за проекта като цяло и/или по специфични въпроси от решаващо значение за целия проект. Във втория случай те трябва ясно да посочат конкретните елементи, изискващи оценка.</w:t>
      </w:r>
    </w:p>
    <w:p>
      <w:pPr>
        <w:rPr>
          <w:noProof/>
          <w:color w:val="000000"/>
        </w:rPr>
      </w:pPr>
      <w:r>
        <w:rPr>
          <w:noProof/>
          <w:color w:val="000000"/>
        </w:rPr>
        <w:t>При повечето големи инфраструктурни проекти се използват няколко тръжни процедури. С цел да се гарантира ефективното разглеждане, а механизмът да бъде лесен за ползване, органите могат да пожелаят да обсъдят конкретни въпроси, свързани с една от офертите, но те не следва да уведомяват Комисията за всяка отделна тръжна процедура.</w:t>
      </w:r>
    </w:p>
    <w:p>
      <w:pPr>
        <w:rPr>
          <w:noProof/>
          <w:color w:val="000000"/>
        </w:rPr>
      </w:pPr>
      <w:r>
        <w:rPr>
          <w:noProof/>
          <w:color w:val="000000"/>
        </w:rPr>
        <w:t>При изпълнението на проекти обичайна практика е договорите да бъдат изменяни, така че да отразяват промените в първоначалните условия. Тези промени пораждат сложни правни въпроси — въпреки че в директивите за обществените поръчки вече се дават указания и изясняват условията за такива изменения. Поради това националните органи и/или възлагащите органи/възложителите могат също да уведомят Комисията за своето предложение за конкретни изменения на договора.</w:t>
      </w:r>
    </w:p>
    <w:p>
      <w:pPr>
        <w:rPr>
          <w:noProof/>
          <w:color w:val="000000"/>
        </w:rPr>
      </w:pPr>
      <w:r>
        <w:rPr>
          <w:noProof/>
          <w:color w:val="000000"/>
        </w:rPr>
        <w:t>Плановете за обществени поръчки могат да се променят с течение на времето в съответствие с напредъка по проекта. Националните органи могат да информират Комисията за всякакви съществени промени в предишно уведомление, които могат да окажат въздействие върху резултата от оценката, като например промяна на процедура за възлагане на обществена поръчка от стандартна на извънредна.</w:t>
      </w:r>
    </w:p>
    <w:tbl>
      <w:tblPr>
        <w:tblStyle w:val="TableGrid"/>
        <w:tblW w:w="0" w:type="auto"/>
        <w:shd w:val="pct10" w:color="auto" w:fill="auto"/>
        <w:tblLook w:val="04A0" w:firstRow="1" w:lastRow="0" w:firstColumn="1" w:lastColumn="0" w:noHBand="0" w:noVBand="1"/>
      </w:tblPr>
      <w:tblGrid>
        <w:gridCol w:w="8834"/>
      </w:tblGrid>
      <w:tr>
        <w:tc>
          <w:tcPr>
            <w:tcW w:w="8834" w:type="dxa"/>
            <w:shd w:val="pct10" w:color="auto" w:fill="auto"/>
          </w:tcPr>
          <w:p>
            <w:pPr>
              <w:jc w:val="center"/>
              <w:rPr>
                <w:rFonts w:ascii="Times New Roman" w:eastAsia="Times New Roman" w:hAnsi="Times New Roman" w:cs="Times New Roman"/>
                <w:b/>
                <w:noProof/>
                <w:szCs w:val="20"/>
              </w:rPr>
            </w:pPr>
            <w:r>
              <w:rPr>
                <w:b/>
                <w:i/>
                <w:noProof/>
              </w:rPr>
              <w:t>Бъдещо изграждане на железопътна линия — уведомяване на Комисията</w:t>
            </w:r>
          </w:p>
          <w:p>
            <w:pPr>
              <w:rPr>
                <w:rFonts w:ascii="Times New Roman" w:hAnsi="Times New Roman" w:cs="Times New Roman"/>
                <w:i/>
                <w:noProof/>
              </w:rPr>
            </w:pPr>
            <w:r>
              <w:rPr>
                <w:i/>
                <w:noProof/>
              </w:rPr>
              <w:t>За изграждането на железопътна линия властите решават да разделят проекта на три отсечки — всяка с дължина около 50 km. Те ще бъдат възложени поотделно за изграждане и поддръжка съобразно правилата за обществените поръчки за комунални услуги.</w:t>
            </w:r>
          </w:p>
          <w:p>
            <w:pPr>
              <w:rPr>
                <w:rFonts w:ascii="Times New Roman" w:hAnsi="Times New Roman" w:cs="Times New Roman"/>
                <w:i/>
                <w:noProof/>
              </w:rPr>
            </w:pPr>
            <w:r>
              <w:rPr>
                <w:i/>
                <w:noProof/>
              </w:rPr>
              <w:t>Властите искат да проверят дали този подход е в съответствие с правилата на ЕС за обществените поръчки и уведомяват Комисията за плана. Уведомлението трябва да включва информация относно процедурите за възлагане на обществени поръчки, които ще бъдат използвани във връзка с договорите за трите обособени позиции, планирането на процеса на възлагане, предвидените срокове, рекламно-информационния процес и др.</w:t>
            </w:r>
          </w:p>
          <w:p>
            <w:pPr>
              <w:rPr>
                <w:rFonts w:ascii="Times New Roman" w:hAnsi="Times New Roman" w:cs="Times New Roman"/>
                <w:i/>
                <w:noProof/>
              </w:rPr>
            </w:pPr>
            <w:r>
              <w:rPr>
                <w:i/>
                <w:noProof/>
              </w:rPr>
              <w:t>Възложителят може да посочи конкретни проблеми, които изискват особено внимание, като например определянето на критериите за възлагане в техническите спецификации за първата отсечка.</w:t>
            </w:r>
          </w:p>
          <w:p>
            <w:pPr>
              <w:rPr>
                <w:noProof/>
              </w:rPr>
            </w:pPr>
            <w:r>
              <w:rPr>
                <w:i/>
                <w:noProof/>
              </w:rPr>
              <w:t>Ако възложителят възнамерява да измени договор, той може да поиска оценка от Комисията дали планът е в съответствие с правилата на ЕС. В този случай възложителят може да уведоми службите на Комисията за това изменение.</w:t>
            </w:r>
            <w:r>
              <w:rPr>
                <w:noProof/>
              </w:rPr>
              <w:t xml:space="preserve"> </w:t>
            </w:r>
          </w:p>
        </w:tc>
      </w:tr>
    </w:tbl>
    <w:p>
      <w:pPr>
        <w:rPr>
          <w:noProof/>
          <w:color w:val="000000"/>
        </w:rPr>
      </w:pPr>
    </w:p>
    <w:p>
      <w:pPr>
        <w:pStyle w:val="Heading3"/>
        <w:rPr>
          <w:noProof/>
          <w:color w:val="000000"/>
        </w:rPr>
      </w:pPr>
      <w:r>
        <w:rPr>
          <w:noProof/>
        </w:rPr>
        <w:t>Процедура по уведомяване</w:t>
      </w:r>
    </w:p>
    <w:p>
      <w:pPr>
        <w:rPr>
          <w:noProof/>
          <w:color w:val="000000"/>
        </w:rPr>
      </w:pPr>
      <w:r>
        <w:rPr>
          <w:noProof/>
          <w:color w:val="000000"/>
        </w:rPr>
        <w:t>Националните органи и възлагащите органи/възложителите (уведомяващите органи) ще използват стандартен формуляр, придружен от удостоверителни документи. Образци за структурата на стандартните формуляри са приложени към настоящото съобщение.</w:t>
      </w:r>
    </w:p>
    <w:p>
      <w:pPr>
        <w:rPr>
          <w:noProof/>
          <w:color w:val="000000"/>
        </w:rPr>
      </w:pPr>
      <w:r>
        <w:rPr>
          <w:noProof/>
          <w:color w:val="000000"/>
        </w:rPr>
        <w:t>Освен посочването на проекта и органа, който уведомява Комисията за него, в стандартния формуляр ще се изисква информация относно плана за обществените поръчки за целия проект, която е необходима за анализа. Тази информация включва:</w:t>
      </w:r>
    </w:p>
    <w:p>
      <w:pPr>
        <w:pStyle w:val="ListParagraph"/>
        <w:numPr>
          <w:ilvl w:val="0"/>
          <w:numId w:val="31"/>
        </w:numPr>
        <w:rPr>
          <w:noProof/>
          <w:color w:val="000000"/>
        </w:rPr>
      </w:pPr>
      <w:r>
        <w:rPr>
          <w:noProof/>
          <w:color w:val="000000"/>
        </w:rPr>
        <w:t>предмета на проекта;</w:t>
      </w:r>
    </w:p>
    <w:p>
      <w:pPr>
        <w:pStyle w:val="ListParagraph"/>
        <w:numPr>
          <w:ilvl w:val="0"/>
          <w:numId w:val="31"/>
        </w:numPr>
        <w:rPr>
          <w:noProof/>
          <w:color w:val="000000"/>
        </w:rPr>
      </w:pPr>
      <w:r>
        <w:rPr>
          <w:noProof/>
          <w:color w:val="000000"/>
        </w:rPr>
        <w:t xml:space="preserve">стойността на проекта, </w:t>
      </w:r>
    </w:p>
    <w:p>
      <w:pPr>
        <w:pStyle w:val="ListParagraph"/>
        <w:numPr>
          <w:ilvl w:val="0"/>
          <w:numId w:val="31"/>
        </w:numPr>
        <w:rPr>
          <w:noProof/>
          <w:color w:val="000000"/>
        </w:rPr>
      </w:pPr>
      <w:r>
        <w:rPr>
          <w:noProof/>
          <w:color w:val="000000"/>
        </w:rPr>
        <w:t>участващите организации (възлагащия орган/органи и др.),</w:t>
      </w:r>
    </w:p>
    <w:p>
      <w:pPr>
        <w:pStyle w:val="ListParagraph"/>
        <w:numPr>
          <w:ilvl w:val="0"/>
          <w:numId w:val="31"/>
        </w:numPr>
        <w:rPr>
          <w:noProof/>
          <w:color w:val="000000"/>
        </w:rPr>
      </w:pPr>
      <w:r>
        <w:rPr>
          <w:noProof/>
          <w:color w:val="000000"/>
        </w:rPr>
        <w:t>различните фази на проекта;</w:t>
      </w:r>
    </w:p>
    <w:p>
      <w:pPr>
        <w:pStyle w:val="ListParagraph"/>
        <w:numPr>
          <w:ilvl w:val="0"/>
          <w:numId w:val="31"/>
        </w:numPr>
        <w:rPr>
          <w:noProof/>
          <w:color w:val="000000"/>
        </w:rPr>
      </w:pPr>
      <w:r>
        <w:rPr>
          <w:noProof/>
          <w:color w:val="000000"/>
        </w:rPr>
        <w:t>дали проектът се очаква да бъде финансиран от ЕС,</w:t>
      </w:r>
    </w:p>
    <w:p>
      <w:pPr>
        <w:pStyle w:val="ListParagraph"/>
        <w:numPr>
          <w:ilvl w:val="0"/>
          <w:numId w:val="31"/>
        </w:numPr>
        <w:rPr>
          <w:noProof/>
          <w:color w:val="000000"/>
        </w:rPr>
      </w:pPr>
      <w:r>
        <w:rPr>
          <w:noProof/>
          <w:color w:val="000000"/>
        </w:rPr>
        <w:t>дали проектът е бил представен пред националния компетентен орган за одобрение,</w:t>
      </w:r>
    </w:p>
    <w:p>
      <w:pPr>
        <w:pStyle w:val="ListParagraph"/>
        <w:numPr>
          <w:ilvl w:val="0"/>
          <w:numId w:val="31"/>
        </w:numPr>
        <w:rPr>
          <w:noProof/>
          <w:color w:val="000000"/>
        </w:rPr>
      </w:pPr>
      <w:r>
        <w:rPr>
          <w:noProof/>
          <w:color w:val="000000"/>
        </w:rPr>
        <w:t>планирането на процеса на възлагане на обществени поръчки,</w:t>
      </w:r>
    </w:p>
    <w:p>
      <w:pPr>
        <w:pStyle w:val="ListParagraph"/>
        <w:numPr>
          <w:ilvl w:val="0"/>
          <w:numId w:val="31"/>
        </w:numPr>
        <w:rPr>
          <w:noProof/>
          <w:color w:val="000000"/>
        </w:rPr>
      </w:pPr>
      <w:r>
        <w:rPr>
          <w:noProof/>
          <w:color w:val="000000"/>
        </w:rPr>
        <w:t>условията, при които се налага изменение на договора, когато предмет на уведомлението е изменение на договор.</w:t>
      </w:r>
    </w:p>
    <w:p>
      <w:pPr>
        <w:rPr>
          <w:noProof/>
          <w:color w:val="000000"/>
        </w:rPr>
      </w:pPr>
      <w:r>
        <w:rPr>
          <w:noProof/>
          <w:color w:val="000000"/>
        </w:rPr>
        <w:t>Уведомяващите органи също така ще могат да качват документи, които считат за уместни за анализа. Те обаче следва да предоставят само информацията, която е необходима за извършване на оценката.</w:t>
      </w:r>
    </w:p>
    <w:p>
      <w:pPr>
        <w:rPr>
          <w:noProof/>
          <w:color w:val="000000"/>
        </w:rPr>
      </w:pPr>
      <w:r>
        <w:rPr>
          <w:noProof/>
          <w:color w:val="000000"/>
        </w:rPr>
        <w:t>Комисията и уведомяващите органи при необходимост остават във връзка за изясняване на аспекти от уведомлението.</w:t>
      </w:r>
    </w:p>
    <w:p>
      <w:pPr>
        <w:rPr>
          <w:noProof/>
          <w:color w:val="1F497D"/>
        </w:rPr>
      </w:pPr>
      <w:r>
        <w:rPr>
          <w:noProof/>
        </w:rPr>
        <w:t xml:space="preserve">За целите на уведомяването уведомяващите органи ще използват специална електронна система, която се използва също за бюрото за помощ </w:t>
      </w:r>
      <w:r>
        <w:rPr>
          <w:noProof/>
          <w:color w:val="000000"/>
        </w:rPr>
        <w:t>(</w:t>
      </w:r>
      <w:hyperlink r:id="rId17">
        <w:r>
          <w:rPr>
            <w:rStyle w:val="Hyperlink"/>
            <w:noProof/>
          </w:rPr>
          <w:t>https://ec.europa.eu/growth/tools-databases/pp-large-projects/</w:t>
        </w:r>
      </w:hyperlink>
      <w:r>
        <w:rPr>
          <w:rStyle w:val="Hyperlink"/>
          <w:noProof/>
          <w:color w:val="auto"/>
        </w:rPr>
        <w:t>)</w:t>
      </w:r>
      <w:r>
        <w:rPr>
          <w:noProof/>
          <w:color w:val="000000"/>
        </w:rPr>
        <w:t>. Системата ще осигури необходимата сигурност за подаване и обработка на данни.</w:t>
      </w:r>
    </w:p>
    <w:p>
      <w:pPr>
        <w:pStyle w:val="Heading3"/>
        <w:rPr>
          <w:noProof/>
        </w:rPr>
      </w:pPr>
      <w:r>
        <w:rPr>
          <w:noProof/>
        </w:rPr>
        <w:t>Отговорът на Комисията</w:t>
      </w:r>
    </w:p>
    <w:p>
      <w:pPr>
        <w:rPr>
          <w:noProof/>
          <w:color w:val="000000"/>
        </w:rPr>
      </w:pPr>
      <w:r>
        <w:rPr>
          <w:noProof/>
          <w:color w:val="000000"/>
        </w:rPr>
        <w:t>Въз основа на предоставената информация компетентните служби на Комисията ще предостави становището си относно съвместимостта на проекта на план за обществени поръчки със законодателството на ЕС за обществените поръчки или по конкретните въпроси, поставени от националните органи. Тя също така ще представи оценка по всички конкретни въпроси, повдигнати в уведомлението.</w:t>
      </w:r>
    </w:p>
    <w:p>
      <w:pPr>
        <w:rPr>
          <w:noProof/>
          <w:color w:val="000000"/>
        </w:rPr>
      </w:pPr>
      <w:r>
        <w:rPr>
          <w:noProof/>
          <w:color w:val="000000"/>
        </w:rPr>
        <w:t>Тази оценка няма да включва вижданията на службите на Комисията относно съответствието на мярката с правните разпоредби на Съюза в области извън обществените поръчки. Оценката на службите на Комисията ще се извършва винаги въз основа на предоставената информация и условията, приложими към съответния момент.</w:t>
      </w:r>
    </w:p>
    <w:p>
      <w:pPr>
        <w:rPr>
          <w:noProof/>
          <w:color w:val="000000"/>
        </w:rPr>
      </w:pPr>
      <w:r>
        <w:rPr>
          <w:noProof/>
          <w:color w:val="000000"/>
        </w:rPr>
        <w:t>Комисията ще се стреми да даде своя отговор в рамките на 3 месеца от датата на уведомлението. Ако Комисията поиска допълнителна информация от националните органи, по принцип ще се прилага правилото за „спиране на срока“.</w:t>
      </w:r>
    </w:p>
    <w:p>
      <w:pPr>
        <w:pStyle w:val="Text1"/>
        <w:ind w:left="0"/>
        <w:rPr>
          <w:noProof/>
          <w:color w:val="000000"/>
        </w:rPr>
      </w:pPr>
      <w:r>
        <w:rPr>
          <w:noProof/>
          <w:color w:val="000000"/>
        </w:rPr>
        <w:t>Комисията също така ще приканва съответните органи да предоставят документи, свързани с проекта за механизма за обмен на информация, ако е уместно и ако разполагат с такава. Цялата поверителна и чувствителна от търговска гледна точка информация ще бъде третирана внимателно и ще бъде премахната в сътрудничество със съответните органи</w:t>
      </w:r>
      <w:r>
        <w:rPr>
          <w:noProof/>
          <w:color w:val="000000"/>
          <w:vertAlign w:val="superscript"/>
          <w:lang w:val="en-GB" w:eastAsia="en-US" w:bidi="ar-SA"/>
        </w:rPr>
        <w:footnoteReference w:id="28"/>
      </w:r>
      <w:r>
        <w:rPr>
          <w:noProof/>
          <w:color w:val="000000"/>
        </w:rPr>
        <w:t>.</w:t>
      </w:r>
    </w:p>
    <w:p>
      <w:pPr>
        <w:pStyle w:val="Heading2"/>
        <w:rPr>
          <w:noProof/>
        </w:rPr>
      </w:pPr>
      <w:r>
        <w:rPr>
          <w:noProof/>
        </w:rPr>
        <w:t>Механизъм за обмен на информация</w:t>
      </w:r>
    </w:p>
    <w:p>
      <w:pPr>
        <w:rPr>
          <w:noProof/>
          <w:color w:val="000000"/>
        </w:rPr>
      </w:pPr>
      <w:r>
        <w:rPr>
          <w:noProof/>
          <w:color w:val="000000"/>
        </w:rPr>
        <w:t>Механизмът за обмен на информация е средство за управление на знанието, използвано от националните органи, възлагащите органи и възложителите. Неговата цел е формирането на референтни класове от сходни проекти като средство за обмен на опит. Той ще служи и като платформа за обмен на информация за различни аспекти, свързани с проектите, като например вида на процедурата за възлагане на поръчка, етапите на проекта, проблемите при изпълнението на проекта и др.</w:t>
      </w:r>
    </w:p>
    <w:p>
      <w:pPr>
        <w:rPr>
          <w:noProof/>
          <w:color w:val="000000"/>
        </w:rPr>
      </w:pPr>
      <w:r>
        <w:rPr>
          <w:noProof/>
          <w:color w:val="000000"/>
        </w:rPr>
        <w:t>В началната фаза този инструмент ще включва два компонента: широкодостъпна база данни, съдържаща цялата необходима информация, и платформа, в рамките на която заинтересованите страни могат да обменят възгледи и информация. Двата елемента ще бъдат на разположение в началото на 2018 г.</w:t>
      </w:r>
    </w:p>
    <w:p>
      <w:pPr>
        <w:pStyle w:val="Heading3"/>
        <w:rPr>
          <w:noProof/>
        </w:rPr>
      </w:pPr>
      <w:r>
        <w:rPr>
          <w:noProof/>
        </w:rPr>
        <w:t>Структура на базата данни, източник и достъпност</w:t>
      </w:r>
    </w:p>
    <w:p>
      <w:pPr>
        <w:rPr>
          <w:noProof/>
          <w:color w:val="000000"/>
        </w:rPr>
      </w:pPr>
      <w:r>
        <w:rPr>
          <w:noProof/>
          <w:color w:val="000000"/>
        </w:rPr>
        <w:t xml:space="preserve">Базата данни ще съдържа различни видове документи, свързани с процедурата за възлагане на обществени поръчки при големи инфраструктурни проекти. Те включват тръжни досиета, документи относно организационната структура на проекта, договори, насоки за определени видове процедури, специфична информация за трансгранични проекти и съдебна практика на Съда на Европейския съюз. Комисията ще управлява базата данни и ще качва документите, с които разполага или които държавите членки и/или организаторите са предоставили.  </w:t>
      </w:r>
    </w:p>
    <w:p>
      <w:pPr>
        <w:rPr>
          <w:noProof/>
          <w:color w:val="000000"/>
        </w:rPr>
      </w:pPr>
      <w:r>
        <w:rPr>
          <w:noProof/>
          <w:color w:val="000000"/>
        </w:rPr>
        <w:t>Националните органи и възлагащите органи/възложителите се насърчават да предоставят на Комисията информация за големите инфраструктурни проекти, които вече се прилагат или са в процес на проучване. Базата данни ще изпълнява своята функция като информационен инструмент за националните органи най-добре, ако още от самото начало съдържа информация за проекти, които вече са били изцяло изпълнени.</w:t>
      </w:r>
    </w:p>
    <w:p>
      <w:pPr>
        <w:rPr>
          <w:noProof/>
          <w:color w:val="000000"/>
        </w:rPr>
      </w:pPr>
      <w:r>
        <w:rPr>
          <w:noProof/>
          <w:color w:val="000000"/>
        </w:rPr>
        <w:t>Базата данни ще бъде широкодостъпна след регистрация. Следователно механизмът за обмен на информация ще бъде също така от полза за организаторите на проекти от частния сектор и възлагащите органи, разработващи проекти, чиято стойност не достига приложимия праг за използване на бюрото за помощ и механизма за уведомяване.</w:t>
      </w:r>
    </w:p>
    <w:p>
      <w:pPr>
        <w:rPr>
          <w:noProof/>
          <w:color w:val="000000"/>
        </w:rPr>
      </w:pPr>
      <w:r>
        <w:rPr>
          <w:noProof/>
          <w:color w:val="000000"/>
        </w:rPr>
        <w:t>Информацията, предоставена от органите в рамките на процедурата за уведомяване, ще бъде предоставена на разположение в базата данни само със съгласието на съответния орган. За всякаква друга информация държавите членки трябва да гарантират, че чувствителната част от нея е премахната</w:t>
      </w:r>
      <w:r>
        <w:rPr>
          <w:rStyle w:val="FootnoteReference"/>
          <w:noProof/>
          <w:color w:val="000000"/>
        </w:rPr>
        <w:footnoteReference w:id="29"/>
      </w:r>
      <w:r>
        <w:rPr>
          <w:noProof/>
          <w:color w:val="000000"/>
        </w:rPr>
        <w:t>.</w:t>
      </w:r>
    </w:p>
    <w:p>
      <w:pPr>
        <w:rPr>
          <w:noProof/>
          <w:color w:val="000000"/>
        </w:rPr>
      </w:pPr>
      <w:r>
        <w:rPr>
          <w:noProof/>
          <w:color w:val="000000"/>
        </w:rPr>
        <w:t>Документите могат да се изпращат на всеки от официалните езици на ЕС. Базата данни ще включва функция за машинен превод. Тя ще бъде свързана с други подобни инициативи, като например Центъра за знание и обучение към JASPERS.</w:t>
      </w:r>
    </w:p>
    <w:p>
      <w:pPr>
        <w:pStyle w:val="Heading3"/>
        <w:rPr>
          <w:noProof/>
        </w:rPr>
      </w:pPr>
      <w:r>
        <w:rPr>
          <w:noProof/>
        </w:rPr>
        <w:t>Платформата</w:t>
      </w:r>
    </w:p>
    <w:p>
      <w:pPr>
        <w:pStyle w:val="Text1"/>
        <w:ind w:left="0"/>
        <w:rPr>
          <w:noProof/>
        </w:rPr>
      </w:pPr>
      <w:r>
        <w:rPr>
          <w:noProof/>
        </w:rPr>
        <w:t>Партньорските дискусии са един от най-ефективните инструменти за учене и развитие. Ето защо освен базата данни Комисията ще създаде ИТ платформа за улесняване на прекия обмен на информация и опит между участниците в разработването на големи инфраструктурни проекти в ЕС. Платформата ще бъде достъпна за специалистите в ЕС след регистрация. Тя ще позволи създаването на подгрупи за обсъждане по видове проекти или проблеми с поръчките. Тези групи могат да бъдат отворени или затворени, т.е. достъпни само за членовете, откриващи обсъждането.</w:t>
      </w:r>
    </w:p>
    <w:p>
      <w:pPr>
        <w:pStyle w:val="Heading1"/>
        <w:rPr>
          <w:noProof/>
        </w:rPr>
      </w:pPr>
      <w:r>
        <w:rPr>
          <w:noProof/>
        </w:rPr>
        <w:t>Заключение</w:t>
      </w:r>
    </w:p>
    <w:p>
      <w:pPr>
        <w:rPr>
          <w:noProof/>
        </w:rPr>
      </w:pPr>
      <w:r>
        <w:rPr>
          <w:noProof/>
        </w:rPr>
        <w:t>Предварителният механизъм не е еднократна мярка. Той е част от предложеното от Комисията ново партньорство със и между националните, регионалните и местните органи. Той е пряко свързан с целта обществените поръчки да станат по-стратегически инструмент. Успехът на механизма ще зависи от тази идея за партньорство и от масовата употреба на предложените инструменти в държавите членки. Националните органи се приканват да насърчават активно използването на механизма и да се възползват възможно най-добре и по предназначение от помощта, предлагана от механизма.</w:t>
      </w:r>
    </w:p>
    <w:p>
      <w:pPr>
        <w:rPr>
          <w:noProof/>
        </w:rPr>
      </w:pPr>
      <w:r>
        <w:rPr>
          <w:noProof/>
        </w:rPr>
        <w:t>Мярката е разработена, като е обърнато специално внимание на потребностите на заинтересованите страни, изразени както в обществената консултация, така и по други поводи. Тъй като нуждите на заинтересованите страни могат да се променят с времето, Комисията ще следи и оценява използването на предварителния механизъм. Тя също така ще оцени ефективността на подкрепата по линия на инструмента. Оценката ще бъде направена, когато тези средства са били изцяло в действие в продължение на 24 месеца, или по-рано, ако е подходящо и необходимо. Въз основа на тези елементи при необходимост инструментите ще бъдат съответно коригирани.</w:t>
      </w:r>
    </w:p>
    <w:p>
      <w:pPr>
        <w:spacing w:after="0"/>
        <w:jc w:val="left"/>
        <w:rPr>
          <w:b/>
          <w:noProof/>
          <w:sz w:val="32"/>
          <w:szCs w:val="32"/>
        </w:rPr>
      </w:pPr>
      <w:r>
        <w:rPr>
          <w:noProof/>
        </w:rPr>
        <w:br w:type="page"/>
      </w:r>
    </w:p>
    <w:p>
      <w:pPr>
        <w:jc w:val="center"/>
        <w:rPr>
          <w:b/>
          <w:noProof/>
          <w:sz w:val="32"/>
          <w:szCs w:val="32"/>
        </w:rPr>
      </w:pPr>
      <w:r>
        <w:rPr>
          <w:b/>
          <w:noProof/>
          <w:sz w:val="32"/>
        </w:rPr>
        <w:t>Приложение I</w:t>
      </w:r>
    </w:p>
    <w:p>
      <w:pPr>
        <w:pStyle w:val="Title"/>
        <w:rPr>
          <w:rFonts w:eastAsia="MS Gothic"/>
          <w:noProof/>
          <w:sz w:val="40"/>
        </w:rPr>
      </w:pPr>
      <w:r>
        <w:rPr>
          <w:noProof/>
          <w:sz w:val="40"/>
        </w:rPr>
        <w:t>Стандартен формуляр</w:t>
      </w:r>
    </w:p>
    <w:p>
      <w:pPr>
        <w:spacing w:after="120" w:line="360" w:lineRule="auto"/>
        <w:contextualSpacing/>
        <w:jc w:val="left"/>
        <w:rPr>
          <w:rFonts w:eastAsia="MS Gothic"/>
          <w:b/>
          <w:noProof/>
          <w:kern w:val="28"/>
          <w:sz w:val="28"/>
        </w:rPr>
      </w:pPr>
    </w:p>
    <w:p>
      <w:pPr>
        <w:tabs>
          <w:tab w:val="left" w:pos="5954"/>
          <w:tab w:val="left" w:pos="6237"/>
          <w:tab w:val="left" w:pos="6379"/>
        </w:tabs>
        <w:spacing w:after="120" w:line="360" w:lineRule="auto"/>
        <w:contextualSpacing/>
        <w:jc w:val="left"/>
        <w:rPr>
          <w:rFonts w:eastAsia="MS Gothic"/>
          <w:b/>
          <w:noProof/>
          <w:kern w:val="28"/>
          <w:sz w:val="28"/>
        </w:rPr>
      </w:pPr>
      <w:r>
        <w:rPr>
          <w:b/>
          <w:noProof/>
          <w:kern w:val="28"/>
          <w:sz w:val="28"/>
        </w:rPr>
        <w:t>Идентификационни въпроси</w:t>
      </w:r>
    </w:p>
    <w:tbl>
      <w:tblPr>
        <w:tblW w:w="4783" w:type="pct"/>
        <w:tblLayout w:type="fixed"/>
        <w:tblCellMar>
          <w:left w:w="0" w:type="dxa"/>
          <w:right w:w="0" w:type="dxa"/>
        </w:tblCellMar>
        <w:tblLook w:val="04A0" w:firstRow="1" w:lastRow="0" w:firstColumn="1" w:lastColumn="0" w:noHBand="0" w:noVBand="1"/>
        <w:tblDescription w:val="Layout table"/>
      </w:tblPr>
      <w:tblGrid>
        <w:gridCol w:w="1953"/>
        <w:gridCol w:w="2219"/>
        <w:gridCol w:w="1830"/>
        <w:gridCol w:w="2242"/>
      </w:tblGrid>
      <w:tr>
        <w:tc>
          <w:tcPr>
            <w:tcW w:w="2123" w:type="dxa"/>
            <w:vAlign w:val="bottom"/>
          </w:tcPr>
          <w:p>
            <w:pPr>
              <w:spacing w:before="120" w:after="0" w:line="312" w:lineRule="auto"/>
              <w:jc w:val="left"/>
              <w:rPr>
                <w:rFonts w:eastAsia="MS Mincho"/>
                <w:noProof/>
              </w:rPr>
            </w:pPr>
            <w:r>
              <w:rPr>
                <w:noProof/>
              </w:rPr>
              <w:t>Наименование на проекта:</w:t>
            </w:r>
          </w:p>
        </w:tc>
        <w:tc>
          <w:tcPr>
            <w:tcW w:w="2414" w:type="dxa"/>
            <w:tcBorders>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Отрасъл:</w:t>
            </w:r>
          </w:p>
        </w:tc>
        <w:tc>
          <w:tcPr>
            <w:tcW w:w="2439" w:type="dxa"/>
            <w:tcBorders>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Възлагащ орган/възложител:</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Държава членка:</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Орган, уведомяващ за проекта</w:t>
            </w:r>
            <w:r>
              <w:rPr>
                <w:noProof/>
                <w:vertAlign w:val="superscript"/>
              </w:rPr>
              <w:endnoteReference w:id="2"/>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r>
              <w:rPr>
                <w:noProof/>
              </w:rPr>
              <w:t>Координати за връзка:</w:t>
            </w:r>
          </w:p>
        </w:tc>
        <w:tc>
          <w:tcPr>
            <w:tcW w:w="2439" w:type="dxa"/>
            <w:tcBorders>
              <w:top w:val="single" w:sz="4" w:space="0" w:color="auto"/>
              <w:bottom w:val="single" w:sz="4" w:space="0" w:color="auto"/>
            </w:tcBorders>
            <w:vAlign w:val="bottom"/>
          </w:tcPr>
          <w:p>
            <w:pPr>
              <w:spacing w:before="120" w:after="0" w:line="312" w:lineRule="auto"/>
              <w:jc w:val="left"/>
              <w:rPr>
                <w:rFonts w:eastAsia="MS Mincho"/>
                <w:noProof/>
              </w:rPr>
            </w:pPr>
          </w:p>
        </w:tc>
      </w:tr>
      <w:tr>
        <w:tc>
          <w:tcPr>
            <w:tcW w:w="2123" w:type="dxa"/>
            <w:vAlign w:val="bottom"/>
          </w:tcPr>
          <w:p>
            <w:pPr>
              <w:spacing w:before="120" w:after="0" w:line="312" w:lineRule="auto"/>
              <w:jc w:val="left"/>
              <w:rPr>
                <w:rFonts w:eastAsia="MS Mincho"/>
                <w:noProof/>
              </w:rPr>
            </w:pPr>
            <w:r>
              <w:rPr>
                <w:noProof/>
              </w:rPr>
              <w:t>Оценка на общия разход:</w:t>
            </w:r>
          </w:p>
        </w:tc>
        <w:tc>
          <w:tcPr>
            <w:tcW w:w="2414" w:type="dxa"/>
            <w:tcBorders>
              <w:top w:val="single" w:sz="4" w:space="0" w:color="auto"/>
              <w:bottom w:val="single" w:sz="4" w:space="0" w:color="auto"/>
            </w:tcBorders>
            <w:vAlign w:val="bottom"/>
          </w:tcPr>
          <w:p>
            <w:pPr>
              <w:spacing w:before="120" w:after="0" w:line="312" w:lineRule="auto"/>
              <w:jc w:val="left"/>
              <w:rPr>
                <w:rFonts w:eastAsia="MS Mincho"/>
                <w:noProof/>
              </w:rPr>
            </w:pPr>
          </w:p>
        </w:tc>
        <w:tc>
          <w:tcPr>
            <w:tcW w:w="1978" w:type="dxa"/>
            <w:tcMar>
              <w:left w:w="144" w:type="dxa"/>
            </w:tcMar>
            <w:vAlign w:val="bottom"/>
          </w:tcPr>
          <w:p>
            <w:pPr>
              <w:spacing w:before="120" w:after="0" w:line="312" w:lineRule="auto"/>
              <w:ind w:left="281"/>
              <w:jc w:val="left"/>
              <w:rPr>
                <w:rFonts w:eastAsia="MS Mincho"/>
                <w:noProof/>
              </w:rPr>
            </w:pPr>
          </w:p>
        </w:tc>
        <w:tc>
          <w:tcPr>
            <w:tcW w:w="2439" w:type="dxa"/>
            <w:tcBorders>
              <w:top w:val="single" w:sz="4" w:space="0" w:color="auto"/>
            </w:tcBorders>
            <w:vAlign w:val="bottom"/>
          </w:tcPr>
          <w:p>
            <w:pPr>
              <w:spacing w:before="120" w:after="0" w:line="312" w:lineRule="auto"/>
              <w:jc w:val="left"/>
              <w:rPr>
                <w:rFonts w:eastAsia="MS Mincho"/>
                <w:noProof/>
              </w:rPr>
            </w:pPr>
          </w:p>
        </w:tc>
      </w:tr>
    </w:tbl>
    <w:p>
      <w:pPr>
        <w:keepNext/>
        <w:keepLines/>
        <w:spacing w:before="360" w:after="120" w:line="312" w:lineRule="auto"/>
        <w:jc w:val="left"/>
        <w:outlineLvl w:val="0"/>
        <w:rPr>
          <w:rFonts w:eastAsia="MS Gothic"/>
          <w:b/>
          <w:noProof/>
          <w:sz w:val="25"/>
        </w:rPr>
      </w:pPr>
      <w:r>
        <w:rPr>
          <w:b/>
          <w:noProof/>
          <w:sz w:val="25"/>
        </w:rPr>
        <w:t>Уведомлението се отнася до:</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нов проект</w:t>
      </w:r>
      <w:r>
        <w:rPr>
          <w:noProof/>
        </w:rPr>
        <w:tab/>
      </w:r>
      <w:r>
        <w:rPr>
          <w:noProof/>
        </w:rPr>
        <w:tab/>
      </w:r>
      <w:r>
        <w:rPr>
          <w:noProof/>
        </w:rPr>
        <w:tab/>
      </w:r>
      <w:r>
        <w:rPr>
          <w:noProof/>
        </w:rPr>
        <w:tab/>
      </w:r>
      <w:r>
        <w:rPr>
          <w:noProof/>
        </w:rPr>
        <w:tab/>
      </w:r>
      <w:r>
        <w:rPr>
          <w:rFonts w:hint="eastAsia"/>
          <w:noProof/>
          <w:sz w:val="36"/>
        </w:rPr>
        <w:t xml:space="preserve">□ </w:t>
      </w:r>
      <w:r>
        <w:rPr>
          <w:noProof/>
          <w:sz w:val="25"/>
        </w:rPr>
        <w:t>изменение на договор</w:t>
      </w:r>
    </w:p>
    <w:p>
      <w:pPr>
        <w:keepNext/>
        <w:keepLines/>
        <w:spacing w:before="360" w:after="120" w:line="312" w:lineRule="auto"/>
        <w:jc w:val="left"/>
        <w:outlineLvl w:val="0"/>
        <w:rPr>
          <w:rFonts w:eastAsia="MS Gothic"/>
          <w:b/>
          <w:noProof/>
          <w:sz w:val="25"/>
        </w:rPr>
      </w:pPr>
      <w:r>
        <w:rPr>
          <w:b/>
          <w:noProof/>
          <w:sz w:val="25"/>
        </w:rPr>
        <w:t>Описание</w:t>
      </w:r>
      <w:r>
        <w:rPr>
          <w:noProof/>
        </w:rPr>
        <w:t xml:space="preserve"> </w:t>
      </w:r>
      <w:r>
        <w:rPr>
          <w:b/>
          <w:noProof/>
          <w:sz w:val="28"/>
        </w:rPr>
        <w:t>на проекта</w:t>
      </w:r>
    </w:p>
    <w:p>
      <w:pPr>
        <w:spacing w:before="120" w:after="0" w:line="312" w:lineRule="auto"/>
        <w:jc w:val="left"/>
        <w:rPr>
          <w:rFonts w:eastAsia="MS Mincho"/>
          <w:noProof/>
        </w:rPr>
      </w:pPr>
      <w:r>
        <w:rPr>
          <w:noProof/>
        </w:rPr>
        <w:t>Моля, опишете съответните елементи на проекта</w:t>
      </w:r>
      <w:r>
        <w:rPr>
          <w:noProof/>
          <w:vertAlign w:val="superscript"/>
        </w:rPr>
        <w:endnoteReference w:id="3"/>
      </w:r>
      <w:r>
        <w:rPr>
          <w:noProof/>
        </w:rPr>
        <w:t>:</w:t>
      </w:r>
    </w:p>
    <w:tbl>
      <w:tblPr>
        <w:tblStyle w:val="TableGrid1"/>
        <w:tblW w:w="9322" w:type="dxa"/>
        <w:tblLook w:val="04A0" w:firstRow="1" w:lastRow="0" w:firstColumn="1" w:lastColumn="0" w:noHBand="0" w:noVBand="1"/>
      </w:tblPr>
      <w:tblGrid>
        <w:gridCol w:w="9322"/>
      </w:tblGrid>
      <w:tr>
        <w:trPr>
          <w:trHeight w:val="494"/>
        </w:trPr>
        <w:tc>
          <w:tcPr>
            <w:tcW w:w="9322" w:type="dxa"/>
          </w:tcPr>
          <w:p>
            <w:pPr>
              <w:spacing w:after="0"/>
              <w:jc w:val="left"/>
              <w:rPr>
                <w:noProof/>
                <w:sz w:val="21"/>
              </w:rPr>
            </w:pPr>
          </w:p>
        </w:tc>
      </w:tr>
    </w:tbl>
    <w:p>
      <w:pPr>
        <w:keepNext/>
        <w:keepLines/>
        <w:spacing w:before="360" w:after="0" w:line="312" w:lineRule="auto"/>
        <w:jc w:val="left"/>
        <w:outlineLvl w:val="0"/>
        <w:rPr>
          <w:rFonts w:eastAsia="MS Mincho"/>
          <w:noProof/>
        </w:rPr>
      </w:pPr>
      <w:r>
        <w:rPr>
          <w:noProof/>
        </w:rPr>
        <w:t>Моля, опишете плана за възлагане на обществена поръчка за проекта</w:t>
      </w:r>
      <w:r>
        <w:rPr>
          <w:noProof/>
          <w:vertAlign w:val="superscript"/>
        </w:rPr>
        <w:endnoteReference w:id="4"/>
      </w:r>
      <w:r>
        <w:rPr>
          <w:noProof/>
        </w:rPr>
        <w:t>:</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b/>
                <w:noProof/>
                <w:sz w:val="25"/>
              </w:rPr>
            </w:pPr>
          </w:p>
        </w:tc>
      </w:tr>
    </w:tbl>
    <w:p>
      <w:pPr>
        <w:keepNext/>
        <w:keepLines/>
        <w:spacing w:before="360" w:after="120" w:line="312" w:lineRule="auto"/>
        <w:ind w:left="851"/>
        <w:jc w:val="left"/>
        <w:outlineLvl w:val="0"/>
        <w:rPr>
          <w:rFonts w:eastAsia="MS Gothic"/>
          <w:b/>
          <w:noProof/>
          <w:sz w:val="25"/>
        </w:rPr>
      </w:pPr>
      <w:r>
        <w:rPr>
          <w:b/>
          <w:noProof/>
          <w:sz w:val="25"/>
        </w:rPr>
        <w:t>За нови проекти</w:t>
      </w:r>
    </w:p>
    <w:p>
      <w:pPr>
        <w:keepNext/>
        <w:keepLines/>
        <w:spacing w:before="120" w:after="120" w:line="312" w:lineRule="auto"/>
        <w:ind w:left="851"/>
        <w:jc w:val="left"/>
        <w:outlineLvl w:val="0"/>
        <w:rPr>
          <w:rFonts w:eastAsia="MS Mincho"/>
          <w:noProof/>
        </w:rPr>
      </w:pPr>
      <w:r>
        <w:rPr>
          <w:noProof/>
        </w:rPr>
        <w:t>Моля, опишете различните етапи на възлагане на обществената поръчка и очакваната начална дата/график на тръжните процедури:</w:t>
      </w:r>
    </w:p>
    <w:tbl>
      <w:tblPr>
        <w:tblStyle w:val="TableGrid1"/>
        <w:tblW w:w="8363" w:type="dxa"/>
        <w:tblInd w:w="959" w:type="dxa"/>
        <w:tblLook w:val="04A0" w:firstRow="1" w:lastRow="0" w:firstColumn="1" w:lastColumn="0" w:noHBand="0" w:noVBand="1"/>
      </w:tblPr>
      <w:tblGrid>
        <w:gridCol w:w="8363"/>
      </w:tblGrid>
      <w:tr>
        <w:trPr>
          <w:trHeight w:val="237"/>
        </w:trPr>
        <w:tc>
          <w:tcPr>
            <w:tcW w:w="8363" w:type="dxa"/>
          </w:tcPr>
          <w:p>
            <w:pPr>
              <w:keepNext/>
              <w:keepLines/>
              <w:spacing w:after="120"/>
              <w:ind w:left="851"/>
              <w:jc w:val="left"/>
              <w:outlineLvl w:val="0"/>
              <w:rPr>
                <w:noProof/>
              </w:rPr>
            </w:pPr>
          </w:p>
        </w:tc>
      </w:tr>
    </w:tbl>
    <w:p>
      <w:pPr>
        <w:keepNext/>
        <w:keepLines/>
        <w:spacing w:before="120" w:after="120" w:line="312" w:lineRule="auto"/>
        <w:ind w:left="850"/>
        <w:jc w:val="left"/>
        <w:outlineLvl w:val="0"/>
        <w:rPr>
          <w:rFonts w:eastAsia="MS Mincho"/>
          <w:noProof/>
        </w:rPr>
      </w:pPr>
      <w:r>
        <w:rPr>
          <w:noProof/>
        </w:rPr>
        <w:t>Моля, посочете въпросите, за които искате оценка от службите на Комисията:</w:t>
      </w:r>
    </w:p>
    <w:tbl>
      <w:tblPr>
        <w:tblStyle w:val="TableGrid1"/>
        <w:tblW w:w="8363" w:type="dxa"/>
        <w:tblInd w:w="959" w:type="dxa"/>
        <w:tblLook w:val="04A0" w:firstRow="1" w:lastRow="0" w:firstColumn="1" w:lastColumn="0" w:noHBand="0" w:noVBand="1"/>
      </w:tblPr>
      <w:tblGrid>
        <w:gridCol w:w="8363"/>
      </w:tblGrid>
      <w:tr>
        <w:trPr>
          <w:trHeight w:val="489"/>
        </w:trPr>
        <w:tc>
          <w:tcPr>
            <w:tcW w:w="8363" w:type="dxa"/>
          </w:tcPr>
          <w:p>
            <w:pPr>
              <w:keepNext/>
              <w:keepLines/>
              <w:spacing w:after="120"/>
              <w:jc w:val="left"/>
              <w:outlineLvl w:val="0"/>
              <w:rPr>
                <w:noProof/>
              </w:rPr>
            </w:pPr>
          </w:p>
        </w:tc>
      </w:tr>
    </w:tbl>
    <w:p>
      <w:pPr>
        <w:spacing w:before="120" w:after="0" w:line="312" w:lineRule="auto"/>
        <w:jc w:val="left"/>
        <w:rPr>
          <w:rFonts w:eastAsia="MS Mincho"/>
          <w:noProof/>
        </w:rPr>
      </w:pPr>
    </w:p>
    <w:p>
      <w:pPr>
        <w:keepNext/>
        <w:keepLines/>
        <w:spacing w:before="360" w:after="120" w:line="312" w:lineRule="auto"/>
        <w:ind w:left="851"/>
        <w:jc w:val="left"/>
        <w:outlineLvl w:val="0"/>
        <w:rPr>
          <w:rFonts w:eastAsia="MS Gothic"/>
          <w:b/>
          <w:noProof/>
          <w:sz w:val="25"/>
        </w:rPr>
      </w:pPr>
      <w:r>
        <w:rPr>
          <w:b/>
          <w:noProof/>
          <w:sz w:val="25"/>
        </w:rPr>
        <w:t>За изменение на договор</w:t>
      </w:r>
    </w:p>
    <w:p>
      <w:pPr>
        <w:keepNext/>
        <w:keepLines/>
        <w:spacing w:before="120" w:after="120" w:line="312" w:lineRule="auto"/>
        <w:ind w:left="851"/>
        <w:jc w:val="left"/>
        <w:outlineLvl w:val="0"/>
        <w:rPr>
          <w:rFonts w:eastAsia="MS Mincho"/>
          <w:noProof/>
        </w:rPr>
      </w:pPr>
      <w:r>
        <w:rPr>
          <w:noProof/>
        </w:rPr>
        <w:t>Моля, опишете договора, нуждаещ се от изменение, и обстоятелствата за това изменение</w:t>
      </w:r>
      <w:r>
        <w:rPr>
          <w:noProof/>
          <w:vertAlign w:val="superscript"/>
        </w:rPr>
        <w:endnoteReference w:id="5"/>
      </w:r>
      <w:r>
        <w:rPr>
          <w:noProof/>
        </w:rPr>
        <w:t>:</w:t>
      </w:r>
    </w:p>
    <w:tbl>
      <w:tblPr>
        <w:tblStyle w:val="TableGrid1"/>
        <w:tblW w:w="8363" w:type="dxa"/>
        <w:tblInd w:w="959" w:type="dxa"/>
        <w:tblLook w:val="04A0" w:firstRow="1" w:lastRow="0" w:firstColumn="1" w:lastColumn="0" w:noHBand="0" w:noVBand="1"/>
      </w:tblPr>
      <w:tblGrid>
        <w:gridCol w:w="8363"/>
      </w:tblGrid>
      <w:tr>
        <w:trPr>
          <w:trHeight w:val="421"/>
        </w:trPr>
        <w:tc>
          <w:tcPr>
            <w:tcW w:w="8363" w:type="dxa"/>
          </w:tcPr>
          <w:p>
            <w:pPr>
              <w:keepNext/>
              <w:keepLines/>
              <w:spacing w:after="120"/>
              <w:ind w:left="850"/>
              <w:jc w:val="left"/>
              <w:outlineLvl w:val="0"/>
              <w:rPr>
                <w:noProof/>
              </w:rPr>
            </w:pPr>
          </w:p>
        </w:tc>
      </w:tr>
    </w:tbl>
    <w:p>
      <w:pPr>
        <w:keepNext/>
        <w:keepLines/>
        <w:spacing w:before="360" w:after="120" w:line="312" w:lineRule="auto"/>
        <w:jc w:val="left"/>
        <w:outlineLvl w:val="0"/>
        <w:rPr>
          <w:rFonts w:eastAsia="MS Gothic"/>
          <w:b/>
          <w:noProof/>
          <w:sz w:val="25"/>
        </w:rPr>
      </w:pPr>
      <w:r>
        <w:rPr>
          <w:b/>
          <w:noProof/>
          <w:sz w:val="25"/>
        </w:rPr>
        <w:t>Допълнителна информация</w:t>
      </w:r>
    </w:p>
    <w:p>
      <w:pPr>
        <w:keepNext/>
        <w:keepLines/>
        <w:spacing w:before="360" w:after="120" w:line="312" w:lineRule="auto"/>
        <w:jc w:val="left"/>
        <w:outlineLvl w:val="0"/>
        <w:rPr>
          <w:rFonts w:eastAsia="MS Mincho"/>
          <w:noProof/>
        </w:rPr>
      </w:pPr>
      <w:r>
        <w:rPr>
          <w:noProof/>
        </w:rPr>
        <w:t>Получили ли сте становище относно свързаните с обществените поръчки аспекти на този проект от компетентен национален орган? Ако отговорът е „да“, моля, представете становището.</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Не</w:t>
      </w:r>
      <w:r>
        <w:rPr>
          <w:noProof/>
        </w:rPr>
        <w:tab/>
      </w:r>
      <w:r>
        <w:rPr>
          <w:noProof/>
        </w:rPr>
        <w:tab/>
      </w:r>
      <w:r>
        <w:rPr>
          <w:noProof/>
        </w:rPr>
        <w:tab/>
      </w:r>
      <w:r>
        <w:rPr>
          <w:rFonts w:hint="eastAsia"/>
          <w:noProof/>
          <w:sz w:val="36"/>
        </w:rPr>
        <w:t xml:space="preserve">□ </w:t>
      </w:r>
      <w:r>
        <w:rPr>
          <w:noProof/>
          <w:sz w:val="25"/>
        </w:rPr>
        <w:t xml:space="preserve">Да </w:t>
      </w:r>
      <w:r>
        <w:rPr>
          <w:noProof/>
        </w:rPr>
        <w:tab/>
      </w:r>
      <w:r>
        <w:rPr>
          <w:noProof/>
        </w:rPr>
        <w:tab/>
      </w:r>
      <w:r>
        <w:rPr>
          <w:noProof/>
          <w:sz w:val="25"/>
          <w:bdr w:val="single" w:sz="4" w:space="0" w:color="auto"/>
        </w:rPr>
        <w:t xml:space="preserve">Прикачете съответните материали </w:t>
      </w:r>
    </w:p>
    <w:p>
      <w:pPr>
        <w:keepNext/>
        <w:keepLines/>
        <w:spacing w:before="360" w:after="120" w:line="312" w:lineRule="auto"/>
        <w:jc w:val="left"/>
        <w:outlineLvl w:val="0"/>
        <w:rPr>
          <w:rFonts w:eastAsia="MS Mincho"/>
          <w:noProof/>
        </w:rPr>
      </w:pPr>
      <w:r>
        <w:rPr>
          <w:noProof/>
        </w:rPr>
        <w:t>Уведомлението съдържа ли чувствителна информация? Ако отговорът е „да“, моля, посочете коя е тя.</w:t>
      </w:r>
    </w:p>
    <w:p>
      <w:pPr>
        <w:keepNext/>
        <w:keepLines/>
        <w:spacing w:before="120" w:after="120" w:line="312" w:lineRule="auto"/>
        <w:jc w:val="left"/>
        <w:outlineLvl w:val="0"/>
        <w:rPr>
          <w:rFonts w:eastAsia="MS Gothic"/>
          <w:noProof/>
          <w:sz w:val="25"/>
        </w:rPr>
      </w:pPr>
      <w:r>
        <w:rPr>
          <w:rFonts w:hint="eastAsia"/>
          <w:noProof/>
          <w:sz w:val="36"/>
        </w:rPr>
        <w:t>□</w:t>
      </w:r>
      <w:r>
        <w:rPr>
          <w:noProof/>
          <w:sz w:val="25"/>
        </w:rPr>
        <w:t xml:space="preserve"> Не</w:t>
      </w:r>
      <w:r>
        <w:rPr>
          <w:noProof/>
        </w:rPr>
        <w:tab/>
      </w:r>
      <w:r>
        <w:rPr>
          <w:noProof/>
        </w:rPr>
        <w:tab/>
      </w:r>
      <w:r>
        <w:rPr>
          <w:noProof/>
        </w:rPr>
        <w:tab/>
      </w:r>
      <w:r>
        <w:rPr>
          <w:rFonts w:hint="eastAsia"/>
          <w:noProof/>
          <w:sz w:val="36"/>
        </w:rPr>
        <w:t xml:space="preserve">□ </w:t>
      </w:r>
      <w:r>
        <w:rPr>
          <w:noProof/>
          <w:sz w:val="25"/>
        </w:rPr>
        <w:t xml:space="preserve">Да </w:t>
      </w:r>
      <w:r>
        <w:rPr>
          <w:noProof/>
        </w:rPr>
        <w:tab/>
      </w:r>
      <w:r>
        <w:rPr>
          <w:noProof/>
        </w:rPr>
        <w:tab/>
      </w:r>
      <w:r>
        <w:rPr>
          <w:noProof/>
          <w:color w:val="FFFFFF"/>
          <w:sz w:val="25"/>
          <w:bdr w:val="single" w:sz="4" w:space="0" w:color="auto"/>
        </w:rPr>
        <w:t>………………………………..</w:t>
      </w:r>
    </w:p>
    <w:p>
      <w:pPr>
        <w:keepNext/>
        <w:keepLines/>
        <w:spacing w:before="360" w:after="120" w:line="312" w:lineRule="auto"/>
        <w:jc w:val="left"/>
        <w:outlineLvl w:val="0"/>
        <w:rPr>
          <w:rFonts w:eastAsia="MS Mincho"/>
          <w:noProof/>
        </w:rPr>
      </w:pPr>
      <w:r>
        <w:rPr>
          <w:noProof/>
        </w:rPr>
        <w:t>Допълнителна информация, имаща отношение към въпроса:</w:t>
      </w:r>
    </w:p>
    <w:tbl>
      <w:tblPr>
        <w:tblStyle w:val="TableGrid1"/>
        <w:tblW w:w="9322" w:type="dxa"/>
        <w:tblLook w:val="04A0" w:firstRow="1" w:lastRow="0" w:firstColumn="1" w:lastColumn="0" w:noHBand="0" w:noVBand="1"/>
      </w:tblPr>
      <w:tblGrid>
        <w:gridCol w:w="9322"/>
      </w:tblGrid>
      <w:tr>
        <w:tc>
          <w:tcPr>
            <w:tcW w:w="9322" w:type="dxa"/>
          </w:tcPr>
          <w:p>
            <w:pPr>
              <w:keepNext/>
              <w:keepLines/>
              <w:spacing w:after="120"/>
              <w:jc w:val="left"/>
              <w:outlineLvl w:val="0"/>
              <w:rPr>
                <w:noProof/>
              </w:rPr>
            </w:pPr>
          </w:p>
        </w:tc>
      </w:tr>
    </w:tbl>
    <w:p>
      <w:pPr>
        <w:keepNext/>
        <w:keepLines/>
        <w:spacing w:after="0" w:line="312" w:lineRule="auto"/>
        <w:jc w:val="left"/>
        <w:outlineLvl w:val="0"/>
        <w:rPr>
          <w:rFonts w:eastAsia="MS Gothic"/>
          <w:noProof/>
          <w:sz w:val="25"/>
          <w:bdr w:val="single" w:sz="4" w:space="0" w:color="auto"/>
        </w:rPr>
      </w:pPr>
    </w:p>
    <w:p>
      <w:pPr>
        <w:keepNext/>
        <w:keepLines/>
        <w:spacing w:before="120" w:after="120" w:line="312" w:lineRule="auto"/>
        <w:jc w:val="left"/>
        <w:outlineLvl w:val="0"/>
        <w:rPr>
          <w:rFonts w:eastAsia="MS Gothic"/>
          <w:noProof/>
          <w:sz w:val="25"/>
        </w:rPr>
      </w:pPr>
      <w:r>
        <w:rPr>
          <w:noProof/>
          <w:sz w:val="25"/>
          <w:bdr w:val="single" w:sz="4" w:space="0" w:color="auto"/>
        </w:rPr>
        <w:t>Прикачете съответните материали</w:t>
      </w:r>
    </w:p>
    <w:p>
      <w:pPr>
        <w:jc w:val="center"/>
        <w:rPr>
          <w:b/>
          <w:noProof/>
        </w:rPr>
      </w:pPr>
    </w:p>
    <w:p>
      <w:pPr>
        <w:rPr>
          <w:b/>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 w:id="2">
    <w:p>
      <w:pPr>
        <w:pStyle w:val="EndnoteText"/>
        <w:spacing w:after="0"/>
      </w:pPr>
      <w:r>
        <w:rPr>
          <w:rStyle w:val="EndnoteReference"/>
        </w:rPr>
        <w:endnoteRef/>
      </w:r>
      <w:r>
        <w:t xml:space="preserve"> Ако е различен от възлагащия орган/възложителя.</w:t>
      </w:r>
    </w:p>
  </w:endnote>
  <w:endnote w:id="3">
    <w:p>
      <w:pPr>
        <w:pStyle w:val="EndnoteText"/>
        <w:spacing w:after="0"/>
      </w:pPr>
      <w:r>
        <w:rPr>
          <w:rStyle w:val="EndnoteReference"/>
        </w:rPr>
        <w:endnoteRef/>
      </w:r>
      <w:r>
        <w:t xml:space="preserve"> Моля, включете в описанието: целите на проекта, основните заинтересовани страни, финансирането на проекта, текущия етап на проекта, основните технически данни (по-специално функционални изисквания) и ако е възможно — критериите за оценка и социалните клаузи.</w:t>
      </w:r>
    </w:p>
  </w:endnote>
  <w:endnote w:id="4">
    <w:p>
      <w:pPr>
        <w:spacing w:after="0"/>
        <w:rPr>
          <w:color w:val="000000"/>
        </w:rPr>
      </w:pPr>
      <w:r>
        <w:rPr>
          <w:rStyle w:val="EndnoteReference"/>
          <w:sz w:val="20"/>
        </w:rPr>
        <w:endnoteRef/>
      </w:r>
      <w:r>
        <w:rPr>
          <w:color w:val="000000"/>
        </w:rPr>
        <w:t xml:space="preserve"> </w:t>
      </w:r>
      <w:r>
        <w:rPr>
          <w:sz w:val="20"/>
        </w:rPr>
        <w:t>Планът за възлагане на обществени поръчки определя начина, по който даден проект ще бъде изпълнен от гледна точка на обществената поръчка. Например, той установява i) дали проектът ще използва договор  за строителство, договор „проектиране—строителство“ или  договор „проектиране—строителство—експлоатация“, ii) дали проектът ще бъде изпълнен чрез няколко отделни тръжни процедури и чрез кои процедури за възлагане на обществени поръчки и iii) как би могло да се реализира обществена поръчка за трансграничен проект.</w:t>
      </w:r>
    </w:p>
  </w:endnote>
  <w:endnote w:id="5">
    <w:p>
      <w:pPr>
        <w:pStyle w:val="EndnoteText"/>
        <w:spacing w:after="0"/>
      </w:pPr>
      <w:r>
        <w:rPr>
          <w:rStyle w:val="EndnoteReference"/>
        </w:rPr>
        <w:endnoteRef/>
      </w:r>
      <w:r>
        <w:t xml:space="preserve"> Описанието следва да включва и въздействието на евентуална промяна върху общата стойност на договора.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sz w:val="16"/>
          <w:vertAlign w:val="superscript"/>
        </w:rPr>
        <w:footnoteRef/>
      </w:r>
      <w:r>
        <w:rPr>
          <w:sz w:val="16"/>
        </w:rPr>
        <w:t xml:space="preserve"> </w:t>
      </w:r>
      <w:r>
        <w:tab/>
        <w:t>COM(2016) 581.</w:t>
      </w:r>
    </w:p>
  </w:footnote>
  <w:footnote w:id="3">
    <w:p>
      <w:pPr>
        <w:pStyle w:val="FootnoteText"/>
      </w:pPr>
      <w:r>
        <w:rPr>
          <w:sz w:val="16"/>
          <w:vertAlign w:val="superscript"/>
        </w:rPr>
        <w:footnoteRef/>
      </w:r>
      <w:r>
        <w:t xml:space="preserve"> </w:t>
      </w:r>
      <w:r>
        <w:tab/>
        <w:t>COM(2016) 597; 2016/0276 (COD).</w:t>
      </w:r>
    </w:p>
  </w:footnote>
  <w:footnote w:id="4">
    <w:p>
      <w:pPr>
        <w:pStyle w:val="FootnoteText"/>
      </w:pPr>
      <w:r>
        <w:rPr>
          <w:sz w:val="16"/>
          <w:vertAlign w:val="superscript"/>
        </w:rPr>
        <w:footnoteRef/>
      </w:r>
      <w:r>
        <w:t xml:space="preserve"> </w:t>
      </w:r>
      <w:r>
        <w:tab/>
        <w:t>Съобщение относно „Осъвременяване на единния пазар: повече възможности за гражданите и предприятията“, точка 3.2 от COM(2015) 550.</w:t>
      </w:r>
    </w:p>
  </w:footnote>
  <w:footnote w:id="5">
    <w:p>
      <w:pPr>
        <w:pStyle w:val="FootnoteText"/>
      </w:pPr>
      <w:r>
        <w:rPr>
          <w:sz w:val="16"/>
          <w:vertAlign w:val="superscript"/>
        </w:rPr>
        <w:footnoteRef/>
      </w:r>
      <w:r>
        <w:t xml:space="preserve"> </w:t>
      </w:r>
      <w:r>
        <w:tab/>
        <w:t>Според проучването на Bent Flyvbjerg „What You Should Know About Megaprojects, and Why: An Overview“ („Какво трябва да знаете за големите проекти и защо: общ преглед“), 2014 г., 9 от 10 от тези проекти надхвърлят предвидения бюджет или определените срокове.</w:t>
      </w:r>
    </w:p>
  </w:footnote>
  <w:footnote w:id="6">
    <w:p>
      <w:pPr>
        <w:pStyle w:val="FootnoteText"/>
      </w:pPr>
      <w:r>
        <w:rPr>
          <w:rStyle w:val="FootnoteReference"/>
        </w:rPr>
        <w:footnoteRef/>
      </w:r>
      <w:r>
        <w:t xml:space="preserve"> </w:t>
      </w:r>
      <w:r>
        <w:tab/>
      </w:r>
      <w:r>
        <w:rPr>
          <w:sz w:val="16"/>
        </w:rPr>
        <w:t>Тези слабости бяха констатирани при някои държави членки в рамките на европейския семестър за 2017 г.: Доклади по държави (https://ec.europa.eu/info/publications/2017-european-semester-country-reports_en).</w:t>
      </w:r>
      <w:r>
        <w:t xml:space="preserve">  </w:t>
      </w:r>
    </w:p>
  </w:footnote>
  <w:footnote w:id="7">
    <w:p>
      <w:pPr>
        <w:pStyle w:val="FootnoteText"/>
      </w:pPr>
      <w:r>
        <w:rPr>
          <w:rStyle w:val="FootnoteReference"/>
        </w:rPr>
        <w:footnoteRef/>
      </w:r>
      <w:r>
        <w:t xml:space="preserve"> </w:t>
      </w:r>
      <w:r>
        <w:tab/>
      </w:r>
      <w:r>
        <w:rPr>
          <w:sz w:val="16"/>
        </w:rPr>
        <w:t>COM(2015) 550.</w:t>
      </w:r>
    </w:p>
  </w:footnote>
  <w:footnote w:id="8">
    <w:p>
      <w:pPr>
        <w:pStyle w:val="FootnoteText"/>
      </w:pPr>
      <w:r>
        <w:rPr>
          <w:rStyle w:val="FootnoteReference"/>
        </w:rPr>
        <w:footnoteRef/>
      </w:r>
      <w:r>
        <w:t xml:space="preserve"> </w:t>
      </w:r>
      <w:r>
        <w:tab/>
      </w:r>
      <w:r>
        <w:rPr>
          <w:sz w:val="16"/>
        </w:rPr>
        <w:t>COM(2016) 359.</w:t>
      </w:r>
    </w:p>
  </w:footnote>
  <w:footnote w:id="9">
    <w:p>
      <w:pPr>
        <w:pStyle w:val="FootnoteText"/>
      </w:pPr>
      <w:r>
        <w:rPr>
          <w:rStyle w:val="FootnoteReference"/>
        </w:rPr>
        <w:footnoteRef/>
      </w:r>
      <w:r>
        <w:t xml:space="preserve"> </w:t>
      </w:r>
      <w:r>
        <w:tab/>
        <w:t>Искането за помощ може да дойде единствено от органите, участващи в проекта. Те трябва да предоставят конкретна информация за това и само те могат да обяснят въпросите, които са от значение за тях. В зависимост от спецификата на проекта и на съответната държава членка, тези органи могат да бъдат както министерството, отговорно (на национално или регионално равнище) за отрасъла, в който проектът е разработен, така и националните органи за обществени поръчки или възлагащите органи/възложителите.</w:t>
      </w:r>
    </w:p>
  </w:footnote>
  <w:footnote w:id="10">
    <w:p>
      <w:pPr>
        <w:pStyle w:val="FootnoteText"/>
      </w:pPr>
      <w:r>
        <w:rPr>
          <w:rStyle w:val="FootnoteReference"/>
        </w:rPr>
        <w:footnoteRef/>
      </w:r>
      <w:r>
        <w:t xml:space="preserve"> </w:t>
      </w:r>
      <w:r>
        <w:tab/>
        <w:t>Въпросите и уведомленията може да се изпращат на всеки един от официалните езици на ЕС.</w:t>
      </w:r>
    </w:p>
  </w:footnote>
  <w:footnote w:id="11">
    <w:p>
      <w:pPr>
        <w:pStyle w:val="FootnoteText"/>
      </w:pPr>
      <w:r>
        <w:rPr>
          <w:rStyle w:val="FootnoteReference"/>
        </w:rPr>
        <w:footnoteRef/>
      </w:r>
      <w:r>
        <w:t xml:space="preserve"> </w:t>
      </w:r>
      <w:r>
        <w:tab/>
        <w:t xml:space="preserve">Изразените от службите на Комисията становища в оценката не са правно обвързващи за ползвателите на механизма или за Комисията, и </w:t>
      </w:r>
      <w:r>
        <w:rPr>
          <w:color w:val="000000"/>
        </w:rPr>
        <w:t>не засягат тълкуването на съответните разпоредби от страна на Съда на Европейския съюз</w:t>
      </w:r>
      <w:r>
        <w:t>.</w:t>
      </w:r>
    </w:p>
  </w:footnote>
  <w:footnote w:id="12">
    <w:p>
      <w:pPr>
        <w:pStyle w:val="FootnoteText"/>
      </w:pPr>
      <w:r>
        <w:rPr>
          <w:rStyle w:val="FootnoteReference"/>
        </w:rPr>
        <w:footnoteRef/>
      </w:r>
      <w:r>
        <w:t xml:space="preserve"> </w:t>
      </w:r>
      <w:r>
        <w:tab/>
        <w:t>Проектът представлява съвкупност от строителни работи, доставки и услуги, необходими за строителството и експлоатацията на големи инфраструктурни обекти, и могат да бъдат възложени от един или няколко възлагащи органа. Той може да включва разработване на отсечка от линейна транспортна инфраструктура, като например съседни отсечки на автомагистрала, с цел да се свържат два възела, или да обхваща един енергиен инфраструктурен проект, например строителство на електроцентрала и нейните връзки с националната мрежа.</w:t>
      </w:r>
    </w:p>
  </w:footnote>
  <w:footnote w:id="13">
    <w:p>
      <w:pPr>
        <w:pStyle w:val="FootnoteText"/>
      </w:pPr>
      <w:r>
        <w:rPr>
          <w:rStyle w:val="FootnoteReference"/>
        </w:rPr>
        <w:footnoteRef/>
      </w:r>
      <w:r>
        <w:t xml:space="preserve"> </w:t>
      </w:r>
      <w:r>
        <w:tab/>
        <w:t xml:space="preserve">Реформата от 2014 г. включваше приемането на Директива 2014/24/ЕС относно обществените поръчки,  Директива 2014/25/ЕС </w:t>
      </w:r>
      <w:hyperlink r:id="rId1">
        <w:r>
          <w:t>относно възлагането на поръчки от възложители, извършващи дейност в секторите на водоснабдяването, енергетиката, транспорта и пощенските услуги</w:t>
        </w:r>
      </w:hyperlink>
      <w:r>
        <w:t xml:space="preserve"> и Директива 2014/23/ЕС за възлагане на договори за концесия. Крайният срок за транспониране изтече на 16 април 2016 г.</w:t>
      </w:r>
    </w:p>
  </w:footnote>
  <w:footnote w:id="14">
    <w:p>
      <w:pPr>
        <w:pStyle w:val="FootnoteText"/>
        <w:ind w:left="284" w:hanging="284"/>
      </w:pPr>
      <w:r>
        <w:rPr>
          <w:rStyle w:val="FootnoteReference"/>
        </w:rPr>
        <w:footnoteRef/>
      </w:r>
      <w:r>
        <w:t xml:space="preserve"> </w:t>
      </w:r>
      <w:r>
        <w:tab/>
        <w:t xml:space="preserve">  Големите рамкови споразумения, обхващащи няколко по-малки проекта, не са обхванати от този механизъм.</w:t>
      </w:r>
    </w:p>
  </w:footnote>
  <w:footnote w:id="15">
    <w:p>
      <w:pPr>
        <w:pStyle w:val="FootnoteText"/>
      </w:pPr>
      <w:r>
        <w:rPr>
          <w:rStyle w:val="FootnoteReference"/>
        </w:rPr>
        <w:footnoteRef/>
      </w:r>
      <w:r>
        <w:t xml:space="preserve"> </w:t>
      </w:r>
      <w:r>
        <w:tab/>
        <w:t xml:space="preserve">Предложените прагове са били определени въз основа на анализ на инфраструктурните проекти, публикуван в Електронния ежедневник за поръчки от 2010—2015 г. Те имат за цел да насочат механизма към най-важните инфраструктурни инвестиционни проекти във и за ЕС. </w:t>
      </w:r>
    </w:p>
  </w:footnote>
  <w:footnote w:id="16">
    <w:p>
      <w:pPr>
        <w:pStyle w:val="FootnoteText"/>
      </w:pPr>
      <w:r>
        <w:rPr>
          <w:rStyle w:val="FootnoteReference"/>
        </w:rPr>
        <w:footnoteRef/>
      </w:r>
      <w:r>
        <w:t xml:space="preserve"> </w:t>
      </w:r>
      <w:r>
        <w:tab/>
        <w:t>След получаване на искането службите на Комисията ще оценят допустимостта му и ще информира държавата членка относно условията за приемането.</w:t>
      </w:r>
    </w:p>
  </w:footnote>
  <w:footnote w:id="17">
    <w:p>
      <w:pPr>
        <w:pStyle w:val="FootnoteText"/>
      </w:pPr>
      <w:r>
        <w:rPr>
          <w:rStyle w:val="FootnoteReference"/>
        </w:rPr>
        <w:footnoteRef/>
      </w:r>
      <w:r>
        <w:t xml:space="preserve"> </w:t>
      </w:r>
      <w:r>
        <w:tab/>
      </w:r>
      <w:hyperlink r:id="rId2">
        <w:r>
          <w:rPr>
            <w:rStyle w:val="Hyperlink"/>
          </w:rPr>
          <w:t>http://ec.europa.eu/growth/tools-databases/newsroom/cf/itemdetail.cfm?item_id=9021</w:t>
        </w:r>
      </w:hyperlink>
      <w:r>
        <w:t xml:space="preserve"> . </w:t>
      </w:r>
    </w:p>
  </w:footnote>
  <w:footnote w:id="18">
    <w:p>
      <w:pPr>
        <w:pStyle w:val="FootnoteText"/>
        <w:rPr>
          <w:lang w:val="pt-PT"/>
        </w:rPr>
      </w:pPr>
      <w:r>
        <w:rPr>
          <w:rStyle w:val="FootnoteReference"/>
          <w:rFonts w:ascii="Calibri" w:hAnsi="Calibri"/>
        </w:rPr>
        <w:footnoteRef/>
      </w:r>
      <w:r>
        <w:t xml:space="preserve"> </w:t>
      </w:r>
      <w:r>
        <w:tab/>
        <w:t>COM(2016) 359; COM(2016) 581; COM(2016) 764.</w:t>
      </w:r>
    </w:p>
  </w:footnote>
  <w:footnote w:id="19">
    <w:p>
      <w:pPr>
        <w:pStyle w:val="FootnoteText"/>
        <w:rPr>
          <w:lang w:val="pt-PT"/>
        </w:rPr>
      </w:pPr>
      <w:r>
        <w:rPr>
          <w:rStyle w:val="FootnoteReference"/>
        </w:rPr>
        <w:footnoteRef/>
      </w:r>
      <w:r>
        <w:t xml:space="preserve"> </w:t>
      </w:r>
      <w:r>
        <w:tab/>
      </w:r>
      <w:hyperlink r:id="rId3">
        <w:r>
          <w:rPr>
            <w:rStyle w:val="Hyperlink"/>
          </w:rPr>
          <w:t>http://ec.europa.eu/info/law/better-regulation/initiatives/ares-2017-3272163_en</w:t>
        </w:r>
      </w:hyperlink>
      <w:r>
        <w:t xml:space="preserve">  </w:t>
      </w:r>
    </w:p>
  </w:footnote>
  <w:footnote w:id="20">
    <w:p>
      <w:pPr>
        <w:pStyle w:val="FootnoteText"/>
        <w:rPr>
          <w:lang w:val="pt-PT"/>
        </w:rPr>
      </w:pPr>
      <w:r>
        <w:rPr>
          <w:rStyle w:val="FootnoteReference"/>
        </w:rPr>
        <w:footnoteRef/>
      </w:r>
      <w:r>
        <w:t xml:space="preserve"> </w:t>
      </w:r>
      <w:r>
        <w:tab/>
      </w:r>
      <w:hyperlink r:id="rId4">
        <w:r>
          <w:rPr>
            <w:rStyle w:val="Hyperlink"/>
          </w:rPr>
          <w:t>https://ec.europa.eu/transport/themes/infrastructure/consultations/2017-ten-t-implementation_en</w:t>
        </w:r>
      </w:hyperlink>
      <w:r>
        <w:t xml:space="preserve"> </w:t>
      </w:r>
    </w:p>
  </w:footnote>
  <w:footnote w:id="21">
    <w:p>
      <w:pPr>
        <w:pStyle w:val="FootnoteText"/>
      </w:pPr>
      <w:r>
        <w:rPr>
          <w:rStyle w:val="FootnoteReference"/>
        </w:rPr>
        <w:footnoteRef/>
      </w:r>
      <w:r>
        <w:t xml:space="preserve"> </w:t>
      </w:r>
      <w:r>
        <w:tab/>
        <w:t>Държавите членки могат да поискат от Комисията да използва този механизъм за всички инфраструктурни проекти с по-ниска стойност, за които тя прецени, че са от голямо значение за нея и/или за ЕС като цяло, например за проекти от общ интерес в областта на трансевропейските мрежи. След получаване на искането Комисията ще оцени допустимостта му и ще информира държавата членка относно условията за приемането.</w:t>
      </w:r>
    </w:p>
  </w:footnote>
  <w:footnote w:id="22">
    <w:p>
      <w:pPr>
        <w:pStyle w:val="FootnoteText"/>
      </w:pPr>
      <w:r>
        <w:rPr>
          <w:rStyle w:val="FootnoteReference"/>
        </w:rPr>
        <w:footnoteRef/>
      </w:r>
      <w:r>
        <w:t xml:space="preserve"> </w:t>
      </w:r>
      <w:r>
        <w:tab/>
        <w:t>Вж. бележка под линия 10.</w:t>
      </w:r>
    </w:p>
  </w:footnote>
  <w:footnote w:id="23">
    <w:p>
      <w:pPr>
        <w:pStyle w:val="FootnoteText"/>
      </w:pPr>
      <w:r>
        <w:rPr>
          <w:rStyle w:val="FootnoteReference"/>
        </w:rPr>
        <w:footnoteRef/>
      </w:r>
      <w:r>
        <w:t xml:space="preserve">    Вж. бележка под линия 10.</w:t>
      </w:r>
    </w:p>
  </w:footnote>
  <w:footnote w:id="24">
    <w:p>
      <w:pPr>
        <w:pStyle w:val="FootnoteText"/>
      </w:pPr>
      <w:r>
        <w:rPr>
          <w:rStyle w:val="FootnoteReference"/>
        </w:rPr>
        <w:footnoteRef/>
      </w:r>
      <w:r>
        <w:t xml:space="preserve"> </w:t>
      </w:r>
      <w:r>
        <w:tab/>
        <w:t>Регламент (ЕО) № 1049/2001 на Eвропейския парламент и на Съвета от 30 май 2001 година относно публичния достъп до документи на Европейския парламент, на Съвета и на Комисията се прилага за всички документи съставени или получени от Комисията, с които тя разполага</w:t>
      </w:r>
    </w:p>
  </w:footnote>
  <w:footnote w:id="25">
    <w:p>
      <w:pPr>
        <w:pStyle w:val="FootnoteText"/>
      </w:pPr>
      <w:r>
        <w:rPr>
          <w:rStyle w:val="FootnoteReference"/>
        </w:rPr>
        <w:footnoteRef/>
      </w:r>
      <w:r>
        <w:t xml:space="preserve"> </w:t>
      </w:r>
      <w:r>
        <w:tab/>
        <w:t>Бюрото е подходящото средство за изясняване на определени въпроси или за отправяне на питания във връзка с тези решения.</w:t>
      </w:r>
    </w:p>
  </w:footnote>
  <w:footnote w:id="26">
    <w:p>
      <w:pPr>
        <w:pStyle w:val="FootnoteText"/>
      </w:pPr>
      <w:r>
        <w:rPr>
          <w:rStyle w:val="FootnoteReference"/>
        </w:rPr>
        <w:footnoteRef/>
      </w:r>
      <w:r>
        <w:t xml:space="preserve"> </w:t>
      </w:r>
      <w:r>
        <w:tab/>
        <w:t>Вж. бележка под линия 20.</w:t>
      </w:r>
    </w:p>
  </w:footnote>
  <w:footnote w:id="27">
    <w:p>
      <w:pPr>
        <w:pStyle w:val="FootnoteText"/>
      </w:pPr>
      <w:r>
        <w:rPr>
          <w:rStyle w:val="FootnoteReference"/>
        </w:rPr>
        <w:footnoteRef/>
      </w:r>
      <w:r>
        <w:t xml:space="preserve"> </w:t>
      </w:r>
      <w:r>
        <w:tab/>
        <w:t>Вж. бележка под линия 10.</w:t>
      </w:r>
    </w:p>
  </w:footnote>
  <w:footnote w:id="28">
    <w:p>
      <w:pPr>
        <w:pStyle w:val="FootnoteText"/>
      </w:pPr>
      <w:r>
        <w:rPr>
          <w:rStyle w:val="FootnoteReference"/>
        </w:rPr>
        <w:footnoteRef/>
      </w:r>
      <w:r>
        <w:t xml:space="preserve"> Вж. бележка под линия 23. </w:t>
      </w:r>
    </w:p>
  </w:footnote>
  <w:footnote w:id="29">
    <w:p>
      <w:pPr>
        <w:pStyle w:val="FootnoteText"/>
      </w:pPr>
      <w:r>
        <w:rPr>
          <w:rStyle w:val="FootnoteReference"/>
        </w:rPr>
        <w:footnoteRef/>
      </w:r>
      <w:r>
        <w:t xml:space="preserve"> </w:t>
      </w:r>
      <w:r>
        <w:tab/>
        <w:t xml:space="preserve">Вж. бележка под линия 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02545"/>
      <w:docPartObj>
        <w:docPartGallery w:val="Watermarks"/>
        <w:docPartUnique/>
      </w:docPartObj>
    </w:sdtPr>
    <w:sdtContent>
      <w:p>
        <w:pPr>
          <w:pStyle w:val="Heade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230BF"/>
    <w:multiLevelType w:val="hybridMultilevel"/>
    <w:tmpl w:val="746259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F4F4C"/>
    <w:multiLevelType w:val="hybridMultilevel"/>
    <w:tmpl w:val="CCE02F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3E4123"/>
    <w:multiLevelType w:val="hybridMultilevel"/>
    <w:tmpl w:val="60CCF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D70E5"/>
    <w:multiLevelType w:val="hybridMultilevel"/>
    <w:tmpl w:val="A2FC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09C2B1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2422"/>
        </w:tabs>
        <w:ind w:left="242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EC55DF"/>
    <w:multiLevelType w:val="hybridMultilevel"/>
    <w:tmpl w:val="1796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C10E2"/>
    <w:multiLevelType w:val="hybridMultilevel"/>
    <w:tmpl w:val="D852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B2684"/>
    <w:multiLevelType w:val="hybridMultilevel"/>
    <w:tmpl w:val="BAAE27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D35D10"/>
    <w:multiLevelType w:val="hybridMultilevel"/>
    <w:tmpl w:val="D17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BD406B0"/>
    <w:multiLevelType w:val="hybridMultilevel"/>
    <w:tmpl w:val="64A0D40E"/>
    <w:lvl w:ilvl="0" w:tplc="08090001">
      <w:start w:val="1"/>
      <w:numFmt w:val="bullet"/>
      <w:lvlText w:val=""/>
      <w:lvlJc w:val="left"/>
      <w:pPr>
        <w:ind w:left="1202" w:hanging="360"/>
      </w:pPr>
      <w:rPr>
        <w:rFonts w:ascii="Symbol" w:hAnsi="Symbol"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77B01EC"/>
    <w:multiLevelType w:val="hybridMultilevel"/>
    <w:tmpl w:val="AC7CAEC8"/>
    <w:lvl w:ilvl="0" w:tplc="BA721E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C649F8"/>
    <w:multiLevelType w:val="hybridMultilevel"/>
    <w:tmpl w:val="C9B2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5526AE1"/>
    <w:multiLevelType w:val="hybridMultilevel"/>
    <w:tmpl w:val="7E42152A"/>
    <w:lvl w:ilvl="0" w:tplc="A69E76C2">
      <w:start w:val="1"/>
      <w:numFmt w:val="lowerLetter"/>
      <w:lvlText w:val="%1."/>
      <w:lvlJc w:val="left"/>
      <w:pPr>
        <w:ind w:left="893" w:hanging="519"/>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7">
    <w:nsid w:val="573C69C3"/>
    <w:multiLevelType w:val="hybridMultilevel"/>
    <w:tmpl w:val="759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8"/>
  </w:num>
  <w:num w:numId="4">
    <w:abstractNumId w:val="21"/>
  </w:num>
  <w:num w:numId="5">
    <w:abstractNumId w:val="13"/>
  </w:num>
  <w:num w:numId="6">
    <w:abstractNumId w:val="19"/>
  </w:num>
  <w:num w:numId="7">
    <w:abstractNumId w:val="30"/>
  </w:num>
  <w:num w:numId="8">
    <w:abstractNumId w:val="31"/>
  </w:num>
  <w:num w:numId="9">
    <w:abstractNumId w:val="17"/>
  </w:num>
  <w:num w:numId="10">
    <w:abstractNumId w:val="29"/>
  </w:num>
  <w:num w:numId="11">
    <w:abstractNumId w:val="28"/>
  </w:num>
  <w:num w:numId="12">
    <w:abstractNumId w:val="22"/>
  </w:num>
  <w:num w:numId="13">
    <w:abstractNumId w:val="25"/>
  </w:num>
  <w:num w:numId="14">
    <w:abstractNumId w:val="9"/>
  </w:num>
  <w:num w:numId="15">
    <w:abstractNumId w:val="18"/>
  </w:num>
  <w:num w:numId="16">
    <w:abstractNumId w:val="7"/>
  </w:num>
  <w:num w:numId="17">
    <w:abstractNumId w:val="14"/>
  </w:num>
  <w:num w:numId="18">
    <w:abstractNumId w:val="32"/>
  </w:num>
  <w:num w:numId="19">
    <w:abstractNumId w:val="16"/>
  </w:num>
  <w:num w:numId="20">
    <w:abstractNumId w:val="33"/>
  </w:num>
  <w:num w:numId="21">
    <w:abstractNumId w:val="2"/>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20"/>
  </w:num>
  <w:num w:numId="29">
    <w:abstractNumId w:val="15"/>
  </w:num>
  <w:num w:numId="30">
    <w:abstractNumId w:val="11"/>
  </w:num>
  <w:num w:numId="31">
    <w:abstractNumId w:val="24"/>
  </w:num>
  <w:num w:numId="32">
    <w:abstractNumId w:val="12"/>
  </w:num>
  <w:num w:numId="33">
    <w:abstractNumId w:val="27"/>
  </w:num>
  <w:num w:numId="34">
    <w:abstractNumId w:val="10"/>
  </w:num>
  <w:num w:numId="35">
    <w:abstractNumId w:val="5"/>
  </w:num>
  <w:num w:numId="36">
    <w:abstractNumId w:val="6"/>
  </w:num>
  <w:num w:numId="37">
    <w:abstractNumId w:val="3"/>
  </w:num>
  <w:num w:numId="38">
    <w:abstractNumId w:val="23"/>
  </w:num>
  <w:num w:numId="39">
    <w:abstractNumId w:val="8"/>
  </w:num>
  <w:num w:numId="40">
    <w:abstractNumId w:val="4"/>
  </w:num>
  <w:num w:numId="41">
    <w:abstractNumId w:val="26"/>
  </w:num>
  <w:num w:numId="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249EB55E08941268E7546BFA6C08516"/>
    <w:docVar w:name="LW_CROSSREFERENCE" w:val="&lt;UNUSED&gt;"/>
    <w:docVar w:name="LW_DocType" w:val="REP"/>
    <w:docVar w:name="LW_EMISSION" w:val="3.10.2017"/>
    <w:docVar w:name="LW_EMISSION_ISODATE" w:val="2017-10-03"/>
    <w:docVar w:name="LW_EMISSION_LOCATION" w:val="STR"/>
    <w:docVar w:name="LW_EMISSION_PREFIX" w:val="Страсбург,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573"/>
    <w:docVar w:name="LW_REF.INTERNE" w:val="&lt;UNUSED&gt;"/>
    <w:docVar w:name="LW_SOUS.TITRE.OBJ.CP" w:val="&lt;UNUSED&gt;"/>
    <w:docVar w:name="LW_SUPERTITRE" w:val="&lt;UNUSED&gt;"/>
    <w:docVar w:name="LW_TITRE.OBJ.CP" w:val="\u1055?\u1086?\u1076?\u1087?\u1086?\u1084?\u1072?\u1075?\u1072?\u1085?\u1077? \u1085?\u1072? \u1080?\u1085?\u1074?\u1077?\u1089?\u1090?\u1080?\u1094?\u1080?\u1080?\u1090?\u1077? \u1095?\u1088?\u1077?\u1079? \u1076?\u1086?\u1073?\u1088?\u1086?\u1074?\u1086?\u1083?\u1085?\u1072? \u1087?\u1088?\u1077?\u1076?\u1074?\u1072?\u1088?\u1080?\u1090?\u1077?\u1083?\u1085?\u1072? \u1086?\u1094?\u1077?\u1085?\u1082?\u1072? \u1085?\u1072? \u1075?\u1086?\u1083?\u1077?\u1084?\u1080? \u1080?\u1085?\u1092?\u1088?\u1072?\u1089?\u1090?\u1088?\u1091?\u1082?\u1090?\u1091?\u1088?\u1085?\u1080? \u1087?\u1088?\u1086?\u1077?\u1082?\u1090?\u1080? \u1074?\u1098?\u1074? \u1074?\u1088?\u1098?\u1079?\u1082?\u1072? \u1089? \u1086?\u1073?\u1097?\u1077?\u1089?\u1090?\u1074?\u1077?\u1085?\u1080?\u1090?\u1077? \u1087?\u1086?\u1088?\u1098?\u1095?\u1082?\u1080?"/>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bg-BG"/>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bg-BG"/>
    </w:rPr>
  </w:style>
  <w:style w:type="character" w:customStyle="1" w:styleId="FooterCoverPageChar">
    <w:name w:val="Footer Cover Page Char"/>
    <w:basedOn w:val="ChapterTitleChar"/>
    <w:link w:val="FooterCoverPage"/>
    <w:rPr>
      <w:b w:val="0"/>
      <w:sz w:val="24"/>
      <w:lang w:eastAsia="bg-BG"/>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bg-BG"/>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tabs>
        <w:tab w:val="clear" w:pos="2422"/>
        <w:tab w:val="num" w:pos="1920"/>
      </w:tabs>
      <w:ind w:left="192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qFormat/>
    <w:pPr>
      <w:spacing w:after="0"/>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Superscript,BVI fnr, BVI fnr,Footnote symbol,Footnote reference number,number,note TESI,SUPERS,EN Footnote Reference,Times 10 Point,Exposant 3 Point,Footnote Reference_LVL6,Footnote Reference_LVL61"/>
    <w:link w:val="FootnotesymbolCarZchn"/>
    <w:uiPriority w:val="99"/>
    <w:qFormat/>
    <w:rPr>
      <w:vertAlign w:val="superscript"/>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link w:val="FootnoteText"/>
    <w:rPr>
      <w:lang w:eastAsia="bg-BG"/>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bg-BG"/>
    </w:rPr>
  </w:style>
  <w:style w:type="character" w:customStyle="1" w:styleId="CommentSubjectChar">
    <w:name w:val="Comment Subject Char"/>
    <w:basedOn w:val="CommentTextChar"/>
    <w:link w:val="CommentSubject"/>
    <w:uiPriority w:val="99"/>
    <w:semiHidden/>
    <w:rPr>
      <w:b/>
      <w:bCs/>
      <w:lang w:eastAsia="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character" w:styleId="EndnoteReference">
    <w:name w:val="endnote reference"/>
    <w:basedOn w:val="DefaultParagraphFont"/>
    <w:uiPriority w:val="99"/>
    <w:semiHidden/>
    <w:unhideWhenUsed/>
    <w:rPr>
      <w:vertAlign w:val="superscript"/>
    </w:rPr>
  </w:style>
  <w:style w:type="table" w:customStyle="1" w:styleId="TableGrid1">
    <w:name w:val="Table Grid1"/>
    <w:basedOn w:val="TableNormal"/>
    <w:next w:val="TableGrid"/>
    <w:uiPriority w:val="39"/>
    <w:rPr>
      <w:rFonts w:ascii="Calibri" w:eastAsia="MS Mincho"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after="0"/>
      <w:jc w:val="center"/>
    </w:pPr>
    <w:rPr>
      <w:rFonts w:eastAsiaTheme="minorHAnsi"/>
      <w:b/>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ChapterTitleChar">
    <w:name w:val="ChapterTitle Char"/>
    <w:basedOn w:val="DefaultParagraphFont"/>
    <w:link w:val="ChapterTitle"/>
    <w:rPr>
      <w:b/>
      <w:sz w:val="32"/>
      <w:lang w:eastAsia="bg-BG"/>
    </w:rPr>
  </w:style>
  <w:style w:type="character" w:customStyle="1" w:styleId="FooterCoverPageChar">
    <w:name w:val="Footer Cover Page Char"/>
    <w:basedOn w:val="ChapterTitleChar"/>
    <w:link w:val="FooterCoverPage"/>
    <w:rPr>
      <w:b w:val="0"/>
      <w:sz w:val="24"/>
      <w:lang w:eastAsia="bg-BG"/>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ChapterTitleChar"/>
    <w:link w:val="HeaderCoverPage"/>
    <w:rPr>
      <w:b w:val="0"/>
      <w:sz w:val="24"/>
      <w:lang w:eastAsia="bg-BG"/>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383">
      <w:bodyDiv w:val="1"/>
      <w:marLeft w:val="0"/>
      <w:marRight w:val="0"/>
      <w:marTop w:val="0"/>
      <w:marBottom w:val="0"/>
      <w:divBdr>
        <w:top w:val="none" w:sz="0" w:space="0" w:color="auto"/>
        <w:left w:val="none" w:sz="0" w:space="0" w:color="auto"/>
        <w:bottom w:val="none" w:sz="0" w:space="0" w:color="auto"/>
        <w:right w:val="none" w:sz="0" w:space="0" w:color="auto"/>
      </w:divBdr>
    </w:div>
    <w:div w:id="405567566">
      <w:bodyDiv w:val="1"/>
      <w:marLeft w:val="0"/>
      <w:marRight w:val="0"/>
      <w:marTop w:val="0"/>
      <w:marBottom w:val="0"/>
      <w:divBdr>
        <w:top w:val="none" w:sz="0" w:space="0" w:color="auto"/>
        <w:left w:val="none" w:sz="0" w:space="0" w:color="auto"/>
        <w:bottom w:val="none" w:sz="0" w:space="0" w:color="auto"/>
        <w:right w:val="none" w:sz="0" w:space="0" w:color="auto"/>
      </w:divBdr>
    </w:div>
    <w:div w:id="552470480">
      <w:bodyDiv w:val="1"/>
      <w:marLeft w:val="0"/>
      <w:marRight w:val="0"/>
      <w:marTop w:val="0"/>
      <w:marBottom w:val="0"/>
      <w:divBdr>
        <w:top w:val="none" w:sz="0" w:space="0" w:color="auto"/>
        <w:left w:val="none" w:sz="0" w:space="0" w:color="auto"/>
        <w:bottom w:val="none" w:sz="0" w:space="0" w:color="auto"/>
        <w:right w:val="none" w:sz="0" w:space="0" w:color="auto"/>
      </w:divBdr>
    </w:div>
    <w:div w:id="609053188">
      <w:bodyDiv w:val="1"/>
      <w:marLeft w:val="0"/>
      <w:marRight w:val="0"/>
      <w:marTop w:val="0"/>
      <w:marBottom w:val="0"/>
      <w:divBdr>
        <w:top w:val="none" w:sz="0" w:space="0" w:color="auto"/>
        <w:left w:val="none" w:sz="0" w:space="0" w:color="auto"/>
        <w:bottom w:val="none" w:sz="0" w:space="0" w:color="auto"/>
        <w:right w:val="none" w:sz="0" w:space="0" w:color="auto"/>
      </w:divBdr>
    </w:div>
    <w:div w:id="620571894">
      <w:bodyDiv w:val="1"/>
      <w:marLeft w:val="0"/>
      <w:marRight w:val="0"/>
      <w:marTop w:val="0"/>
      <w:marBottom w:val="0"/>
      <w:divBdr>
        <w:top w:val="none" w:sz="0" w:space="0" w:color="auto"/>
        <w:left w:val="none" w:sz="0" w:space="0" w:color="auto"/>
        <w:bottom w:val="none" w:sz="0" w:space="0" w:color="auto"/>
        <w:right w:val="none" w:sz="0" w:space="0" w:color="auto"/>
      </w:divBdr>
    </w:div>
    <w:div w:id="711032167">
      <w:bodyDiv w:val="1"/>
      <w:marLeft w:val="0"/>
      <w:marRight w:val="0"/>
      <w:marTop w:val="0"/>
      <w:marBottom w:val="0"/>
      <w:divBdr>
        <w:top w:val="none" w:sz="0" w:space="0" w:color="auto"/>
        <w:left w:val="none" w:sz="0" w:space="0" w:color="auto"/>
        <w:bottom w:val="none" w:sz="0" w:space="0" w:color="auto"/>
        <w:right w:val="none" w:sz="0" w:space="0" w:color="auto"/>
      </w:divBdr>
    </w:div>
    <w:div w:id="211042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growth/tools-databases/pp-large-proje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growth/tools-databases/pp-large-projec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fo/law/better-regulation/initiatives/ares-2017-3272163_en" TargetMode="External"/><Relationship Id="rId2" Type="http://schemas.openxmlformats.org/officeDocument/2006/relationships/hyperlink" Target="http://ec.europa.eu/growth/tools-databases/newsroom/cf/itemdetail.cfm?item_id=9021" TargetMode="External"/><Relationship Id="rId1" Type="http://schemas.openxmlformats.org/officeDocument/2006/relationships/hyperlink" Target="http://eur-lex.europa.eu/legal-content/EN/TXT/?uri=CELEX:02014L0025-20160101" TargetMode="External"/><Relationship Id="rId4" Type="http://schemas.openxmlformats.org/officeDocument/2006/relationships/hyperlink" Target="https://ec.europa.eu/transport/themes/infrastructure/consultations/2017-ten-t-implement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5314-E71E-417A-BC48-3DDB4664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4276</Words>
  <Characters>25657</Characters>
  <Application>Microsoft Office Word</Application>
  <DocSecurity>0</DocSecurity>
  <PresentationFormat>Microsoft Word 14.0</PresentationFormat>
  <Lines>503</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2017-09-25T10:58:00Z</dcterms:created>
  <dcterms:modified xsi:type="dcterms:W3CDTF">2017-10-05T14:58:00Z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