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F22F852-E0AE-4AA7-8037-ADD75539675C" style="width:451.25pt;height:379.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rPr>
          <w:noProof/>
          <w:sz w:val="16"/>
          <w:szCs w:val="16"/>
        </w:rPr>
      </w:pPr>
      <w:r>
        <w:rPr>
          <w:noProof/>
        </w:rPr>
        <w:t>Член 54, параграф 3 от Регламент (ЕС) 2016/1624 на Европейския парламент и на Съвета от 14 септември 2016 г. за европейската гранична и брегова охрана</w:t>
      </w:r>
      <w:r>
        <w:rPr>
          <w:rStyle w:val="FootnoteReference"/>
          <w:noProof/>
        </w:rPr>
        <w:footnoteReference w:id="1"/>
      </w:r>
      <w:r>
        <w:rPr>
          <w:noProof/>
        </w:rPr>
        <w:t xml:space="preserve"> предвижда, че Европейската агенция за гранична и брегова охрана може да координира оперативното сътрудничество между държавите членки и трети държави по отношение на управлението на външните граници. В това отношение Агенцията може да извършва действия по външните граници с участието на една или повече държави членки и трета държава, граничеща с поне една от тези държави членки, като е необходимо и съгласието на тази съседна трета държава, включително на нейната собствена територия. </w:t>
      </w:r>
    </w:p>
    <w:p>
      <w:pPr>
        <w:rPr>
          <w:noProof/>
          <w:szCs w:val="24"/>
        </w:rPr>
      </w:pPr>
      <w:r>
        <w:rPr>
          <w:noProof/>
        </w:rPr>
        <w:t>Съгласно член 54, параграф 4 от Регламент (ЕС) 2016/1624, когато се предвижда разполагане на европейски екипи за гранична и брегова охрана в трета държава за действия, при които членовете на екипите ще разполагат с изпълнителни правомощия, или когато това се налага за други действия в трета държава, Съюзът сключва споразумение за статуса със съответната трета държава. Споразумението за статуса обхваща всички аспекти, необходими за провеждане на действията. По-специално то включва описание на обхвата на операцията, гражданската и наказателната отговорност, задачите и правомощията на членовете на екипите. Споразумението за статуса гарантира пълно зачитане на основните права по време на операциите.</w:t>
      </w:r>
    </w:p>
    <w:p>
      <w:pPr>
        <w:rPr>
          <w:iCs/>
          <w:noProof/>
          <w:szCs w:val="24"/>
        </w:rPr>
      </w:pPr>
      <w:r>
        <w:rPr>
          <w:noProof/>
        </w:rPr>
        <w:t xml:space="preserve">Въз основа на приетите от Съвета указания за водене на преговори Европейската комисия договори с бившата югославска република Македония споразумение за статуса с оглед на създаването на правна рамка, която да даде възможност за незабавни действия чрез изготвяне на оперативни планове при нужда от бързо реагиране. Въпреки че миграционните потоци в региона са много по-малки, отколкото през 2015—2016 г., организираните престъпни мрежи адаптират бързо своите маршрути и методи за контрабанда на мигранти към всякакви нови обстоятелства. С въвеждането на споразумението за статуса отговорните органи на бившата югославска република Македония и държавите — членки на ЕС, координирани от Европейската агенция за гранична и брегова охрана, ще бъдат в много по-добра позиция да реагират бързо на такива възможни развития. </w:t>
      </w:r>
    </w:p>
    <w:p>
      <w:pPr>
        <w:rPr>
          <w:iCs/>
          <w:noProof/>
          <w:szCs w:val="24"/>
        </w:rPr>
      </w:pPr>
      <w:r>
        <w:rPr>
          <w:noProof/>
        </w:rPr>
        <w:t xml:space="preserve">Приложеното предложение за решение на Съвета представлява правният инструмент за сключване на споразумението за статуса между Европейския съюз и бившата югославска република Македония. </w:t>
      </w:r>
    </w:p>
    <w:p>
      <w:pPr>
        <w:rPr>
          <w:noProof/>
        </w:rPr>
      </w:pPr>
      <w:r>
        <w:rPr>
          <w:noProof/>
        </w:rPr>
        <w:t xml:space="preserve">На 21 февруари 2017 г. Съветът упълномощи Комисията да започне преговори с бившата югославска република Македония за сключване на споразумение за статуса на действия, провеждани от Европейската агенция за гранична и брегова охрана в бившата югославска република Македония. </w:t>
      </w:r>
    </w:p>
    <w:p>
      <w:pPr>
        <w:rPr>
          <w:iCs/>
          <w:noProof/>
          <w:szCs w:val="24"/>
        </w:rPr>
      </w:pPr>
      <w:r>
        <w:rPr>
          <w:noProof/>
        </w:rPr>
        <w:t xml:space="preserve">Преговорите относно споразумението за статуса бяха започнати на 15 септември 2017 г., вторият им кръг се проведе на 24 ноември 2017 г., а последният — на 30 април 2018 г. Преговорите приключиха успешно с парафирането на проекта за споразумение за статуса от комисаря по въпросите на миграцията, вътрешните работи и </w:t>
      </w:r>
      <w:r>
        <w:rPr>
          <w:noProof/>
        </w:rPr>
        <w:lastRenderedPageBreak/>
        <w:t>гражданството Д. Аврамопулос и министъра на вътрешните работи на бивша югославска република Македония О. Спасовски на 18 юли 2018 г. в Брюксел.</w:t>
      </w:r>
    </w:p>
    <w:p>
      <w:pPr>
        <w:rPr>
          <w:iCs/>
          <w:noProof/>
          <w:szCs w:val="24"/>
        </w:rPr>
      </w:pPr>
      <w:r>
        <w:rPr>
          <w:noProof/>
        </w:rPr>
        <w:t xml:space="preserve">Комисията счита, че целите, определени от Съвета в неговите указания за водене на преговорите, са постигнати и че проектът на споразумението за статуса е приемлив за Съюза. </w:t>
      </w:r>
    </w:p>
    <w:p>
      <w:pPr>
        <w:spacing w:after="240"/>
        <w:rPr>
          <w:iCs/>
          <w:noProof/>
          <w:szCs w:val="24"/>
        </w:rPr>
      </w:pPr>
      <w:r>
        <w:rPr>
          <w:noProof/>
        </w:rPr>
        <w:t xml:space="preserve">Държавите членки бяха информирани и с тях бяха проведени консултации в съответната работна група на Съвета. </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spacing w:after="240"/>
        <w:rPr>
          <w:iCs/>
          <w:noProof/>
          <w:szCs w:val="24"/>
        </w:rPr>
      </w:pPr>
      <w:r>
        <w:rPr>
          <w:noProof/>
        </w:rPr>
        <w:t>Понастоящем тринадесет държави членки имат двустранни споразумения с бившата югославска република Македония, които съдържат редица съвместни мерки като гранични проверки, наблюдение, патрулиране, връщане и т.н. Вече съществува също работна договореност (която се актуализира) между Министерството на вътрешните работи на бившата югославска република Македония и Европейската агенция за гранична и брегова охрана, която включва по-специално редовното участие като наблюдатели на територията на държавите членки на представители на сектор „Гранични въпроси и миграция“ в координирани съвместни операции на Европейската агенция за гранична и брегова охрана, със съгласието на приемащата държава членка.</w:t>
      </w:r>
    </w:p>
    <w:p>
      <w:pPr>
        <w:pStyle w:val="ManualHeading2"/>
        <w:ind w:left="0" w:firstLine="0"/>
        <w:rPr>
          <w:rFonts w:eastAsia="Arial Unicode MS"/>
          <w:noProof/>
        </w:rPr>
      </w:pPr>
      <w:r>
        <w:rPr>
          <w:noProof/>
          <w:color w:val="000000"/>
          <w:u w:color="000000"/>
          <w:bdr w:val="nil"/>
        </w:rPr>
        <w:t>•</w:t>
      </w:r>
      <w:r>
        <w:rPr>
          <w:noProof/>
        </w:rPr>
        <w:tab/>
        <w:t>Съгласуваност с други политики на Съюза</w:t>
      </w:r>
    </w:p>
    <w:p>
      <w:pPr>
        <w:rPr>
          <w:b/>
          <w:noProof/>
          <w:szCs w:val="24"/>
        </w:rPr>
      </w:pPr>
      <w:r>
        <w:rPr>
          <w:noProof/>
        </w:rPr>
        <w:t xml:space="preserve">Европейската програма за миграцията се основава на четири стълба. Един от тях е управлението на границите, което включва по-добро управление на външната граница на ЕС, по-специално посредством солидарност към държавите членки, които са разположени по външните граници, и подобряване на ефективността на граничните контролно-пропускателни пунктове. Засиленият контрол на границите на бившата югославска република Македония ще окаже също положително въздействие върху външните граници на ЕС, по-специално външните граници на България и Гърция, както и границите на бившата югославска република Македония. По-нататъшното засилване на сигурността по външните граници е в съответствие и с Европейската програма за сигурност. </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autoSpaceDE w:val="0"/>
        <w:autoSpaceDN w:val="0"/>
        <w:adjustRightInd w:val="0"/>
        <w:rPr>
          <w:noProof/>
          <w:szCs w:val="24"/>
        </w:rPr>
      </w:pPr>
      <w:r>
        <w:rPr>
          <w:noProof/>
        </w:rPr>
        <w:t xml:space="preserve">Правното основание за настоящото предложение за решение на Съвета са член 77, параграф 2, буква б) и буква г) и член 79, параграф 2, буква в) от ДФЕС, във връзка с член 218, параграф 6, буква а) от ДФЕС. </w:t>
      </w:r>
    </w:p>
    <w:p>
      <w:pPr>
        <w:autoSpaceDE w:val="0"/>
        <w:autoSpaceDN w:val="0"/>
        <w:adjustRightInd w:val="0"/>
        <w:rPr>
          <w:noProof/>
          <w:szCs w:val="24"/>
        </w:rPr>
      </w:pPr>
      <w:r>
        <w:rPr>
          <w:noProof/>
        </w:rPr>
        <w:t xml:space="preserve">Компетентността на Европейския съюз за сключване на споразумение за статуса е изрично предвидена в член 54, параграф 4 от Регламент (ЕС) 2016/1624, който гласи, че в случаите, когато се предвижда разполагане на европейски екипи за гранична и брегова охрана в трета държава за действия, при които членове на екипите ще разполагат с изпълнителни правомощия, или когато това се налага за други действия в трета държава, Съюзът сключва споразумение за статуса със съответната трета държава. </w:t>
      </w:r>
    </w:p>
    <w:p>
      <w:pPr>
        <w:autoSpaceDE w:val="0"/>
        <w:autoSpaceDN w:val="0"/>
        <w:adjustRightInd w:val="0"/>
        <w:rPr>
          <w:noProof/>
          <w:szCs w:val="24"/>
        </w:rPr>
      </w:pPr>
      <w:r>
        <w:rPr>
          <w:noProof/>
        </w:rPr>
        <w:t xml:space="preserve">Съгласно член 3, параграф 2 от ДФЕС Съюзът разполага с изключителна компетентност за сключване на международни споразумения, когато това е предвидено в законодателен акт на Съюза. В член 54, параграф 4 от Регламент (ЕС) 2016/1624 се предвижда, че Европейският съюз сключва споразумение за статуса със съответната трета държава. Следователно приложеното споразумение с бившата югославска република Македония попада в рамките на изключителната компетентност на Европейския съюз. </w:t>
      </w:r>
    </w:p>
    <w:p>
      <w:pPr>
        <w:pStyle w:val="ManualHeading2"/>
        <w:rPr>
          <w:rFonts w:eastAsia="Arial Unicode MS"/>
          <w:noProof/>
          <w:u w:color="000000"/>
          <w:bdr w:val="nil"/>
        </w:rPr>
      </w:pPr>
      <w:r>
        <w:rPr>
          <w:noProof/>
        </w:rPr>
        <w:t>•</w:t>
      </w:r>
      <w:r>
        <w:rPr>
          <w:noProof/>
        </w:rPr>
        <w:tab/>
        <w:t xml:space="preserve">Субсидиарност (при неизключителна компетентност) </w:t>
      </w:r>
    </w:p>
    <w:p>
      <w:pPr>
        <w:pBdr>
          <w:top w:val="nil"/>
          <w:left w:val="nil"/>
          <w:bottom w:val="nil"/>
          <w:right w:val="nil"/>
          <w:between w:val="nil"/>
          <w:bar w:val="nil"/>
        </w:pBdr>
        <w:spacing w:before="0" w:after="240"/>
        <w:rPr>
          <w:noProof/>
        </w:rPr>
      </w:pPr>
      <w:r>
        <w:rPr>
          <w:noProof/>
        </w:rPr>
        <w:t xml:space="preserve">Не е приложимо </w:t>
      </w:r>
    </w:p>
    <w:p>
      <w:pPr>
        <w:pStyle w:val="ManualHeading2"/>
        <w:rPr>
          <w:rFonts w:eastAsia="Arial Unicode MS"/>
          <w:noProof/>
          <w:u w:color="000000"/>
          <w:bdr w:val="nil"/>
        </w:rPr>
      </w:pPr>
      <w:r>
        <w:rPr>
          <w:noProof/>
        </w:rPr>
        <w:t>•</w:t>
      </w:r>
      <w:r>
        <w:rPr>
          <w:noProof/>
        </w:rPr>
        <w:tab/>
        <w:t>Пропорционалност</w:t>
      </w:r>
    </w:p>
    <w:p>
      <w:pPr>
        <w:spacing w:after="240"/>
        <w:rPr>
          <w:noProof/>
          <w:szCs w:val="24"/>
        </w:rPr>
      </w:pPr>
      <w:r>
        <w:rPr>
          <w:noProof/>
        </w:rPr>
        <w:t xml:space="preserve">Споразумението за статуса ще даде възможност за разполагане на европейски екипи за гранична и брегова охрана от Европейската агенция за гранична и брегова охрана в бившата югославска република Македония вместо двустранно разполагане от страна на държавите членки в случай на внезапен приток на мигранти. </w:t>
      </w:r>
    </w:p>
    <w:p>
      <w:pPr>
        <w:spacing w:after="240"/>
        <w:rPr>
          <w:noProof/>
          <w:szCs w:val="24"/>
        </w:rPr>
      </w:pPr>
      <w:r>
        <w:rPr>
          <w:noProof/>
        </w:rPr>
        <w:t>Следователно е необходим общ подход за по-добро управление на границите на бившата югославска република Македония.</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noProof/>
        </w:rPr>
      </w:pPr>
      <w:r>
        <w:rPr>
          <w:noProof/>
        </w:rPr>
        <w:t xml:space="preserve">Настоящото предложение е в съответствие с член 218, параграф 6, буква а) от ДФЕС, който предвижда приемането от Съвета на решения относно международни споразумения след одобрение от Европейския парламент. Не съществува друг правен инструмент, който да може да бъде използван за постигане на целта, изложена в настоящото предложение. </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 xml:space="preserve">Не е приложимо </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 xml:space="preserve">Не е приложимо </w:t>
      </w:r>
    </w:p>
    <w:p>
      <w:pPr>
        <w:pStyle w:val="ManualHeading2"/>
        <w:rPr>
          <w:rFonts w:eastAsia="Arial Unicode MS"/>
          <w:noProof/>
          <w:u w:color="000000"/>
          <w:bdr w:val="nil"/>
        </w:rPr>
      </w:pPr>
      <w:r>
        <w:rPr>
          <w:noProof/>
        </w:rPr>
        <w:t>•</w:t>
      </w:r>
      <w:r>
        <w:rPr>
          <w:noProof/>
        </w:rPr>
        <w:tab/>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 xml:space="preserve">Не е приложимо </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noProof/>
          <w:szCs w:val="24"/>
        </w:rPr>
      </w:pPr>
      <w:r>
        <w:rPr>
          <w:noProof/>
        </w:rPr>
        <w:t xml:space="preserve">Не е необходима оценка на въздействието за договарянето на споразумението за статуса. </w:t>
      </w:r>
    </w:p>
    <w:p>
      <w:pPr>
        <w:pStyle w:val="ManualHeading2"/>
        <w:rPr>
          <w:rFonts w:eastAsia="Arial Unicode MS"/>
          <w:noProof/>
          <w:u w:color="000000"/>
          <w:bdr w:val="nil"/>
        </w:rPr>
      </w:pPr>
      <w:r>
        <w:rPr>
          <w:noProof/>
        </w:rPr>
        <w:t>•</w:t>
      </w:r>
      <w:r>
        <w:rPr>
          <w:noProof/>
        </w:rPr>
        <w:tab/>
        <w:t>Пригодност и опростяване на законодателството</w:t>
      </w:r>
    </w:p>
    <w:p>
      <w:pPr>
        <w:pStyle w:val="ManualHeading2"/>
        <w:ind w:left="0" w:firstLine="0"/>
        <w:rPr>
          <w:rFonts w:eastAsia="Arial Unicode MS"/>
          <w:b w:val="0"/>
          <w:noProof/>
          <w:u w:color="000000"/>
          <w:bdr w:val="nil"/>
        </w:rPr>
      </w:pPr>
      <w:r>
        <w:rPr>
          <w:b w:val="0"/>
          <w:noProof/>
        </w:rPr>
        <w:t>Тъй като това ще бъде ново споразумение, оценка или проверки за пригодност на съществуващите инструменти не биха могли да бъдат извършени.</w:t>
      </w:r>
    </w:p>
    <w:p>
      <w:pPr>
        <w:pStyle w:val="ManualHeading2"/>
        <w:ind w:left="0" w:firstLine="0"/>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after="240"/>
        <w:rPr>
          <w:noProof/>
          <w:szCs w:val="24"/>
        </w:rPr>
      </w:pPr>
      <w:r>
        <w:rPr>
          <w:noProof/>
        </w:rPr>
        <w:t>Проектът за споразумение за статуса съдържа разпоредби, с които се гарантира защитата на основните права на лицата, засегнати от действията на членовете на екипите, които участват в действия, координирани от Европейската агенция за гранична и брегова охрана.</w:t>
      </w:r>
    </w:p>
    <w:p>
      <w:pPr>
        <w:pBdr>
          <w:top w:val="nil"/>
          <w:left w:val="nil"/>
          <w:bottom w:val="nil"/>
          <w:right w:val="nil"/>
          <w:between w:val="nil"/>
          <w:bar w:val="nil"/>
        </w:pBdr>
        <w:spacing w:after="240"/>
        <w:rPr>
          <w:rFonts w:eastAsia="Arial Unicode MS"/>
          <w:noProof/>
        </w:rPr>
      </w:pPr>
      <w:r>
        <w:rPr>
          <w:noProof/>
        </w:rPr>
        <w:t xml:space="preserve">Разпоредбите относно основните права са обяснени по-подробно в точка 5 „Други елементи“. </w:t>
      </w:r>
    </w:p>
    <w:p>
      <w:pPr>
        <w:pStyle w:val="ManualHeading1"/>
        <w:rPr>
          <w:noProof/>
        </w:rPr>
      </w:pPr>
      <w:r>
        <w:rPr>
          <w:noProof/>
        </w:rPr>
        <w:t>4.</w:t>
      </w:r>
      <w:r>
        <w:rPr>
          <w:noProof/>
        </w:rPr>
        <w:tab/>
        <w:t>ОТРАЖЕНИЕ ВЪРХУ БЮДЖЕТА</w:t>
      </w:r>
    </w:p>
    <w:p>
      <w:pPr>
        <w:autoSpaceDE w:val="0"/>
        <w:autoSpaceDN w:val="0"/>
        <w:rPr>
          <w:iCs/>
          <w:noProof/>
          <w:szCs w:val="24"/>
        </w:rPr>
      </w:pPr>
      <w:r>
        <w:rPr>
          <w:noProof/>
        </w:rPr>
        <w:t>Споразумението за статуса само по себе си няма да доведе до финансови последици. Самото разполагане на екипи на Европейската агенция за гранична и брегова охрана въз основа на оперативен план и съответното споразумение за отпускане на безвъзмездни средства води до разходи, които се поемат от бюджета на Европейската агенция за гранична и брегова охрана. Бъдещите операции в рамките на споразумението за статуса ще бъдат финансирани със собствените ресурси на Европейската агенция за гранична и брегова охрана.</w:t>
      </w:r>
    </w:p>
    <w:p>
      <w:pPr>
        <w:autoSpaceDE w:val="0"/>
        <w:autoSpaceDN w:val="0"/>
        <w:rPr>
          <w:noProof/>
          <w:szCs w:val="24"/>
        </w:rPr>
      </w:pPr>
      <w:r>
        <w:rPr>
          <w:noProof/>
        </w:rPr>
        <w:t>Финансовата обосновка за разходите на Европейската агенция за гранична и брегова охрана, приложена към предложението за Регламент за европейската гранична и брегова охрана, оценява механизма за засилено сътрудничество с трети държави (включително евентуални съвместни операции със съседни държави) на 6,090 милиона евро средно годишно за периода 2017—2020 г.</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механизъм за мониторинг, оценка и докладване</w:t>
      </w:r>
    </w:p>
    <w:p>
      <w:pPr>
        <w:rPr>
          <w:noProof/>
          <w:szCs w:val="24"/>
        </w:rPr>
      </w:pPr>
      <w:r>
        <w:rPr>
          <w:noProof/>
        </w:rPr>
        <w:t xml:space="preserve">Комисията ще осигури подходящ мониторинг на изпълнението на споразумението за статуса. </w:t>
      </w:r>
    </w:p>
    <w:p>
      <w:pPr>
        <w:rPr>
          <w:noProof/>
          <w:szCs w:val="24"/>
        </w:rPr>
      </w:pPr>
      <w:r>
        <w:rPr>
          <w:noProof/>
        </w:rPr>
        <w:t xml:space="preserve">Бившата югославска република Македония и Европейската агенция за гранична и брегова охрана следва да оценяват заедно всяка съвместна операция или бърза гранична намеса. </w:t>
      </w:r>
    </w:p>
    <w:p>
      <w:pPr>
        <w:spacing w:after="240"/>
        <w:rPr>
          <w:noProof/>
          <w:szCs w:val="24"/>
        </w:rPr>
      </w:pPr>
      <w:r>
        <w:rPr>
          <w:noProof/>
        </w:rPr>
        <w:t xml:space="preserve">По-специално Европейската агенция за гранична и брегова охрана, бившата югославска република Македония и държавите членки, участващи в конкретно действие, следва след приключването на всяко действие да изготвят доклад относно прилагането на разпоредбите от споразумението, включително относно обработването на лични данни. </w:t>
      </w:r>
    </w:p>
    <w:p>
      <w:pPr>
        <w:pStyle w:val="ManualHeading2"/>
        <w:rPr>
          <w:rFonts w:eastAsia="Arial Unicode MS"/>
          <w:noProof/>
          <w:u w:color="000000"/>
          <w:bdr w:val="nil"/>
        </w:rPr>
      </w:pPr>
      <w:r>
        <w:rPr>
          <w:noProof/>
        </w:rPr>
        <w:t>•</w:t>
      </w:r>
      <w:r>
        <w:rPr>
          <w:noProof/>
        </w:rPr>
        <w:tab/>
        <w:t>Обяснителни документи (за директиви)</w:t>
      </w:r>
    </w:p>
    <w:p>
      <w:pPr>
        <w:pBdr>
          <w:top w:val="nil"/>
          <w:left w:val="nil"/>
          <w:bottom w:val="nil"/>
          <w:right w:val="nil"/>
          <w:between w:val="nil"/>
          <w:bar w:val="nil"/>
        </w:pBdr>
        <w:spacing w:before="0" w:after="240"/>
        <w:rPr>
          <w:rFonts w:eastAsia="Arial Unicode MS"/>
          <w:noProof/>
        </w:rPr>
      </w:pPr>
      <w:r>
        <w:rPr>
          <w:noProof/>
        </w:rPr>
        <w:t xml:space="preserve">Не е приложимо </w:t>
      </w:r>
    </w:p>
    <w:p>
      <w:pPr>
        <w:pStyle w:val="ManualHeading2"/>
        <w:spacing w:after="240"/>
        <w:rPr>
          <w:rFonts w:eastAsia="Arial Unicode MS"/>
          <w:noProof/>
          <w:u w:color="000000"/>
          <w:bdr w:val="nil"/>
        </w:rPr>
      </w:pPr>
      <w:r>
        <w:rPr>
          <w:noProof/>
        </w:rPr>
        <w:t>•</w:t>
      </w:r>
      <w:r>
        <w:rPr>
          <w:noProof/>
        </w:rPr>
        <w:tab/>
        <w:t>Подробно разяснение на отделните разпоредби на предложението</w:t>
      </w:r>
    </w:p>
    <w:p>
      <w:pPr>
        <w:rPr>
          <w:i/>
          <w:noProof/>
        </w:rPr>
      </w:pPr>
      <w:r>
        <w:rPr>
          <w:i/>
          <w:noProof/>
        </w:rPr>
        <w:t>Обхват на споразумението</w:t>
      </w:r>
    </w:p>
    <w:p>
      <w:pPr>
        <w:rPr>
          <w:rFonts w:eastAsia="Times New Roman"/>
          <w:noProof/>
        </w:rPr>
      </w:pPr>
      <w:r>
        <w:rPr>
          <w:noProof/>
        </w:rPr>
        <w:t>По силата на настоящото споразумение Европейската агенция за гранична и брегова охрана следва да бъде в състояние да разполага европейски екипи за гранична и брегова охрана с изпълнителни правомощия в бившата югославска република Македония, за да извършват съвместни операции и бърза гранична намеса. Макар настоящото споразумение да не разширява обхвата на Споразумението между Европейската общност и бившата югославска република Македония за обратно приемане на незаконно пребиваващи лица („Споразумението между ЕО и бившата югославска република Македония за обратно приемане“)</w:t>
      </w:r>
      <w:r>
        <w:rPr>
          <w:rStyle w:val="FootnoteReference"/>
          <w:noProof/>
        </w:rPr>
        <w:footnoteReference w:id="2"/>
      </w:r>
      <w:r>
        <w:rPr>
          <w:noProof/>
        </w:rPr>
        <w:t>, на екипите на Европейската агенция за гранична и брегова охрана следва да бъде разрешено също така, в хода на конкретна операция по връщане, да съдействат на бившата югославска република Македония при установяването на самоличността на лицата, които следва да бъдат приети обратно в бившата югославска република Македония в съответствие със Споразумението между ЕО и бившата югославска република Македония за обратно приемане</w:t>
      </w:r>
      <w:r>
        <w:rPr>
          <w:rStyle w:val="Hyperlink"/>
          <w:noProof/>
        </w:rPr>
        <w:t>.</w:t>
      </w:r>
    </w:p>
    <w:p>
      <w:pPr>
        <w:spacing w:after="240"/>
        <w:rPr>
          <w:rFonts w:eastAsia="Times New Roman"/>
          <w:noProof/>
        </w:rPr>
      </w:pPr>
      <w:r>
        <w:rPr>
          <w:noProof/>
        </w:rPr>
        <w:t>Европейските екип за гранична и брегова охрана могат да бъдат разполагани на територията на бившата югославска република Македония само в регионите, граничещи с външните граници на ЕС, като членовете на екипа разполагат с изпълнителни правомощия в тези региони на бившата югославска република Македония, както е посочено в оперативния план.</w:t>
      </w:r>
    </w:p>
    <w:p>
      <w:pPr>
        <w:rPr>
          <w:rFonts w:eastAsia="Times New Roman"/>
          <w:i/>
          <w:noProof/>
        </w:rPr>
      </w:pPr>
      <w:r>
        <w:rPr>
          <w:i/>
          <w:noProof/>
        </w:rPr>
        <w:t>Започване на действие</w:t>
      </w:r>
    </w:p>
    <w:p>
      <w:pPr>
        <w:rPr>
          <w:rFonts w:eastAsia="Times New Roman"/>
          <w:noProof/>
        </w:rPr>
      </w:pPr>
      <w:r>
        <w:rPr>
          <w:noProof/>
        </w:rPr>
        <w:t xml:space="preserve">Агенцията може да предложи инициатива за започване на действие. Компетентните органи на бившата югославска република Македония могат да поискат от Агенцията да обмисли започването на действие. За изпълнението на дадено действие е необходимо съгласието на компетентните органи на бившата югославска република Македония и на Агенцията. </w:t>
      </w:r>
    </w:p>
    <w:p>
      <w:r>
        <w:rPr>
          <w:i/>
          <w:noProof/>
        </w:rPr>
        <w:t>Оперативен план</w:t>
      </w:r>
      <w:r>
        <w:rPr>
          <w:noProof/>
        </w:rPr>
        <w:t xml:space="preserve"> </w:t>
      </w:r>
    </w:p>
    <w:p>
      <w:pPr>
        <w:rPr>
          <w:rFonts w:eastAsia="Times New Roman"/>
          <w:noProof/>
        </w:rPr>
      </w:pPr>
      <w:r>
        <w:rPr>
          <w:noProof/>
        </w:rPr>
        <w:t xml:space="preserve">Преди всяка съвместна операция или бърза гранична намеса трябва да бъде договорен оперативен план между Агенцията и бившата югославска република Македония. Този оперативен план трябва също така да бъде одобрен от държавата членка или държавите членки, които граничат с оперативната зона. </w:t>
      </w:r>
    </w:p>
    <w:p>
      <w:pPr>
        <w:spacing w:after="240"/>
        <w:rPr>
          <w:rFonts w:eastAsia="Times New Roman"/>
          <w:noProof/>
          <w:spacing w:val="-4"/>
        </w:rPr>
      </w:pPr>
      <w:r>
        <w:rPr>
          <w:noProof/>
          <w:spacing w:val="-4"/>
        </w:rPr>
        <w:t xml:space="preserve">В плана се определят подробно организационните и процедурните аспекти на съвместната операция или на бързата гранична намеса, включително описание и оценка на ситуацията, оперативните цели, оперативната концепция, видът техническо оборудване, което да бъде разположено, планът за изпълнение, сътрудничеството с други трети държави, други агенции и органи на Съюза или международни организации, разпоредбите по отношение на основните права, включително защитата на личните данни, структурата на координирането, управлението, контрола, комуникациите и докладването, организационните договорености и логистиката, оценката и финансовите аспекти на съвместната операция или бързата гранична намеса. </w:t>
      </w:r>
    </w:p>
    <w:p>
      <w:pPr>
        <w:rPr>
          <w:rFonts w:eastAsia="Times New Roman"/>
          <w:i/>
          <w:noProof/>
        </w:rPr>
      </w:pPr>
      <w:r>
        <w:rPr>
          <w:i/>
          <w:noProof/>
        </w:rPr>
        <w:t>Задачи и правомощия на членовете на екипа</w:t>
      </w:r>
    </w:p>
    <w:p>
      <w:pPr>
        <w:rPr>
          <w:rFonts w:eastAsia="Times New Roman"/>
          <w:noProof/>
        </w:rPr>
      </w:pPr>
      <w:r>
        <w:rPr>
          <w:noProof/>
        </w:rPr>
        <w:t>Като общо правило екипите са упълномощени да изпълняват задачите и да упражняват изпълнителните правомощия, които са необходими за провеждането на операциите по граничен контрол и връщане. Те спазват законовите и подзаконовите актове на бившата югославска република Македония.</w:t>
      </w:r>
    </w:p>
    <w:p>
      <w:pPr>
        <w:rPr>
          <w:noProof/>
        </w:rPr>
      </w:pPr>
      <w:r>
        <w:rPr>
          <w:noProof/>
        </w:rPr>
        <w:t>Екипите действат единствено на територията на бившата югославска република Македония съгласно инструкциите и в присъствието на гранични служители или други компетентни служители на бившата югославска република Македония.</w:t>
      </w:r>
    </w:p>
    <w:p>
      <w:pPr>
        <w:rPr>
          <w:rFonts w:eastAsia="Times New Roman"/>
          <w:noProof/>
        </w:rPr>
      </w:pPr>
      <w:r>
        <w:rPr>
          <w:noProof/>
        </w:rPr>
        <w:t>Членовете на екипа носят, когато е уместно, собствената си униформа, видими лични идентификационни знаци, както и синя лента на ръкава на униформата с отличителните знаци на Европейския съюз и на Агенцията. Те носят също така документ за акредитиране, за да може тяхната самоличност да бъде установена от националните органи на бившата югославска република Македония.</w:t>
      </w:r>
    </w:p>
    <w:p>
      <w:pPr>
        <w:rPr>
          <w:rFonts w:eastAsia="Times New Roman"/>
          <w:noProof/>
        </w:rPr>
      </w:pPr>
      <w:r>
        <w:rPr>
          <w:noProof/>
        </w:rPr>
        <w:t xml:space="preserve">Членовете на екипа могат да носят служебни оръжия, боеприпаси и оборудване, разрешени в съответствие с националното право на собствената им държава и правото на бившата югославска република Македония. Органите на бившата югославска република Македония уведомяват предварително Агенцията за разрешените служебни оръжия, боеприпаси и оборудване, както и за съответната правна рамка и условията за тяхното използване. </w:t>
      </w:r>
    </w:p>
    <w:p>
      <w:pPr>
        <w:rPr>
          <w:rFonts w:eastAsia="Times New Roman"/>
          <w:noProof/>
        </w:rPr>
      </w:pPr>
      <w:r>
        <w:rPr>
          <w:noProof/>
        </w:rPr>
        <w:t>На членовете на екипа се разрешава употребата на сила, включително на служебни оръжия, боеприпаси и оборудване, със съгласието на собствената им държава и на органите на бившата югославска република Македония, в присъствието на гранични служители или други компетентни служители на бившата югославска република Македония и в съответствие с националното право на бившата югославска република Македония. Органите на бившата югославска република Македония могат да разрешат на членовете на екипа да използват сила и в отсъствието на своите гранични служители. Органите на бившата югославска република Македония уведомяват предварително Агенцията за разрешената употреба на физическа сила и средства за принуда, както и за условията за тяхното използване.</w:t>
      </w:r>
    </w:p>
    <w:p>
      <w:pPr>
        <w:spacing w:after="240"/>
        <w:rPr>
          <w:rFonts w:eastAsia="Times New Roman"/>
          <w:iCs/>
          <w:noProof/>
        </w:rPr>
      </w:pPr>
      <w:r>
        <w:rPr>
          <w:noProof/>
        </w:rPr>
        <w:t>Преди разполагането на членовете на екипа органите на бившата югославска република Македония уведомяват Агенцията за националните бази данни, в които може да се прави справка в съответствие с националното законодателство на бившата югославска република Македония. Достъп до националните бази данни имат само упълномощени лица от бившата югославска република Македония, а данните могат да се споделят единствено с членовете на екипа, ако е необходимо.</w:t>
      </w:r>
    </w:p>
    <w:p>
      <w:pPr>
        <w:rPr>
          <w:i/>
          <w:noProof/>
        </w:rPr>
      </w:pPr>
      <w:r>
        <w:rPr>
          <w:i/>
          <w:noProof/>
        </w:rPr>
        <w:t>Спиране и прекратяване на действието</w:t>
      </w:r>
    </w:p>
    <w:p>
      <w:pPr>
        <w:spacing w:after="240"/>
        <w:rPr>
          <w:rFonts w:eastAsia="Times New Roman"/>
          <w:noProof/>
        </w:rPr>
      </w:pPr>
      <w:r>
        <w:rPr>
          <w:noProof/>
        </w:rPr>
        <w:t xml:space="preserve">Агенцията и органите на бившата югославска република Македония могат да спрат или да прекратят действието, ако счетат, че другата страна не спазва разпоредбите на Споразумението или на оперативния план. </w:t>
      </w:r>
    </w:p>
    <w:p>
      <w:pPr>
        <w:spacing w:line="288" w:lineRule="auto"/>
        <w:rPr>
          <w:rFonts w:eastAsia="Times New Roman"/>
          <w:i/>
          <w:noProof/>
          <w:color w:val="000000"/>
          <w:szCs w:val="24"/>
        </w:rPr>
      </w:pPr>
      <w:r>
        <w:rPr>
          <w:i/>
          <w:noProof/>
          <w:color w:val="000000"/>
        </w:rPr>
        <w:t>Привилегии и имунитети на членовете на екипа</w:t>
      </w:r>
    </w:p>
    <w:p>
      <w:pPr>
        <w:rPr>
          <w:rFonts w:eastAsia="Times New Roman"/>
          <w:noProof/>
          <w:color w:val="000000"/>
          <w:szCs w:val="24"/>
        </w:rPr>
      </w:pPr>
      <w:r>
        <w:rPr>
          <w:noProof/>
          <w:color w:val="000000"/>
        </w:rPr>
        <w:t xml:space="preserve">Членовете на екипа се ползват с имунитет по отношение на наказателната юрисдикция на бившата югославска република Македония за актовете, извършени при изпълнение на техните служебни функции („по време на служба“), но не се ползват с такъв имунитет за актове, извършени когато не са на служба. </w:t>
      </w:r>
    </w:p>
    <w:p>
      <w:pPr>
        <w:rPr>
          <w:rFonts w:eastAsia="Times New Roman"/>
          <w:noProof/>
          <w:color w:val="000000"/>
          <w:spacing w:val="-4"/>
          <w:szCs w:val="24"/>
        </w:rPr>
      </w:pPr>
      <w:r>
        <w:rPr>
          <w:noProof/>
          <w:color w:val="000000"/>
          <w:spacing w:val="-4"/>
        </w:rPr>
        <w:t xml:space="preserve">В оперативния план се посочват изрично действията, за които се дава имунитет по отношение на наказателната юрисдикция на бившата югославска република Македония. </w:t>
      </w:r>
    </w:p>
    <w:p>
      <w:pPr>
        <w:rPr>
          <w:rFonts w:eastAsia="Times New Roman"/>
          <w:noProof/>
          <w:color w:val="000000"/>
          <w:szCs w:val="24"/>
        </w:rPr>
      </w:pPr>
      <w:r>
        <w:rPr>
          <w:noProof/>
          <w:color w:val="000000"/>
        </w:rPr>
        <w:t>В случай на твърдения за извършено престъпление от член на екипа, преди да започне производството пред съда, изпълнителният директор на Агенцията удостоверява пред компетентните съдебни органи на бившата югославска република Македония дали въпросният акт е извършен при изпълнение на служебните функции на лицето или не. Изпълнителният директор на Агенцията взема своето решение след внимателно разглеждане на всяко изявление, направено от компетентния орган на държавата членка, която е разположила съответния граничен служител или друг компетентен служител, и компетентните органи на бившата югославска република Македония. Удостоверението от страна на изпълнителния директор на Агенцията има задължителен характер за юрисдикцията на бившата югославска република Македония.</w:t>
      </w:r>
    </w:p>
    <w:p>
      <w:pPr>
        <w:rPr>
          <w:rFonts w:eastAsia="Times New Roman"/>
          <w:noProof/>
          <w:color w:val="000000"/>
          <w:szCs w:val="24"/>
        </w:rPr>
      </w:pPr>
      <w:r>
        <w:rPr>
          <w:noProof/>
          <w:color w:val="000000"/>
        </w:rPr>
        <w:t xml:space="preserve">Привилегиите, предоставени на членовете на екипа, и имунитетът по отношение на наказателната юрисдикция на бившата югославска република Македония не освобождават членовете на екипа от юрисдикцията на изпращащата държава членка. </w:t>
      </w:r>
    </w:p>
    <w:p>
      <w:pPr>
        <w:rPr>
          <w:rFonts w:eastAsia="Times New Roman"/>
          <w:noProof/>
          <w:color w:val="000000"/>
          <w:szCs w:val="24"/>
        </w:rPr>
      </w:pPr>
      <w:r>
        <w:rPr>
          <w:noProof/>
          <w:color w:val="000000"/>
        </w:rPr>
        <w:t xml:space="preserve">Подобен режим се прилага за гражданската и административната отговорност на членовете на екипа. </w:t>
      </w:r>
    </w:p>
    <w:p>
      <w:pPr>
        <w:rPr>
          <w:rFonts w:eastAsia="Times New Roman"/>
          <w:noProof/>
          <w:color w:val="000000"/>
          <w:spacing w:val="-4"/>
          <w:szCs w:val="24"/>
        </w:rPr>
      </w:pPr>
      <w:r>
        <w:rPr>
          <w:noProof/>
          <w:color w:val="000000"/>
          <w:spacing w:val="-4"/>
        </w:rPr>
        <w:t>Имунитетът на членовете на екипите по отношение на наказателната, гражданската и административната юрисдикция на бившата югославска република Македония може да бъде снет от държавата членка, която е разположила въпросния граничен служител или друг компетентен служител. Подобно снемане на имунитет винаги трябва да бъде изрично.</w:t>
      </w:r>
    </w:p>
    <w:p>
      <w:pPr>
        <w:rPr>
          <w:rFonts w:eastAsia="Times New Roman"/>
          <w:noProof/>
          <w:color w:val="000000"/>
          <w:szCs w:val="24"/>
        </w:rPr>
      </w:pPr>
      <w:r>
        <w:rPr>
          <w:noProof/>
          <w:color w:val="000000"/>
        </w:rPr>
        <w:t xml:space="preserve">В споразумението се предвижда механизъм, чиято цел е обезщетяването на вреди. Този механизъм за обезщетяване се основава на член 42 от Регламент (ЕС) 2016/1624 относно европейската гранична и брегова охрана. Ако вредата е причинена от член на екип „по време на служба“, отговорността се поема от бившата югославска република Македония. Ако вредата е причинена „по време на служба“ от член на екип от участваща държава членка вследствие на груба небрежност или умишлено нарушение или ако актът е извършен по време, когато лицето не е било на служба, бившата югославска република Македония може да поиска чрез изпълнителния директор на Агенцията съответната участваща държава членка да изплати обезщетение. Ако вредата е причинена от служител на Агенцията, бившата югославска република Македония може да поиска от Агенцията да изплати обезщетение. </w:t>
      </w:r>
    </w:p>
    <w:p>
      <w:pPr>
        <w:rPr>
          <w:rFonts w:eastAsia="Times New Roman"/>
          <w:noProof/>
          <w:color w:val="000000"/>
          <w:szCs w:val="24"/>
        </w:rPr>
      </w:pPr>
      <w:r>
        <w:rPr>
          <w:noProof/>
          <w:color w:val="000000"/>
        </w:rPr>
        <w:t>Спрямо членовете на екипа не могат да се предприемат изпълнителни мерки, освен когато срещу тях е образувано гражданско производство, което не е свързано със служебните им функции.</w:t>
      </w:r>
    </w:p>
    <w:p>
      <w:pPr>
        <w:rPr>
          <w:rFonts w:eastAsia="Times New Roman"/>
          <w:noProof/>
          <w:color w:val="000000"/>
          <w:szCs w:val="24"/>
        </w:rPr>
      </w:pPr>
      <w:r>
        <w:rPr>
          <w:noProof/>
          <w:color w:val="000000"/>
        </w:rPr>
        <w:t>Имуществото на членовете на екипа, което е необходимо за изпълнението на служебните им функции, не може да бъде изземвано. При граждански производства членовете на екипа не подлежат на ограничения върху личната им свобода или на други ограничителни мерки.</w:t>
      </w:r>
    </w:p>
    <w:p>
      <w:pPr>
        <w:rPr>
          <w:rFonts w:eastAsia="Times New Roman"/>
          <w:noProof/>
          <w:color w:val="000000"/>
          <w:szCs w:val="24"/>
        </w:rPr>
      </w:pPr>
      <w:r>
        <w:rPr>
          <w:noProof/>
          <w:color w:val="000000"/>
        </w:rPr>
        <w:t>По отношение на услугите, предоставяни за Агенцията, членовете на екипа са освободени от изискванията на разпоредбите в областта на социалната сигурност, които може да са в сила в бившата югославска република Македония. Членовете на екипа са освободени от всички форми на данъчно облагане в бившата югославска република Македония върху заплатите и възнагражденията, които получават от Агенцията или от изпращащите държави членки, както и върху други доходи, получени от източник извън бившата югославска република Македония.</w:t>
      </w:r>
    </w:p>
    <w:p>
      <w:pPr>
        <w:rPr>
          <w:rFonts w:eastAsia="Times New Roman"/>
          <w:noProof/>
          <w:color w:val="000000"/>
          <w:szCs w:val="24"/>
        </w:rPr>
      </w:pPr>
      <w:r>
        <w:rPr>
          <w:noProof/>
          <w:color w:val="000000"/>
        </w:rPr>
        <w:t xml:space="preserve">Органите на бившата югославска република Македония разрешават внасянето и изнасянето на предмети за лично ползване от членовете на екипа и ги освобождават от всякакви мита, данъци и други налози (различни от таксите за съхранение, превоз и подобни услуги) върху такива предмети. </w:t>
      </w:r>
    </w:p>
    <w:p>
      <w:pPr>
        <w:spacing w:after="0"/>
        <w:rPr>
          <w:rFonts w:eastAsia="Times New Roman"/>
          <w:noProof/>
          <w:color w:val="000000"/>
          <w:szCs w:val="24"/>
        </w:rPr>
      </w:pPr>
      <w:r>
        <w:rPr>
          <w:noProof/>
          <w:color w:val="000000"/>
        </w:rPr>
        <w:t>Личният багаж на членовете на екипа не се проверява, освен ако няма сериозни основания да се счита, че той съдържа предмети, които не са предназначени за лично ползване от членовете на екипа, или предмети, чийто внос или износ е забранен със закон или е подчинен на правилата на бившата югославска република Македония за налагане на карантина. В този случай проверките на такъв личен багаж се извършват само в присъствието на съответния/ите член/ове на екипа или на упълномощен представител на Агенцията.</w:t>
      </w:r>
    </w:p>
    <w:p>
      <w:pPr>
        <w:rPr>
          <w:rFonts w:eastAsia="Times New Roman"/>
          <w:noProof/>
          <w:color w:val="000000"/>
          <w:szCs w:val="24"/>
        </w:rPr>
      </w:pPr>
      <w:r>
        <w:rPr>
          <w:noProof/>
          <w:color w:val="000000"/>
        </w:rPr>
        <w:t>Документите, кореспонденцията и имуществото на членовете на екипа са неприкосновени, освен в случай на изпълнителни мерки. Членовете на екипа не са длъжни да дават свидетелски показания.</w:t>
      </w:r>
    </w:p>
    <w:p>
      <w:pPr>
        <w:rPr>
          <w:i/>
          <w:noProof/>
        </w:rPr>
      </w:pPr>
      <w:r>
        <w:rPr>
          <w:i/>
          <w:noProof/>
        </w:rPr>
        <w:t xml:space="preserve">Документ за акредитиране </w:t>
      </w:r>
    </w:p>
    <w:p>
      <w:pPr>
        <w:spacing w:after="240"/>
        <w:rPr>
          <w:rFonts w:eastAsia="Times New Roman"/>
          <w:noProof/>
          <w:color w:val="000000"/>
          <w:szCs w:val="24"/>
        </w:rPr>
      </w:pPr>
      <w:r>
        <w:rPr>
          <w:noProof/>
          <w:color w:val="000000"/>
        </w:rPr>
        <w:t>Агенцията, в сътрудничество с бившата югославска република Македония, издава на членовете на екипа документ за акредитиране с цел удостоверяване на самоличността им пред органите на бившата югославска република Македония като доказателство за правата на притежателите му да изпълняват задачите и да упражняват правомощията, предоставени им съгласно настоящото споразумение и оперативния план. Документът за акредитиране, заедно с валиден документ за пътуване, предоставя на члена на екипа достъп до бившата югославска република Македония, без да е необходима виза или предварително разрешение.</w:t>
      </w:r>
    </w:p>
    <w:p>
      <w:pPr>
        <w:rPr>
          <w:rFonts w:eastAsia="Times New Roman"/>
          <w:i/>
          <w:noProof/>
          <w:color w:val="000000"/>
          <w:szCs w:val="24"/>
        </w:rPr>
      </w:pPr>
      <w:r>
        <w:rPr>
          <w:i/>
          <w:noProof/>
          <w:color w:val="000000"/>
        </w:rPr>
        <w:t>Основни права</w:t>
      </w:r>
    </w:p>
    <w:p>
      <w:pPr>
        <w:rPr>
          <w:rFonts w:eastAsia="Times New Roman"/>
          <w:noProof/>
          <w:color w:val="000000"/>
          <w:szCs w:val="24"/>
        </w:rPr>
      </w:pPr>
      <w:r>
        <w:rPr>
          <w:noProof/>
          <w:color w:val="000000"/>
        </w:rPr>
        <w:t>При изпълнението на своите задължения и упражняването на своите правомощия членовете на екипа зачитат в пълна степен основните права и свободи, включително по отношение на достъпа до процедури за предоставяне на убежище, човешкото достойнство и забраната на изтезанията, нечовешкото или унизителното отношение, правото на свобода, принципа на забрана за връщане и забраната на колективното експулсиране, правата на детето и правото на зачитане на личния и семейния живот. Те не дискриминират лицата въз основа на техния пол, расова или етническа принадлежност, религия или убеждения, увреждане, възраст, сексуална ориентация или полова идентичност. Всички мерки в нарушение на тези основни права и свободи са пропорционални на целите, преследвани от тези мерки, и зачитат същността на тези основни права и свободи.</w:t>
      </w:r>
    </w:p>
    <w:p>
      <w:pPr>
        <w:spacing w:after="240"/>
        <w:rPr>
          <w:rFonts w:eastAsia="Times New Roman"/>
          <w:noProof/>
          <w:color w:val="000000"/>
          <w:szCs w:val="24"/>
        </w:rPr>
      </w:pPr>
      <w:r>
        <w:rPr>
          <w:noProof/>
          <w:color w:val="000000"/>
        </w:rPr>
        <w:t xml:space="preserve">Всяка страна трябва да разполага с механизъм за подаване на жалби в случай на предполагаемо нарушение на основните права, извършено от нейните служители. Агенцията е установила механизма за жалби, посочен в член 72 от Регламент (ЕС) 2016/1624 относно европейската гранична и брегова охрана, и следователно е изпълнила това си задължение. Омбудсманът на бившата югославска република Македония може да разглежда подобни предполагаеми нарушения, освен ако органите на бившата югославска република Македония не решат да създадат механизъм, който е специално предназначен за разглеждането на жалбите, подадени по силата на настоящото споразумение.  </w:t>
      </w:r>
    </w:p>
    <w:p>
      <w:pPr>
        <w:rPr>
          <w:rFonts w:eastAsia="Times New Roman"/>
          <w:i/>
          <w:noProof/>
          <w:color w:val="000000"/>
          <w:szCs w:val="24"/>
        </w:rPr>
      </w:pPr>
      <w:r>
        <w:rPr>
          <w:i/>
          <w:noProof/>
          <w:color w:val="000000"/>
        </w:rPr>
        <w:t>Обработване на лични данни</w:t>
      </w:r>
    </w:p>
    <w:p>
      <w:pPr>
        <w:rPr>
          <w:rFonts w:eastAsia="Times New Roman"/>
          <w:i/>
          <w:noProof/>
          <w:color w:val="000000"/>
          <w:szCs w:val="24"/>
        </w:rPr>
      </w:pPr>
      <w:r>
        <w:rPr>
          <w:noProof/>
          <w:color w:val="000000"/>
        </w:rPr>
        <w:t>Членовете на екипа обработват лични данни, когато това е необходимо, в съответствие с правилата, приложими за Агенцията и държавите — членки на ЕС. Обработването на лични данни от органите на бившата югославска република Македония се извършва в съответствие с нейното национално законодателство.</w:t>
      </w:r>
    </w:p>
    <w:p>
      <w:pPr>
        <w:spacing w:after="240"/>
        <w:rPr>
          <w:rFonts w:eastAsia="Times New Roman"/>
          <w:i/>
          <w:noProof/>
          <w:color w:val="000000"/>
          <w:szCs w:val="24"/>
        </w:rPr>
      </w:pPr>
      <w:r>
        <w:rPr>
          <w:noProof/>
          <w:color w:val="000000"/>
        </w:rPr>
        <w:t>След приключването на всяко действие Агенцията, участващите държави членки и органите на бившата югославска република Македония изготвят общ доклад относно обработването на лични данни от членовете на екипа. Този доклад се изпраща на служителя по въпросите на основните права и длъжностното лице по защита на данните на Агенцията, както и до компетентния орган за защита на личните данни в бившата югославска република Македония. Служителят по въпросите на основните права и длъжностното лице по защита на данните на Агенцията докладват на изпълнителния директор на Агенцията.</w:t>
      </w:r>
    </w:p>
    <w:p>
      <w:pPr>
        <w:rPr>
          <w:rFonts w:eastAsia="Times New Roman"/>
          <w:i/>
          <w:noProof/>
          <w:color w:val="000000"/>
          <w:szCs w:val="24"/>
        </w:rPr>
      </w:pPr>
      <w:r>
        <w:rPr>
          <w:i/>
          <w:noProof/>
          <w:color w:val="000000"/>
        </w:rPr>
        <w:t>Спорове и тълкуване</w:t>
      </w:r>
    </w:p>
    <w:p>
      <w:pPr>
        <w:spacing w:before="0"/>
        <w:rPr>
          <w:rFonts w:eastAsia="Times New Roman"/>
          <w:noProof/>
          <w:color w:val="000000"/>
          <w:szCs w:val="24"/>
        </w:rPr>
      </w:pPr>
      <w:r>
        <w:rPr>
          <w:noProof/>
          <w:color w:val="000000"/>
        </w:rPr>
        <w:t xml:space="preserve">Всички въпроси, възникнали във връзка с прилагането на настоящото споразумение, се разглеждат съвместно от компетентните органи на бившата югославска република Македония и от представители на Агенцията, която се консултира с държавата членка или държавите членки, граничещи с бившата югославска република Македония. </w:t>
      </w:r>
    </w:p>
    <w:p>
      <w:pPr>
        <w:spacing w:before="0"/>
        <w:rPr>
          <w:rFonts w:eastAsia="Times New Roman"/>
          <w:noProof/>
          <w:color w:val="000000"/>
          <w:szCs w:val="24"/>
        </w:rPr>
      </w:pPr>
      <w:r>
        <w:rPr>
          <w:noProof/>
          <w:color w:val="000000"/>
        </w:rPr>
        <w:t>Ако не бъде постигнато предварително споразумение, споровете относно тълкуването или прилагането на настоящото споразумение се уреждат единствено чрез преговори между бившата югославска република Македония и Европейската комисия, която се консултира с всяка държава членка, граничеща с бившата югославска република Македония.</w:t>
      </w:r>
    </w:p>
    <w:p>
      <w:pPr>
        <w:rPr>
          <w:rFonts w:eastAsia="Times New Roman"/>
          <w:i/>
          <w:noProof/>
          <w:color w:val="000000"/>
          <w:szCs w:val="24"/>
        </w:rPr>
      </w:pPr>
      <w:r>
        <w:rPr>
          <w:i/>
          <w:noProof/>
          <w:color w:val="000000"/>
        </w:rPr>
        <w:t>Компетентни органи за изпълнението на споразумението</w:t>
      </w:r>
    </w:p>
    <w:p>
      <w:pPr>
        <w:spacing w:after="240"/>
        <w:rPr>
          <w:rFonts w:eastAsia="Times New Roman"/>
          <w:b/>
          <w:noProof/>
          <w:color w:val="000000"/>
          <w:szCs w:val="24"/>
        </w:rPr>
      </w:pPr>
      <w:r>
        <w:rPr>
          <w:noProof/>
          <w:color w:val="000000"/>
        </w:rPr>
        <w:t>За бившата югославска република Македония компетентният орган за изпълнението на настоящото споразумение е Министерството на вътрешните работи. За Европейския съюз това е Европейската агенция за гранична и брегова охрана.</w:t>
      </w:r>
    </w:p>
    <w:p>
      <w:pPr>
        <w:rPr>
          <w:rFonts w:eastAsia="Times New Roman"/>
          <w:i/>
          <w:noProof/>
          <w:color w:val="000000"/>
          <w:szCs w:val="24"/>
        </w:rPr>
      </w:pPr>
      <w:r>
        <w:rPr>
          <w:i/>
          <w:noProof/>
          <w:color w:val="000000"/>
        </w:rPr>
        <w:t>Съвместна декларация</w:t>
      </w:r>
    </w:p>
    <w:p>
      <w:pPr>
        <w:spacing w:after="240"/>
        <w:rPr>
          <w:rFonts w:eastAsia="Times New Roman"/>
          <w:noProof/>
          <w:color w:val="000000"/>
          <w:szCs w:val="24"/>
        </w:rPr>
      </w:pPr>
      <w:r>
        <w:rPr>
          <w:noProof/>
          <w:color w:val="000000"/>
        </w:rPr>
        <w:t>Двете страни се съгласяват, че въздържането от предприемане на мерки, които има вероятност да застрашат евентуално последващо наказателно преследване на член на екипа от компетентните органи на приемащата държава, включва въздържане от активно улесняване на връщането на засегнатия член на екипа от оперативните помещения на Европейската агенция за гранична и брегова охрана в бившата югославска република Македония в неговата изпращаща държава членка, в очакване на удостоверението от изпълнителния директор на Агенцията.</w:t>
      </w:r>
    </w:p>
    <w:p>
      <w:pPr>
        <w:spacing w:before="0"/>
        <w:rPr>
          <w:rFonts w:eastAsia="Times New Roman"/>
          <w:noProof/>
          <w:color w:val="000000"/>
          <w:szCs w:val="24"/>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2018/0318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сключването, от името на Съюза, на споразумението между Европейския съюз и бившата югославска република Македония за статуса на действия, провеждани от Европейската агенция за гранична и брегова охрана в бившата югославска република Македония</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77, параграф 2, букви б) и г) и член 79, параграф 2, буква в), във връзка с член 218, параграф 6, буква а</w:t>
      </w:r>
      <w:r>
        <w:rPr>
          <w:rStyle w:val="CommentReference"/>
          <w:noProof/>
        </w:rPr>
        <w:t>)</w:t>
      </w:r>
      <w:r>
        <w:rPr>
          <w:noProof/>
        </w:rPr>
        <w:t xml:space="preserve"> от него,</w:t>
      </w:r>
    </w:p>
    <w:p>
      <w:pPr>
        <w:rPr>
          <w:noProof/>
        </w:rPr>
      </w:pPr>
      <w:r>
        <w:rPr>
          <w:noProof/>
        </w:rPr>
        <w:t>като взе предвид предложението на Европейската комисия,</w:t>
      </w:r>
    </w:p>
    <w:p>
      <w:pPr>
        <w:rPr>
          <w:noProof/>
        </w:rPr>
      </w:pPr>
      <w:r>
        <w:rPr>
          <w:noProof/>
        </w:rPr>
        <w:t>като взе предвид одобрението на Европейския парламент</w:t>
      </w:r>
      <w:r>
        <w:rPr>
          <w:rStyle w:val="FootnoteReference"/>
          <w:noProof/>
        </w:rPr>
        <w:footnoteReference w:id="3"/>
      </w:r>
      <w:r>
        <w:rPr>
          <w:noProof/>
        </w:rPr>
        <w:t>,</w:t>
      </w:r>
    </w:p>
    <w:p>
      <w:pPr>
        <w:rPr>
          <w:noProof/>
        </w:rPr>
      </w:pPr>
      <w:r>
        <w:rPr>
          <w:noProof/>
        </w:rPr>
        <w:t>като има предвид, че:</w:t>
      </w:r>
    </w:p>
    <w:p>
      <w:pPr>
        <w:pStyle w:val="ManualConsidrant"/>
        <w:rPr>
          <w:noProof/>
        </w:rPr>
      </w:pPr>
      <w:r>
        <w:t>(1)</w:t>
      </w:r>
      <w:r>
        <w:tab/>
      </w:r>
      <w:r>
        <w:rPr>
          <w:noProof/>
        </w:rPr>
        <w:t>В съответствие с Решение 2018/XXX на Съвета от […] г. споразумението между Европейския съюз и бившата югославска република Македония за статуса на действия, провеждани от Европейската агенция за гранична и брегова охрана в бившата югославска република Македония, беше подписано от […] на […..] г., при условие че бъде сключено.</w:t>
      </w:r>
    </w:p>
    <w:p>
      <w:pPr>
        <w:pStyle w:val="ManualConsidrant"/>
        <w:rPr>
          <w:noProof/>
        </w:rPr>
      </w:pPr>
      <w:r>
        <w:t>(2)</w:t>
      </w:r>
      <w:r>
        <w:tab/>
      </w:r>
      <w:r>
        <w:rPr>
          <w:noProof/>
        </w:rPr>
        <w:t xml:space="preserve">Съгласно член 54, параграф 4 от Регламент (ЕС) 2016/1624, когато се предвижда разполагане на европейски екипи за гранична и брегова охрана в трета държава за действия, при които членовете на екипите ще разполагат с изпълнителни правомощия, или когато това се налага за други действия в трета държава, Съюзът сключва споразумение за статуса със съответната трета държава. Споразумението за статуса обхваща всички аспекти, необходими за провеждане на действията. </w:t>
      </w:r>
    </w:p>
    <w:p>
      <w:pPr>
        <w:pStyle w:val="ManualConsidrant"/>
        <w:rPr>
          <w:noProof/>
        </w:rPr>
      </w:pPr>
      <w:r>
        <w:t>(3)</w:t>
      </w:r>
      <w:r>
        <w:tab/>
      </w:r>
      <w:r>
        <w:rPr>
          <w:noProof/>
        </w:rPr>
        <w:t xml:space="preserve">Благодарение на това споразумение за статуса и в съответствие с оперативния план европейски екипи за гранична и брегова охрана могат бързо да бъдат разположени на територията на бившата югославска република Македония и да реагират на текущата промяна на миграционните потоци към крайбрежния маршрут, както и да подпомагат управлението на външните граници и борбата с контрабандата на мигранти. </w:t>
      </w:r>
    </w:p>
    <w:p>
      <w:pPr>
        <w:pStyle w:val="ManualConsidrant"/>
        <w:rPr>
          <w:noProof/>
          <w:szCs w:val="24"/>
        </w:rPr>
      </w:pPr>
      <w:r>
        <w:t>(4)</w:t>
      </w:r>
      <w:r>
        <w:tab/>
      </w:r>
      <w:r>
        <w:rPr>
          <w:noProof/>
        </w:rPr>
        <w:t>Настоящото решение представлява развитие на разпоредбите на достиженията на правото от Шенген, в които Обединеното кралство не участва, в съответствие с Решение 2000/365/ЕО на Съвета</w:t>
      </w:r>
      <w:r>
        <w:rPr>
          <w:rStyle w:val="FootnoteReference"/>
          <w:noProof/>
        </w:rPr>
        <w:footnoteReference w:id="4"/>
      </w:r>
      <w:r>
        <w:rPr>
          <w:noProof/>
        </w:rPr>
        <w:t xml:space="preserve">; следователно Обединеното кралство не участва в неговото приемане и не е обвързано от него, нито от неговото прилагане. </w:t>
      </w:r>
    </w:p>
    <w:p>
      <w:pPr>
        <w:pStyle w:val="ManualConsidrant"/>
        <w:rPr>
          <w:noProof/>
          <w:szCs w:val="24"/>
        </w:rPr>
      </w:pPr>
      <w:r>
        <w:t>(5)</w:t>
      </w:r>
      <w:r>
        <w:tab/>
      </w:r>
      <w:r>
        <w:rPr>
          <w:noProof/>
        </w:rPr>
        <w:t>Настоящото решение представлява развитие на разпоредбите на достиженията на правото от Шенген, в които Ирландия не участва в съответствие с Решение 2002/192/ЕО на Съвета</w:t>
      </w:r>
      <w:r>
        <w:rPr>
          <w:rStyle w:val="FootnoteReference"/>
          <w:noProof/>
        </w:rPr>
        <w:footnoteReference w:id="5"/>
      </w:r>
      <w:r>
        <w:rPr>
          <w:noProof/>
        </w:rPr>
        <w:t>; следователно Ирландия не участва в неговото приемане и не е обвързана от него, нито от неговото прилагане.</w:t>
      </w:r>
    </w:p>
    <w:p>
      <w:pPr>
        <w:pStyle w:val="ManualConsidrant"/>
        <w:rPr>
          <w:noProof/>
        </w:rPr>
      </w:pPr>
      <w:r>
        <w:t>(6)</w:t>
      </w:r>
      <w:r>
        <w:tab/>
      </w:r>
      <w:r>
        <w:rPr>
          <w:noProof/>
        </w:rPr>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настоящото решение и не е обвързана от него, нито от неговото прилагане.</w:t>
      </w:r>
    </w:p>
    <w:p>
      <w:pPr>
        <w:pStyle w:val="ManualConsidrant"/>
        <w:rPr>
          <w:noProof/>
        </w:rPr>
      </w:pPr>
      <w:r>
        <w:t>(7)</w:t>
      </w:r>
      <w:r>
        <w:tab/>
      </w:r>
      <w:r>
        <w:rPr>
          <w:noProof/>
        </w:rPr>
        <w:t>Поради това споразумението за статуса следва да бъде одобрено от името на Европейския съюз,</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Споразумението между Европейския съюз и бившата югославска република Македония за статуса на действия, провеждани от Европейската агенция за гранична и брегова охрана в бившата югославска република Македония се одобрява от името на Съюза.</w:t>
      </w:r>
    </w:p>
    <w:p>
      <w:pPr>
        <w:rPr>
          <w:noProof/>
        </w:rPr>
      </w:pPr>
      <w:r>
        <w:rPr>
          <w:noProof/>
        </w:rPr>
        <w:t>Текстът на споразумението е приложен към настоящото решение.</w:t>
      </w:r>
    </w:p>
    <w:p>
      <w:pPr>
        <w:pStyle w:val="Titrearticle"/>
        <w:keepNext w:val="0"/>
      </w:pPr>
      <w:r>
        <w:rPr>
          <w:noProof/>
        </w:rPr>
        <w:t>Член 2</w:t>
      </w:r>
    </w:p>
    <w:p>
      <w:pPr>
        <w:rPr>
          <w:noProof/>
        </w:rPr>
      </w:pPr>
      <w:r>
        <w:rPr>
          <w:noProof/>
        </w:rPr>
        <w:t>Председателят на Съвета посочва лицето, което е упълномощено да извърши от името на Европейския съюз нотификацията, предвидена в член 12, параграф 5 от споразумението.</w:t>
      </w:r>
    </w:p>
    <w:p>
      <w:pPr>
        <w:pStyle w:val="Titrearticle"/>
        <w:rPr>
          <w:noProof/>
          <w:color w:val="0000FF"/>
        </w:rPr>
      </w:pPr>
      <w:r>
        <w:rPr>
          <w:noProof/>
        </w:rPr>
        <w:t>Член 3</w:t>
      </w:r>
    </w:p>
    <w:p>
      <w:pPr>
        <w:keepLines/>
        <w:rPr>
          <w:noProof/>
        </w:rPr>
      </w:pPr>
      <w:r>
        <w:rPr>
          <w:noProof/>
        </w:rPr>
        <w:t xml:space="preserve">Настоящото решение влиза в сила в деня на приемането му. </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96074A" w15:done="0"/>
  <w15:commentEx w15:paraId="4EFD13EC" w15:done="0"/>
  <w15:commentEx w15:paraId="54F6D919" w15:done="0"/>
  <w15:commentEx w15:paraId="195E0905" w15:done="0"/>
  <w15:commentEx w15:paraId="41CACA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251, 16.9.2016 г., стр. 1.</w:t>
      </w:r>
    </w:p>
  </w:footnote>
  <w:footnote w:id="2">
    <w:p>
      <w:pPr>
        <w:pStyle w:val="FootnoteText"/>
      </w:pPr>
      <w:r>
        <w:rPr>
          <w:rStyle w:val="FootnoteReference"/>
        </w:rPr>
        <w:footnoteRef/>
      </w:r>
      <w:r>
        <w:tab/>
        <w:t>ОВ L 334, 19.12.2007 г., стр. 7.</w:t>
      </w:r>
    </w:p>
  </w:footnote>
  <w:footnote w:id="3">
    <w:p>
      <w:pPr>
        <w:pStyle w:val="FootnoteText"/>
      </w:pPr>
      <w:r>
        <w:rPr>
          <w:rStyle w:val="FootnoteReference"/>
        </w:rPr>
        <w:footnoteRef/>
      </w:r>
      <w:r>
        <w:tab/>
        <w:t xml:space="preserve">ОВ С […], […] г., стр. […]. </w:t>
      </w:r>
    </w:p>
  </w:footnote>
  <w:footnote w:id="4">
    <w:p>
      <w:pPr>
        <w:pStyle w:val="FootnoteText"/>
      </w:pPr>
      <w:r>
        <w:rPr>
          <w:rStyle w:val="FootnoteReference"/>
        </w:rPr>
        <w:footnoteRef/>
      </w:r>
      <w:r>
        <w:tab/>
        <w:t>Решение 2000/365/ЕО на Съвета от 29 май 2000 г. относно искането на Обединеното кралство Великобритания и Северна Ирландия да участва в някои разпоредби от достиженията на правото от Шенген (ОВ L 131, 1.6.2000 г., стр. 43).</w:t>
      </w:r>
    </w:p>
  </w:footnote>
  <w:footnote w:id="5">
    <w:p>
      <w:pPr>
        <w:pStyle w:val="FootnoteText"/>
      </w:pPr>
      <w:r>
        <w:rPr>
          <w:rStyle w:val="FootnoteReference"/>
        </w:rPr>
        <w:footnoteRef/>
      </w:r>
      <w:r>
        <w:tab/>
        <w:t>Решение 2002/192/ЕО на Съвета от 28 февруари 2002 г. относно искането на Ирландия да участва в някои разпоредби от достиженията на правото от Шенген (ОВ L 64, 7.3.2002 г., стр. 20).</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7C42E3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BC2F0CE"/>
    <w:lvl w:ilvl="0">
      <w:start w:val="1"/>
      <w:numFmt w:val="decimal"/>
      <w:pStyle w:val="ListNumber3"/>
      <w:lvlText w:val="%1."/>
      <w:lvlJc w:val="left"/>
      <w:pPr>
        <w:tabs>
          <w:tab w:val="num" w:pos="926"/>
        </w:tabs>
        <w:ind w:left="926" w:hanging="360"/>
      </w:pPr>
    </w:lvl>
  </w:abstractNum>
  <w:abstractNum w:abstractNumId="2">
    <w:nsid w:val="FFFFFF7F"/>
    <w:multiLevelType w:val="singleLevel"/>
    <w:tmpl w:val="D6A4D198"/>
    <w:lvl w:ilvl="0">
      <w:start w:val="1"/>
      <w:numFmt w:val="decimal"/>
      <w:pStyle w:val="ListNumber2"/>
      <w:lvlText w:val="%1."/>
      <w:lvlJc w:val="left"/>
      <w:pPr>
        <w:tabs>
          <w:tab w:val="num" w:pos="643"/>
        </w:tabs>
        <w:ind w:left="643" w:hanging="360"/>
      </w:pPr>
    </w:lvl>
  </w:abstractNum>
  <w:abstractNum w:abstractNumId="3">
    <w:nsid w:val="FFFFFF81"/>
    <w:multiLevelType w:val="singleLevel"/>
    <w:tmpl w:val="15666B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3D6E4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7862F0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8469B6"/>
    <w:lvl w:ilvl="0">
      <w:start w:val="1"/>
      <w:numFmt w:val="decimal"/>
      <w:pStyle w:val="ListNumber"/>
      <w:lvlText w:val="%1."/>
      <w:lvlJc w:val="left"/>
      <w:pPr>
        <w:tabs>
          <w:tab w:val="num" w:pos="360"/>
        </w:tabs>
        <w:ind w:left="360" w:hanging="360"/>
      </w:pPr>
    </w:lvl>
  </w:abstractNum>
  <w:abstractNum w:abstractNumId="7">
    <w:nsid w:val="FFFFFF89"/>
    <w:multiLevelType w:val="singleLevel"/>
    <w:tmpl w:val="80B871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S Geert (SJ)">
    <w15:presenceInfo w15:providerId="None" w15:userId="WILS Geert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8-28 12:29:1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F22F852-E0AE-4AA7-8037-ADD75539675C"/>
    <w:docVar w:name="LW_COVERPAGE_TYPE" w:val="1"/>
    <w:docVar w:name="LW_CROSSREFERENCE" w:val="&lt;UNUSED&gt;"/>
    <w:docVar w:name="LW_DocType" w:val="COM"/>
    <w:docVar w:name="LW_EMISSION" w:val="5.9.2018"/>
    <w:docVar w:name="LW_EMISSION_ISODATE" w:val="2018-09-05"/>
    <w:docVar w:name="LW_EMISSION_LOCATION" w:val="BRX"/>
    <w:docVar w:name="LW_EMISSION_PREFIX" w:val="Брюксел,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318"/>
    <w:docVar w:name="LW_REF.II.NEW.CP_YEAR" w:val="2018"/>
    <w:docVar w:name="LW_REF.INST.NEW" w:val="COM"/>
    <w:docVar w:name="LW_REF.INST.NEW_ADOPTED" w:val="final"/>
    <w:docVar w:name="LW_REF.INST.NEW_TEXT" w:val="(2018) 6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9?\u1082?\u1083?\u1102?\u1095?\u1074?\u1072?\u1085?\u1077?\u1090?\u1086?, \u1086?\u1090? \u1080?\u1084?\u1077?\u1090?\u1086? \u1085?\u1072? \u1057?\u1098?\u1102?\u1079?\u1072?, \u1085?\u1072? \u1089?\u1087?\u1086?\u1088?\u1072?\u1079?\u1091?\u1084?\u1077?\u1085?\u1080?\u1077?\u1090?\u1086? \u1084?\u1077?\u1078?\u1076?\u1091? \u1045?\u1074?\u1088?\u1086?\u1087?\u1077?\u1081?\u1089?\u1082?\u1080?\u1103? \u1089?\u1098?\u1102?\u1079? \u1080? \u1073?\u1080?\u1074?\u1096?\u1072?\u1090?\u1072? \u1102?\u1075?\u1086?\u1089?\u1083?\u1072?\u1074?\u1089?\u1082?\u1072? \u1088?\u1077?\u1087?\u1091?\u1073?\u1083?\u1080?\u1082?\u1072? \u1052?\u1072?\u1082?\u1077?\u1076?\u1086?\u1085?\u1080?\u1103? \u1079?\u1072? \u1089?\u1090?\u1072?\u1090?\u1091?\u1089?\u1072? \u1085?\u1072? \u1076?\u1077?\u1081?\u1089?\u1090?\u1074?\u1080?\u1103?, \u1087?\u1088?\u1086?\u1074?\u1077?\u1078?\u1076?\u1072?\u1085?\u1080? \u1086?\u1090? \u1045?\u1074?\u1088?\u1086?\u1087?\u1077?\u1081?\u1089?\u1082?\u1072?\u1090?\u1072? \u1072?\u1075?\u1077?\u1085?\u1094?\u1080?\u1103? \u1079?\u1072? \u1075?\u1088?\u1072?\u1085?\u1080?\u1095?\u1085?\u1072? \u1080? \u1073?\u1088?\u1077?\u1075?\u1086?\u1074?\u1072? \u1086?\u1093?\u1088?\u1072?\u1085?\u1072? \u1074? \u1073?\u1080?\u1074?\u1096?\u1072?\u1090?\u1072? \u1102?\u1075?\u1086?\u1089?\u1083?\u1072?\u1074?\u1089?\u1082?\u1072? \u1088?\u1077?\u1087?\u1091?\u1073?\u1083?\u1080?\u1082?\u1072? \u1052?\u1072?\u1082?\u1077?\u1076?\u1086?\u1085?\u1080?\u1103?"/>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strike w:val="0"/>
      <w:dstrike w:val="0"/>
      <w:color w:val="0065A2"/>
      <w:u w:val="none"/>
      <w:effect w:val="non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strike w:val="0"/>
      <w:dstrike w:val="0"/>
      <w:color w:val="0065A2"/>
      <w:u w:val="none"/>
      <w:effect w:val="non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99D2-55BC-49AD-AB7E-372777B6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3927</Words>
  <Characters>23994</Characters>
  <Application>Microsoft Office Word</Application>
  <DocSecurity>0</DocSecurity>
  <Lines>436</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2018-07-24T08:06:00Z</cp:lastPrinted>
  <dcterms:created xsi:type="dcterms:W3CDTF">2018-08-22T12:49:00Z</dcterms:created>
  <dcterms:modified xsi:type="dcterms:W3CDTF">2018-08-28T10:29:00Z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