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  <w:lang w:val="en-GB"/>
        </w:rPr>
      </w:pPr>
      <w:bookmarkStart w:id="0" w:name="LW_BM_COVERPAGE"/>
      <w:r>
        <w:rPr>
          <w:noProof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636FE7B8-7019-4590-AF8B-09F8AA90E6A2" style="width:450.4pt;height:392.65pt">
            <v:imagedata r:id="rId9" o:title=""/>
          </v:shape>
        </w:pict>
      </w:r>
    </w:p>
    <w:bookmarkEnd w:id="0"/>
    <w:p>
      <w:pPr>
        <w:rPr>
          <w:noProof/>
          <w:lang w:val="en-GB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0"/>
          <w:cols w:space="720"/>
          <w:docGrid w:linePitch="360"/>
        </w:sectPr>
      </w:pPr>
    </w:p>
    <w:p>
      <w:pPr>
        <w:rPr>
          <w:b/>
          <w:noProof/>
          <w:color w:val="000000"/>
          <w:u w:val="single"/>
          <w:lang w:val="en-GB"/>
        </w:rPr>
      </w:pPr>
      <w:bookmarkStart w:id="1" w:name="_GoBack"/>
      <w:bookmarkEnd w:id="1"/>
      <w:r>
        <w:rPr>
          <w:b/>
          <w:noProof/>
          <w:color w:val="000000"/>
          <w:u w:val="single"/>
          <w:lang w:val="en-GB"/>
        </w:rPr>
        <w:lastRenderedPageBreak/>
        <w:t>Annex 1</w:t>
      </w:r>
    </w:p>
    <w:p>
      <w:pPr>
        <w:rPr>
          <w:b/>
          <w:noProof/>
          <w:color w:val="000000"/>
          <w:sz w:val="20"/>
          <w:szCs w:val="20"/>
          <w:u w:val="single"/>
          <w:lang w:val="en-GB"/>
        </w:rPr>
      </w:pPr>
    </w:p>
    <w:p>
      <w:pPr>
        <w:rPr>
          <w:b/>
          <w:noProof/>
          <w:color w:val="000000"/>
          <w:u w:val="single"/>
          <w:lang w:val="en-GB"/>
        </w:rPr>
      </w:pPr>
      <w:r>
        <w:rPr>
          <w:b/>
          <w:noProof/>
          <w:color w:val="000000"/>
          <w:u w:val="single"/>
          <w:lang w:val="en-GB"/>
        </w:rPr>
        <w:t>Commission inspections as at 31.12.2017 of appropriate authorities and airports (initial and follow-up inspections)</w:t>
      </w:r>
    </w:p>
    <w:p>
      <w:pPr>
        <w:rPr>
          <w:b/>
          <w:noProof/>
          <w:color w:val="000000"/>
          <w:u w:val="single"/>
          <w:lang w:val="en-GB"/>
        </w:rPr>
      </w:pPr>
    </w:p>
    <w:tbl>
      <w:tblPr>
        <w:tblW w:w="0" w:type="auto"/>
        <w:tblInd w:w="1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3118"/>
        <w:gridCol w:w="3118"/>
      </w:tblGrid>
      <w:tr>
        <w:tc>
          <w:tcPr>
            <w:tcW w:w="1626" w:type="dxa"/>
            <w:tcBorders>
              <w:top w:val="single" w:sz="4" w:space="0" w:color="auto"/>
            </w:tcBorders>
            <w:shd w:val="clear" w:color="auto" w:fill="D9D9D9"/>
          </w:tcPr>
          <w:p>
            <w:pPr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State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Number of inspections from</w:t>
            </w: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br/>
              <w:t>01/2017-12/2017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Total number of inspections since 2004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Austria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16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Belgium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18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Bulgaria</w:t>
            </w: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13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6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Cyprus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10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12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Denmark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17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Estonia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8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Finland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15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France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29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30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Greece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21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ind w:right="163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Hungary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10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Ireland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16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Italy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28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9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Lithuania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9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Luxembourg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10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Malta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7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Netherlands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15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17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Portugal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17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Romania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11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Slovak Republic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9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Slovenia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8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Spain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28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Sweden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19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United Kingdom</w:t>
            </w: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30</w:t>
            </w:r>
          </w:p>
        </w:tc>
      </w:tr>
      <w:tr>
        <w:tc>
          <w:tcPr>
            <w:tcW w:w="1626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Non-EU Member: Switzerland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18" w:type="dxa"/>
          </w:tcPr>
          <w:p>
            <w:pPr>
              <w:jc w:val="center"/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11</w:t>
            </w:r>
          </w:p>
        </w:tc>
      </w:tr>
      <w:tr>
        <w:trPr>
          <w:trHeight w:hRule="exact" w:val="397"/>
        </w:trPr>
        <w:tc>
          <w:tcPr>
            <w:tcW w:w="1626" w:type="dxa"/>
          </w:tcPr>
          <w:p>
            <w:pPr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3118" w:type="dxa"/>
          </w:tcPr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31</w:t>
            </w:r>
          </w:p>
        </w:tc>
        <w:tc>
          <w:tcPr>
            <w:tcW w:w="3118" w:type="dxa"/>
          </w:tcPr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449</w:t>
            </w:r>
          </w:p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</w:p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</w:p>
        </w:tc>
      </w:tr>
    </w:tbl>
    <w:p>
      <w:pPr>
        <w:rPr>
          <w:b/>
          <w:noProof/>
          <w:color w:val="000000"/>
          <w:u w:val="single"/>
          <w:lang w:val="en-GB"/>
        </w:rPr>
      </w:pPr>
      <w:r>
        <w:rPr>
          <w:noProof/>
          <w:color w:val="000000"/>
          <w:lang w:val="en-GB"/>
        </w:rPr>
        <w:br w:type="page"/>
      </w:r>
    </w:p>
    <w:p>
      <w:pPr>
        <w:rPr>
          <w:b/>
          <w:noProof/>
          <w:color w:val="000000"/>
          <w:u w:val="single"/>
          <w:lang w:val="en-GB"/>
        </w:rPr>
      </w:pPr>
      <w:r>
        <w:rPr>
          <w:b/>
          <w:noProof/>
          <w:color w:val="000000"/>
          <w:u w:val="single"/>
          <w:lang w:val="en-GB"/>
        </w:rPr>
        <w:lastRenderedPageBreak/>
        <w:t>EFTA Surveillance Authority inspections as at 31.12.2017 of appropriate authorities and airports (initial and follow-up inspections)</w:t>
      </w:r>
    </w:p>
    <w:p>
      <w:pPr>
        <w:rPr>
          <w:b/>
          <w:noProof/>
          <w:color w:val="000000"/>
          <w:u w:val="single"/>
          <w:lang w:val="en-GB"/>
        </w:rPr>
      </w:pPr>
    </w:p>
    <w:p>
      <w:pPr>
        <w:rPr>
          <w:b/>
          <w:noProof/>
          <w:color w:val="000000"/>
          <w:u w:val="single"/>
          <w:lang w:val="en-GB"/>
        </w:rPr>
      </w:pPr>
    </w:p>
    <w:tbl>
      <w:tblPr>
        <w:tblW w:w="0" w:type="auto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</w:tblGrid>
      <w:tr>
        <w:tc>
          <w:tcPr>
            <w:tcW w:w="2322" w:type="dxa"/>
            <w:shd w:val="clear" w:color="auto" w:fill="D9D9D9"/>
          </w:tcPr>
          <w:p>
            <w:pPr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State</w:t>
            </w:r>
          </w:p>
        </w:tc>
        <w:tc>
          <w:tcPr>
            <w:tcW w:w="2322" w:type="dxa"/>
            <w:shd w:val="clear" w:color="auto" w:fill="D9D9D9"/>
          </w:tcPr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Number of inspections from 01/2017-12/2017</w:t>
            </w:r>
          </w:p>
        </w:tc>
        <w:tc>
          <w:tcPr>
            <w:tcW w:w="2322" w:type="dxa"/>
            <w:shd w:val="clear" w:color="auto" w:fill="D9D9D9"/>
          </w:tcPr>
          <w:p>
            <w:pPr>
              <w:jc w:val="center"/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Total number of inspections since 2004</w:t>
            </w:r>
          </w:p>
        </w:tc>
      </w:tr>
      <w:tr>
        <w:trPr>
          <w:trHeight w:hRule="exact" w:val="397"/>
        </w:trPr>
        <w:tc>
          <w:tcPr>
            <w:tcW w:w="2322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Iceland</w:t>
            </w:r>
          </w:p>
        </w:tc>
        <w:tc>
          <w:tcPr>
            <w:tcW w:w="2322" w:type="dxa"/>
          </w:tcPr>
          <w:p>
            <w:pPr>
              <w:jc w:val="center"/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2322" w:type="dxa"/>
          </w:tcPr>
          <w:p>
            <w:pPr>
              <w:jc w:val="center"/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  <w:t>14</w:t>
            </w:r>
          </w:p>
        </w:tc>
      </w:tr>
      <w:tr>
        <w:trPr>
          <w:trHeight w:hRule="exact" w:val="397"/>
        </w:trPr>
        <w:tc>
          <w:tcPr>
            <w:tcW w:w="2322" w:type="dxa"/>
          </w:tcPr>
          <w:p>
            <w:pPr>
              <w:rPr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noProof/>
                <w:color w:val="000000"/>
                <w:sz w:val="18"/>
                <w:szCs w:val="18"/>
                <w:lang w:val="en-GB"/>
              </w:rPr>
              <w:t>Norway</w:t>
            </w:r>
          </w:p>
        </w:tc>
        <w:tc>
          <w:tcPr>
            <w:tcW w:w="2322" w:type="dxa"/>
          </w:tcPr>
          <w:p>
            <w:pPr>
              <w:jc w:val="center"/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2322" w:type="dxa"/>
          </w:tcPr>
          <w:p>
            <w:pPr>
              <w:jc w:val="center"/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  <w:t>52</w:t>
            </w:r>
          </w:p>
        </w:tc>
      </w:tr>
      <w:tr>
        <w:trPr>
          <w:trHeight w:hRule="exact" w:val="397"/>
        </w:trPr>
        <w:tc>
          <w:tcPr>
            <w:tcW w:w="2322" w:type="dxa"/>
          </w:tcPr>
          <w:p>
            <w:pPr>
              <w:rPr>
                <w:b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2322" w:type="dxa"/>
          </w:tcPr>
          <w:p>
            <w:pPr>
              <w:jc w:val="center"/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2322" w:type="dxa"/>
          </w:tcPr>
          <w:p>
            <w:pPr>
              <w:jc w:val="center"/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i/>
                <w:noProof/>
                <w:color w:val="000000"/>
                <w:sz w:val="18"/>
                <w:szCs w:val="18"/>
                <w:lang w:val="en-GB"/>
              </w:rPr>
              <w:t>66</w:t>
            </w:r>
          </w:p>
        </w:tc>
      </w:tr>
    </w:tbl>
    <w:p>
      <w:pPr>
        <w:rPr>
          <w:noProof/>
          <w:color w:val="000000"/>
          <w:lang w:val="en-GB"/>
        </w:rPr>
      </w:pPr>
      <w:bookmarkStart w:id="2" w:name="_CopyToNewDocument_"/>
      <w:bookmarkEnd w:id="2"/>
    </w:p>
    <w:p>
      <w:pPr>
        <w:rPr>
          <w:noProof/>
          <w:lang w:val="en-GB"/>
        </w:rPr>
      </w:pPr>
    </w:p>
    <w:p>
      <w:pPr>
        <w:rPr>
          <w:noProof/>
          <w:lang w:val="en-GB"/>
        </w:rPr>
      </w:pPr>
    </w:p>
    <w:p>
      <w:pPr>
        <w:jc w:val="both"/>
        <w:rPr>
          <w:noProof/>
          <w:lang w:val="en-GB"/>
        </w:rPr>
      </w:pPr>
    </w:p>
    <w:p>
      <w:pPr>
        <w:rPr>
          <w:b/>
          <w:noProof/>
          <w:u w:val="single"/>
          <w:lang w:val="en-GB"/>
        </w:rPr>
      </w:pPr>
      <w:r>
        <w:rPr>
          <w:noProof/>
          <w:lang w:val="en-GB"/>
        </w:rPr>
        <w:br w:type="page"/>
      </w:r>
      <w:r>
        <w:rPr>
          <w:b/>
          <w:noProof/>
          <w:u w:val="single"/>
          <w:lang w:val="en-GB"/>
        </w:rPr>
        <w:t>Annex 2</w:t>
      </w:r>
    </w:p>
    <w:p>
      <w:pPr>
        <w:rPr>
          <w:b/>
          <w:noProof/>
          <w:u w:val="single"/>
          <w:lang w:val="en-GB"/>
        </w:rPr>
      </w:pPr>
    </w:p>
    <w:p>
      <w:pPr>
        <w:rPr>
          <w:b/>
          <w:noProof/>
          <w:u w:val="single"/>
          <w:lang w:val="en-GB"/>
        </w:rPr>
      </w:pPr>
      <w:r>
        <w:rPr>
          <w:b/>
          <w:noProof/>
          <w:u w:val="single"/>
          <w:lang w:val="en-GB"/>
        </w:rPr>
        <w:t>Supplementary legislation adopted during 2017:</w:t>
      </w:r>
    </w:p>
    <w:p>
      <w:pPr>
        <w:rPr>
          <w:b/>
          <w:noProof/>
          <w:sz w:val="20"/>
          <w:szCs w:val="20"/>
          <w:u w:val="single"/>
          <w:lang w:val="en-GB"/>
        </w:rPr>
      </w:pPr>
    </w:p>
    <w:p>
      <w:pPr>
        <w:pStyle w:val="doc-ti"/>
        <w:jc w:val="both"/>
        <w:rPr>
          <w:noProof/>
          <w:lang w:eastAsia="en-US"/>
        </w:rPr>
      </w:pPr>
      <w:r>
        <w:rPr>
          <w:noProof/>
          <w:lang w:eastAsia="en-US"/>
        </w:rPr>
        <w:t>Commission Implementing Regulation (EU) 2017/815 of 12 May 2017 amending Implementing Regulation (EU) 2015/1998 as regards clarification, harmonisation and simplification of certain specific aviation security measures (Text with EEA relevance. ),</w:t>
      </w:r>
      <w:r>
        <w:rPr>
          <w:noProof/>
        </w:rPr>
        <w:t xml:space="preserve"> </w:t>
      </w:r>
      <w:r>
        <w:rPr>
          <w:noProof/>
          <w:lang w:eastAsia="en-US"/>
        </w:rPr>
        <w:t>OJ L 122, 13.5.2017, p. 1–68.</w:t>
      </w:r>
    </w:p>
    <w:p>
      <w:pPr>
        <w:pStyle w:val="doc-ti"/>
        <w:jc w:val="both"/>
        <w:rPr>
          <w:noProof/>
          <w:lang w:eastAsia="en-US"/>
        </w:rPr>
      </w:pPr>
      <w:r>
        <w:rPr>
          <w:noProof/>
          <w:lang w:eastAsia="en-US"/>
        </w:rPr>
        <w:t>Commission Implementing Regulation (EU) 2017/837 of 17 May 2017 correcting the Polish and Swedish language versions of Implementing Regulation (EU) 2015/1998 laying down detailed measures for the implementation of the common basic standards on aviation security (Text with EEA relevance. ); OJ L 125, 18.5.2017, p. 3–4.</w:t>
      </w:r>
    </w:p>
    <w:p>
      <w:pPr>
        <w:pStyle w:val="doc-ti"/>
        <w:jc w:val="both"/>
        <w:rPr>
          <w:noProof/>
        </w:rPr>
      </w:pPr>
      <w:r>
        <w:rPr>
          <w:noProof/>
          <w:lang w:eastAsia="en-US"/>
        </w:rPr>
        <w:t>Decision C(2017)3030 of 15.5.2017 amending Implementing Decision C(2015) 8005 as regards clarification, harmonisation and simplification of certain specific aviation security measures.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lang w:val="en-GB"/>
      </w:rPr>
    </w:pPr>
  </w:p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62792"/>
    <w:multiLevelType w:val="hybridMultilevel"/>
    <w:tmpl w:val="795AD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593082"/>
    <w:multiLevelType w:val="singleLevel"/>
    <w:tmpl w:val="EDE069AC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">
    <w:nsid w:val="75C26F71"/>
    <w:multiLevelType w:val="multilevel"/>
    <w:tmpl w:val="E01E770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fr-BE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636FE7B8-7019-4590-AF8B-09F8AA90E6A2"/>
    <w:docVar w:name="LW_COVERPAGE_TYPE" w:val="1"/>
    <w:docVar w:name="LW_CROSSREFERENCE" w:val="&lt;UNUSED&gt;"/>
    <w:docVar w:name="LW_DocType" w:val="NORMAL"/>
    <w:docVar w:name="LW_EMISSION" w:val="16.4.2019"/>
    <w:docVar w:name="LW_EMISSION_ISODATE" w:val="2019-04-16"/>
    <w:docVar w:name="LW_EMISSION_LOCATION" w:val="BRX"/>
    <w:docVar w:name="LW_EMISSION_PREFIX" w:val="Brussels, "/>
    <w:docVar w:name="LW_EMISSION_SUFFIX" w:val="&lt;EMPTY&gt;"/>
    <w:docVar w:name="LW_ID_DOCTYPE_NONLW" w:val="CP-039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2017 ANNUAL REPORT ON THE IMPLEMENTATION OF REGULATION (EC) N° 300/2008 ON COMMON RULES IN THE FIELD OF CIVIL AVIATION SECURITY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9) 183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_PREVIOUS" w:val="&lt;UNUSED&gt;"/>
    <w:docVar w:name="LW_TYPE.DOC.CP" w:val="ANNEXES_x000b_"/>
    <w:docVar w:name="LW_TYPEACTEPRINCIPAL.CP" w:val="REPORT FROM THE COMMISSION TO THE EUROPEAN PARLIAMENT AND THE COUNC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360" w:after="120"/>
      <w:jc w:val="both"/>
      <w:outlineLvl w:val="0"/>
    </w:pPr>
    <w:rPr>
      <w:b/>
      <w:bCs/>
      <w:smallCaps/>
      <w:szCs w:val="32"/>
      <w:lang w:val="en-GB" w:eastAsia="en-US"/>
    </w:rPr>
  </w:style>
  <w:style w:type="paragraph" w:styleId="Heading2">
    <w:name w:val="heading 2"/>
    <w:basedOn w:val="Normal"/>
    <w:next w:val="Text1"/>
    <w:qFormat/>
    <w:pPr>
      <w:keepNext/>
      <w:numPr>
        <w:ilvl w:val="1"/>
        <w:numId w:val="1"/>
      </w:numPr>
      <w:spacing w:before="120" w:after="120"/>
      <w:jc w:val="both"/>
      <w:outlineLvl w:val="1"/>
    </w:pPr>
    <w:rPr>
      <w:b/>
      <w:bCs/>
      <w:iCs/>
      <w:szCs w:val="28"/>
      <w:lang w:val="en-GB" w:eastAsia="en-US"/>
    </w:rPr>
  </w:style>
  <w:style w:type="paragraph" w:styleId="Heading3">
    <w:name w:val="heading 3"/>
    <w:basedOn w:val="Normal"/>
    <w:next w:val="Text1"/>
    <w:qFormat/>
    <w:pPr>
      <w:keepNext/>
      <w:numPr>
        <w:ilvl w:val="2"/>
        <w:numId w:val="1"/>
      </w:numPr>
      <w:spacing w:before="120" w:after="120"/>
      <w:jc w:val="both"/>
      <w:outlineLvl w:val="2"/>
    </w:pPr>
    <w:rPr>
      <w:bCs/>
      <w:i/>
      <w:szCs w:val="26"/>
      <w:lang w:val="en-GB" w:eastAsia="en-US"/>
    </w:rPr>
  </w:style>
  <w:style w:type="paragraph" w:styleId="Heading4">
    <w:name w:val="heading 4"/>
    <w:basedOn w:val="Normal"/>
    <w:next w:val="Text1"/>
    <w:qFormat/>
    <w:pPr>
      <w:keepNext/>
      <w:numPr>
        <w:ilvl w:val="3"/>
        <w:numId w:val="1"/>
      </w:numPr>
      <w:spacing w:before="120" w:after="120"/>
      <w:jc w:val="both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5"/>
        <w:tab w:val="right" w:pos="9071"/>
      </w:tabs>
      <w:spacing w:before="120" w:after="120"/>
      <w:jc w:val="both"/>
    </w:pPr>
    <w:rPr>
      <w:lang w:val="en-GB" w:eastAsia="en-US"/>
    </w:rPr>
  </w:style>
  <w:style w:type="paragraph" w:styleId="FootnoteText">
    <w:name w:val="footnote text"/>
    <w:basedOn w:val="Normal"/>
    <w:link w:val="FootnoteTextChar"/>
    <w:semiHidden/>
    <w:pPr>
      <w:ind w:left="720" w:hanging="720"/>
      <w:jc w:val="both"/>
    </w:pPr>
    <w:rPr>
      <w:sz w:val="20"/>
      <w:szCs w:val="20"/>
      <w:lang w:val="en-GB" w:eastAsia="en-US"/>
    </w:rPr>
  </w:style>
  <w:style w:type="character" w:styleId="FootnoteReference">
    <w:name w:val="footnote reference"/>
    <w:semiHidden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lang w:val="en-GB" w:eastAsia="en-US"/>
    </w:r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b/>
      <w:smallCaps/>
      <w:lang w:val="en-GB" w:eastAsia="en-US"/>
    </w:rPr>
  </w:style>
  <w:style w:type="paragraph" w:customStyle="1" w:styleId="Bullet0">
    <w:name w:val="Bullet 0"/>
    <w:basedOn w:val="Normal"/>
    <w:pPr>
      <w:numPr>
        <w:numId w:val="2"/>
      </w:numPr>
      <w:spacing w:before="120" w:after="120"/>
      <w:jc w:val="both"/>
    </w:pPr>
    <w:rPr>
      <w:lang w:val="en-GB" w:eastAsia="en-US"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  <w:lang w:val="en-GB" w:eastAsia="en-US"/>
    </w:rPr>
  </w:style>
  <w:style w:type="paragraph" w:customStyle="1" w:styleId="Typedudocument">
    <w:name w:val="Type du document"/>
    <w:basedOn w:val="Normal"/>
    <w:next w:val="Titreobjet"/>
    <w:pPr>
      <w:spacing w:before="360"/>
      <w:jc w:val="center"/>
    </w:pPr>
    <w:rPr>
      <w:b/>
      <w:lang w:val="en-GB" w:eastAsia="en-US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120" w:after="120"/>
      <w:jc w:val="both"/>
    </w:pPr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FooterCoverPage">
    <w:name w:val="Footer Cover Page"/>
    <w:basedOn w:val="Normal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paragraph" w:customStyle="1" w:styleId="HeaderCoverPage">
    <w:name w:val="Header Cover Page"/>
    <w:basedOn w:val="Normal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FootnoteTextChar">
    <w:name w:val="Footnote Text Char"/>
    <w:link w:val="FootnoteText"/>
    <w:semiHidden/>
    <w:rPr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val="fr-FR" w:eastAsia="fr-F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fr-FR" w:eastAsia="fr-FR"/>
    </w:rPr>
  </w:style>
  <w:style w:type="character" w:customStyle="1" w:styleId="Heading1Char">
    <w:name w:val="Heading 1 Char"/>
    <w:link w:val="Heading1"/>
    <w:rPr>
      <w:b/>
      <w:bCs/>
      <w:smallCaps/>
      <w:sz w:val="24"/>
      <w:szCs w:val="32"/>
      <w:lang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fr-FR" w:eastAsia="fr-FR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lang w:val="fr-FR" w:eastAsia="fr-FR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Re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oc-ti">
    <w:name w:val="doc-ti"/>
    <w:basedOn w:val="Normal"/>
    <w:pPr>
      <w:spacing w:before="100" w:beforeAutospacing="1" w:after="100" w:afterAutospacing="1"/>
    </w:pPr>
    <w:rPr>
      <w:lang w:val="en-GB" w:eastAsia="en-GB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link w:val="FooterSensitivity"/>
    <w:rPr>
      <w:b/>
      <w:sz w:val="32"/>
      <w:szCs w:val="24"/>
      <w:lang w:val="fr-FR" w:eastAsia="fr-FR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link w:val="HeaderSensitivity"/>
    <w:rPr>
      <w:b/>
      <w:sz w:val="32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360" w:after="120"/>
      <w:jc w:val="both"/>
      <w:outlineLvl w:val="0"/>
    </w:pPr>
    <w:rPr>
      <w:b/>
      <w:bCs/>
      <w:smallCaps/>
      <w:szCs w:val="32"/>
      <w:lang w:val="en-GB" w:eastAsia="en-US"/>
    </w:rPr>
  </w:style>
  <w:style w:type="paragraph" w:styleId="Heading2">
    <w:name w:val="heading 2"/>
    <w:basedOn w:val="Normal"/>
    <w:next w:val="Text1"/>
    <w:qFormat/>
    <w:pPr>
      <w:keepNext/>
      <w:numPr>
        <w:ilvl w:val="1"/>
        <w:numId w:val="1"/>
      </w:numPr>
      <w:spacing w:before="120" w:after="120"/>
      <w:jc w:val="both"/>
      <w:outlineLvl w:val="1"/>
    </w:pPr>
    <w:rPr>
      <w:b/>
      <w:bCs/>
      <w:iCs/>
      <w:szCs w:val="28"/>
      <w:lang w:val="en-GB" w:eastAsia="en-US"/>
    </w:rPr>
  </w:style>
  <w:style w:type="paragraph" w:styleId="Heading3">
    <w:name w:val="heading 3"/>
    <w:basedOn w:val="Normal"/>
    <w:next w:val="Text1"/>
    <w:qFormat/>
    <w:pPr>
      <w:keepNext/>
      <w:numPr>
        <w:ilvl w:val="2"/>
        <w:numId w:val="1"/>
      </w:numPr>
      <w:spacing w:before="120" w:after="120"/>
      <w:jc w:val="both"/>
      <w:outlineLvl w:val="2"/>
    </w:pPr>
    <w:rPr>
      <w:bCs/>
      <w:i/>
      <w:szCs w:val="26"/>
      <w:lang w:val="en-GB" w:eastAsia="en-US"/>
    </w:rPr>
  </w:style>
  <w:style w:type="paragraph" w:styleId="Heading4">
    <w:name w:val="heading 4"/>
    <w:basedOn w:val="Normal"/>
    <w:next w:val="Text1"/>
    <w:qFormat/>
    <w:pPr>
      <w:keepNext/>
      <w:numPr>
        <w:ilvl w:val="3"/>
        <w:numId w:val="1"/>
      </w:numPr>
      <w:spacing w:before="120" w:after="120"/>
      <w:jc w:val="both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5"/>
        <w:tab w:val="right" w:pos="9071"/>
      </w:tabs>
      <w:spacing w:before="120" w:after="120"/>
      <w:jc w:val="both"/>
    </w:pPr>
    <w:rPr>
      <w:lang w:val="en-GB" w:eastAsia="en-US"/>
    </w:rPr>
  </w:style>
  <w:style w:type="paragraph" w:styleId="FootnoteText">
    <w:name w:val="footnote text"/>
    <w:basedOn w:val="Normal"/>
    <w:link w:val="FootnoteTextChar"/>
    <w:semiHidden/>
    <w:pPr>
      <w:ind w:left="720" w:hanging="720"/>
      <w:jc w:val="both"/>
    </w:pPr>
    <w:rPr>
      <w:sz w:val="20"/>
      <w:szCs w:val="20"/>
      <w:lang w:val="en-GB" w:eastAsia="en-US"/>
    </w:rPr>
  </w:style>
  <w:style w:type="character" w:styleId="FootnoteReference">
    <w:name w:val="footnote reference"/>
    <w:semiHidden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lang w:val="en-GB" w:eastAsia="en-US"/>
    </w:r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b/>
      <w:smallCaps/>
      <w:lang w:val="en-GB" w:eastAsia="en-US"/>
    </w:rPr>
  </w:style>
  <w:style w:type="paragraph" w:customStyle="1" w:styleId="Bullet0">
    <w:name w:val="Bullet 0"/>
    <w:basedOn w:val="Normal"/>
    <w:pPr>
      <w:numPr>
        <w:numId w:val="2"/>
      </w:numPr>
      <w:spacing w:before="120" w:after="120"/>
      <w:jc w:val="both"/>
    </w:pPr>
    <w:rPr>
      <w:lang w:val="en-GB" w:eastAsia="en-US"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  <w:lang w:val="en-GB" w:eastAsia="en-US"/>
    </w:rPr>
  </w:style>
  <w:style w:type="paragraph" w:customStyle="1" w:styleId="Typedudocument">
    <w:name w:val="Type du document"/>
    <w:basedOn w:val="Normal"/>
    <w:next w:val="Titreobjet"/>
    <w:pPr>
      <w:spacing w:before="360"/>
      <w:jc w:val="center"/>
    </w:pPr>
    <w:rPr>
      <w:b/>
      <w:lang w:val="en-GB" w:eastAsia="en-US"/>
    </w:rPr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120" w:after="120"/>
      <w:jc w:val="both"/>
    </w:pPr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FooterCoverPage">
    <w:name w:val="Footer Cover Page"/>
    <w:basedOn w:val="Normal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paragraph" w:customStyle="1" w:styleId="HeaderCoverPage">
    <w:name w:val="Header Cover Page"/>
    <w:basedOn w:val="Normal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FootnoteTextChar">
    <w:name w:val="Footnote Text Char"/>
    <w:link w:val="FootnoteText"/>
    <w:semiHidden/>
    <w:rPr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val="fr-FR" w:eastAsia="fr-F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fr-FR" w:eastAsia="fr-FR"/>
    </w:rPr>
  </w:style>
  <w:style w:type="character" w:customStyle="1" w:styleId="Heading1Char">
    <w:name w:val="Heading 1 Char"/>
    <w:link w:val="Heading1"/>
    <w:rPr>
      <w:b/>
      <w:bCs/>
      <w:smallCaps/>
      <w:sz w:val="24"/>
      <w:szCs w:val="32"/>
      <w:lang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fr-FR" w:eastAsia="fr-FR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lang w:val="fr-FR" w:eastAsia="fr-FR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Re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oc-ti">
    <w:name w:val="doc-ti"/>
    <w:basedOn w:val="Normal"/>
    <w:pPr>
      <w:spacing w:before="100" w:beforeAutospacing="1" w:after="100" w:afterAutospacing="1"/>
    </w:pPr>
    <w:rPr>
      <w:lang w:val="en-GB" w:eastAsia="en-GB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link w:val="FooterSensitivity"/>
    <w:rPr>
      <w:b/>
      <w:sz w:val="32"/>
      <w:szCs w:val="24"/>
      <w:lang w:val="fr-FR" w:eastAsia="fr-FR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link w:val="HeaderSensitivity"/>
    <w:rPr>
      <w:b/>
      <w:sz w:val="3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AD66-49AF-4829-8EB7-02706CC6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283</Words>
  <Characters>1510</Characters>
  <Application>Microsoft Office Word</Application>
  <DocSecurity>0</DocSecurity>
  <Lines>167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Cidalia (MOVE)</dc:creator>
  <cp:lastModifiedBy>WES PDFC Administrator</cp:lastModifiedBy>
  <cp:revision>7</cp:revision>
  <cp:lastPrinted>2018-04-30T15:23:00Z</cp:lastPrinted>
  <dcterms:created xsi:type="dcterms:W3CDTF">2019-04-05T08:41:00Z</dcterms:created>
  <dcterms:modified xsi:type="dcterms:W3CDTF">2019-04-10T14:22:00Z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rst annex">
    <vt:lpwstr>1</vt:lpwstr>
  </property>
  <property fmtid="{D5CDD505-2E9C-101B-9397-08002B2CF9AE}" pid="4" name="Last annex">
    <vt:lpwstr>2</vt:lpwstr>
  </property>
  <property fmtid="{D5CDD505-2E9C-101B-9397-08002B2CF9AE}" pid="5" name="Part">
    <vt:lpwstr>&lt;UNUSED&gt;</vt:lpwstr>
  </property>
  <property fmtid="{D5CDD505-2E9C-101B-9397-08002B2CF9AE}" pid="6" name="Total parts">
    <vt:lpwstr>&lt;UNUSED&gt;</vt:lpwstr>
  </property>
  <property fmtid="{D5CDD505-2E9C-101B-9397-08002B2CF9AE}" pid="7" name="DocStatus">
    <vt:lpwstr>Green</vt:lpwstr>
  </property>
  <property fmtid="{D5CDD505-2E9C-101B-9397-08002B2CF9AE}" pid="8" name="Level of sensitivity">
    <vt:lpwstr>Standard treatment</vt:lpwstr>
  </property>
  <property fmtid="{D5CDD505-2E9C-101B-9397-08002B2CF9AE}" pid="9" name="Unique annex">
    <vt:lpwstr>0</vt:lpwstr>
  </property>
  <property fmtid="{D5CDD505-2E9C-101B-9397-08002B2CF9AE}" pid="10" name="Last edited using">
    <vt:lpwstr>LW 6.0.1, Build 20180503</vt:lpwstr>
  </property>
  <property fmtid="{D5CDD505-2E9C-101B-9397-08002B2CF9AE}" pid="11" name="Created using">
    <vt:lpwstr>LW 6.0.1, Build 20180503</vt:lpwstr>
  </property>
</Properties>
</file>