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0EC37E3B-774D-4CE8-8787-B64C0ACB263A" style="width:450.75pt;height:351.7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ОБЯСНИТЕЛЕН МЕМОРАНДУМ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highlight w:val="yellow"/>
        </w:rPr>
      </w:pPr>
      <w:r>
        <w:rPr>
          <w:noProof/>
        </w:rPr>
        <w:t>На 12 декември 2018 г. Европейският парламент и Съветът решиха да се мобилизира Инструментът за гъвкавост за сума в размер на 1 164 милиона евро: 179 милиона евро за функция 1а „Конкурентоспособност за растеж и работни места“ за засилване на ключови програми за конкурентоспособност (а именно „Хоризонт 2020“ и „Еразъм+“) и 985,6 милиона евро за функция 3 съгласно предложението на Комисията.</w:t>
      </w:r>
      <w:r>
        <w:rPr>
          <w:noProof/>
          <w:highlight w:val="yellow"/>
        </w:rPr>
        <w:t xml:space="preserve"> </w:t>
      </w:r>
    </w:p>
    <w:p>
      <w:pPr>
        <w:rPr>
          <w:bCs/>
          <w:noProof/>
        </w:rPr>
      </w:pPr>
      <w:r>
        <w:rPr>
          <w:noProof/>
        </w:rPr>
        <w:t>Днес Комисията представя проект на коригиращ бюджет № 4/2019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, който включва намаляване на равнището на бюджетните кредити за поети задължения за функции 1а и 3, което води до намаляване на необходимостта от използване на Инструмента за гъвкавост. Настоящото предложение придружава този ПКБ и има за цел съответно коригиране на сумите, мобилизирани по линия на Инструмента за гъвкавост, като същевременно се спазват целите на мобилизирането. </w:t>
      </w:r>
    </w:p>
    <w:p>
      <w:pPr>
        <w:rPr>
          <w:bCs/>
          <w:noProof/>
        </w:rPr>
      </w:pPr>
      <w:r>
        <w:rPr>
          <w:noProof/>
        </w:rPr>
        <w:t>Коригираното мобилизиране на средства по линия на Инструмента за гъвкавост ще възлиза на 1 090 милиона евро (от 1 164 милиона евро), от които 160 милиона евро за функция 1а и 930 милиона евро за функция 3.</w:t>
      </w:r>
    </w:p>
    <w:p>
      <w:pPr>
        <w:rPr>
          <w:noProof/>
        </w:rPr>
      </w:pPr>
      <w:r>
        <w:rPr>
          <w:noProof/>
        </w:rPr>
        <w:t>Предложеното решение за мобилизиране на средства ще измени Решение (ЕС) 2019/276 от 12 декември 2018 г.</w:t>
      </w:r>
      <w:r>
        <w:rPr>
          <w:rStyle w:val="FootnoteReference"/>
          <w:noProof/>
        </w:rPr>
        <w:footnoteReference w:id="2"/>
      </w:r>
    </w:p>
    <w:p>
      <w:pPr>
        <w:rPr>
          <w:noProof/>
        </w:rPr>
      </w:pPr>
      <w:r>
        <w:rPr>
          <w:noProof/>
        </w:rPr>
        <w:t>Индикативните бюджетни кредити за плащания, съответстващи на предлаганото намалено мобилизиране на средства по линия на Инструмента за гъвкавост, са представени в таблицата по-долу:</w:t>
      </w:r>
    </w:p>
    <w:p>
      <w:pPr>
        <w:ind w:left="5040" w:firstLine="720"/>
        <w:jc w:val="left"/>
        <w:rPr>
          <w:noProof/>
        </w:rPr>
      </w:pPr>
      <w:r>
        <w:rPr>
          <w:i/>
          <w:noProof/>
          <w:sz w:val="16"/>
        </w:rPr>
        <w:t>(в милиони евро по текущи цени)</w:t>
      </w:r>
    </w:p>
    <w:tbl>
      <w:tblPr>
        <w:tblW w:w="7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04"/>
      </w:tblGrid>
      <w:tr>
        <w:trPr>
          <w:jc w:val="center"/>
        </w:trPr>
        <w:tc>
          <w:tcPr>
            <w:tcW w:w="1560" w:type="dxa"/>
            <w:shd w:val="clear" w:color="auto" w:fill="D9D9D9"/>
          </w:tcPr>
          <w:p>
            <w:pPr>
              <w:spacing w:before="30" w:after="30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Година</w:t>
            </w:r>
          </w:p>
        </w:tc>
        <w:tc>
          <w:tcPr>
            <w:tcW w:w="5604" w:type="dxa"/>
            <w:shd w:val="clear" w:color="auto" w:fill="D9D9D9"/>
          </w:tcPr>
          <w:p>
            <w:pPr>
              <w:spacing w:before="30" w:after="30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Бюджетни кредити за плащания, свързани с мобилизирането на средства по линия на Инструмента за гъвкавост през 2019 г.</w:t>
            </w:r>
          </w:p>
        </w:tc>
      </w:tr>
      <w:tr>
        <w:trPr>
          <w:jc w:val="center"/>
        </w:trPr>
        <w:tc>
          <w:tcPr>
            <w:tcW w:w="1560" w:type="dxa"/>
            <w:shd w:val="clear" w:color="auto" w:fill="auto"/>
          </w:tcPr>
          <w:p>
            <w:pPr>
              <w:spacing w:before="30" w:after="3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2019 г.</w:t>
            </w:r>
          </w:p>
        </w:tc>
        <w:tc>
          <w:tcPr>
            <w:tcW w:w="5604" w:type="dxa"/>
            <w:shd w:val="clear" w:color="auto" w:fill="auto"/>
          </w:tcPr>
          <w:p>
            <w:pPr>
              <w:spacing w:before="30" w:after="30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511,5</w:t>
            </w:r>
          </w:p>
        </w:tc>
      </w:tr>
      <w:tr>
        <w:trPr>
          <w:jc w:val="center"/>
        </w:trPr>
        <w:tc>
          <w:tcPr>
            <w:tcW w:w="1560" w:type="dxa"/>
            <w:shd w:val="clear" w:color="auto" w:fill="auto"/>
          </w:tcPr>
          <w:p>
            <w:pPr>
              <w:spacing w:before="30" w:after="3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2020 г.</w:t>
            </w:r>
          </w:p>
        </w:tc>
        <w:tc>
          <w:tcPr>
            <w:tcW w:w="5604" w:type="dxa"/>
            <w:shd w:val="clear" w:color="auto" w:fill="auto"/>
          </w:tcPr>
          <w:p>
            <w:pPr>
              <w:spacing w:before="30" w:after="30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242,3</w:t>
            </w:r>
          </w:p>
        </w:tc>
      </w:tr>
      <w:tr>
        <w:trPr>
          <w:jc w:val="center"/>
        </w:trPr>
        <w:tc>
          <w:tcPr>
            <w:tcW w:w="1560" w:type="dxa"/>
            <w:shd w:val="clear" w:color="auto" w:fill="auto"/>
          </w:tcPr>
          <w:p>
            <w:pPr>
              <w:spacing w:before="30" w:after="3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2021 г.</w:t>
            </w:r>
          </w:p>
        </w:tc>
        <w:tc>
          <w:tcPr>
            <w:tcW w:w="5604" w:type="dxa"/>
            <w:shd w:val="clear" w:color="auto" w:fill="auto"/>
          </w:tcPr>
          <w:p>
            <w:pPr>
              <w:spacing w:before="30" w:after="30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126,3</w:t>
            </w:r>
          </w:p>
        </w:tc>
      </w:tr>
      <w:tr>
        <w:trPr>
          <w:jc w:val="center"/>
        </w:trPr>
        <w:tc>
          <w:tcPr>
            <w:tcW w:w="1560" w:type="dxa"/>
            <w:shd w:val="clear" w:color="auto" w:fill="auto"/>
          </w:tcPr>
          <w:p>
            <w:pPr>
              <w:spacing w:before="30" w:after="3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2022 г.</w:t>
            </w:r>
          </w:p>
        </w:tc>
        <w:tc>
          <w:tcPr>
            <w:tcW w:w="5604" w:type="dxa"/>
            <w:shd w:val="clear" w:color="auto" w:fill="auto"/>
          </w:tcPr>
          <w:p>
            <w:pPr>
              <w:spacing w:before="30" w:after="30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132,0</w:t>
            </w:r>
          </w:p>
        </w:tc>
      </w:tr>
      <w:tr>
        <w:trPr>
          <w:jc w:val="center"/>
        </w:trPr>
        <w:tc>
          <w:tcPr>
            <w:tcW w:w="1560" w:type="dxa"/>
            <w:shd w:val="clear" w:color="auto" w:fill="auto"/>
          </w:tcPr>
          <w:p>
            <w:pPr>
              <w:spacing w:before="30" w:after="3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2023 г.</w:t>
            </w:r>
          </w:p>
        </w:tc>
        <w:tc>
          <w:tcPr>
            <w:tcW w:w="5604" w:type="dxa"/>
            <w:shd w:val="clear" w:color="auto" w:fill="auto"/>
          </w:tcPr>
          <w:p>
            <w:pPr>
              <w:spacing w:before="30" w:after="30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78,3</w:t>
            </w:r>
          </w:p>
        </w:tc>
      </w:tr>
      <w:tr>
        <w:trPr>
          <w:jc w:val="center"/>
        </w:trPr>
        <w:tc>
          <w:tcPr>
            <w:tcW w:w="1560" w:type="dxa"/>
            <w:shd w:val="clear" w:color="auto" w:fill="D9D9D9"/>
          </w:tcPr>
          <w:p>
            <w:pPr>
              <w:spacing w:before="30" w:after="30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Общо</w:t>
            </w:r>
          </w:p>
        </w:tc>
        <w:tc>
          <w:tcPr>
            <w:tcW w:w="5604" w:type="dxa"/>
            <w:shd w:val="clear" w:color="auto" w:fill="D9D9D9"/>
          </w:tcPr>
          <w:p>
            <w:pPr>
              <w:spacing w:before="30" w:after="30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1 090,4</w:t>
            </w:r>
          </w:p>
        </w:tc>
      </w:tr>
    </w:tbl>
    <w:p>
      <w:pPr>
        <w:rPr>
          <w:noProof/>
        </w:rPr>
        <w:sectPr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Statut"/>
        <w:rPr>
          <w:noProof/>
        </w:rPr>
      </w:pPr>
      <w:r>
        <w:rPr>
          <w:noProof/>
        </w:rPr>
        <w:lastRenderedPageBreak/>
        <w:t>Предложение за</w:t>
      </w:r>
    </w:p>
    <w:p>
      <w:pPr>
        <w:pStyle w:val="Typedudocument"/>
        <w:rPr>
          <w:noProof/>
        </w:rPr>
      </w:pPr>
      <w:r>
        <w:rPr>
          <w:noProof/>
        </w:rPr>
        <w:t>РЕШЕНИЕ НА ЕВРОПЕЙСКИЯ ПАРЛАМЕНТ И НА СЪВЕТА</w:t>
      </w:r>
    </w:p>
    <w:p>
      <w:pPr>
        <w:pStyle w:val="Titreobjet"/>
        <w:rPr>
          <w:noProof/>
        </w:rPr>
      </w:pPr>
      <w:r>
        <w:rPr>
          <w:noProof/>
        </w:rPr>
        <w:t>за изменение на Решение (ЕС) 2019/276 по отношение на корекции на сумите, мобилизирани по линия на Инструмента за гъвкавост за 2019 г., които ще се използват за миграцията, притоците на бежанци и заплахите за сигурността</w:t>
      </w:r>
    </w:p>
    <w:p>
      <w:pPr>
        <w:pStyle w:val="Institutionquiagit"/>
        <w:rPr>
          <w:noProof/>
        </w:rPr>
      </w:pPr>
      <w:r>
        <w:rPr>
          <w:noProof/>
        </w:rPr>
        <w:t>ЕВРОПЕЙСКИЯТ ПАРЛАМЕНТ И СЪВЕТЪТ НА ЕВРОПЕЙСКИЯ СЪЮЗ,</w:t>
      </w:r>
    </w:p>
    <w:p>
      <w:pPr>
        <w:rPr>
          <w:noProof/>
        </w:rPr>
      </w:pPr>
      <w:r>
        <w:rPr>
          <w:noProof/>
        </w:rPr>
        <w:t>като взеха предвид Договора за функционирането на Европейския съюз,</w:t>
      </w:r>
    </w:p>
    <w:p>
      <w:pPr>
        <w:rPr>
          <w:noProof/>
        </w:rPr>
      </w:pPr>
      <w:r>
        <w:rPr>
          <w:noProof/>
        </w:rPr>
        <w:t>като взеха предвид Междуинституционалното споразумение от 2 декември 2013 г. между Европейския парламент, Съвета и Комисията относно бюджетната дисциплина, сътрудничеството по бюджетни въпроси и доброто финансово управление</w:t>
      </w:r>
      <w:r>
        <w:rPr>
          <w:rStyle w:val="FootnoteReference"/>
          <w:noProof/>
        </w:rPr>
        <w:footnoteReference w:id="3"/>
      </w:r>
      <w:r>
        <w:rPr>
          <w:noProof/>
        </w:rPr>
        <w:t>, и по-специално точка 12 от него,</w:t>
      </w:r>
    </w:p>
    <w:p>
      <w:pPr>
        <w:rPr>
          <w:noProof/>
        </w:rPr>
      </w:pPr>
      <w:r>
        <w:rPr>
          <w:noProof/>
        </w:rPr>
        <w:t>като взеха предвид предложението на Европейската комисия,</w:t>
      </w:r>
    </w:p>
    <w:p>
      <w:pPr>
        <w:rPr>
          <w:noProof/>
        </w:rPr>
      </w:pPr>
      <w:r>
        <w:rPr>
          <w:noProof/>
        </w:rPr>
        <w:t>като имат предвид, че: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Инструментът за гъвкавост е предназначен да позволи финансирането на ясно определени разходи, които не могат да се финансират в рамките на наличните тавани за една или повече функции.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Таванът за годишната сума, предоставена за Инструмента за гъвкавост, е 600 000 000 евро (по цени от 2011 г.), както е посочено в член 11 от Регламент (ЕС, Евратом) № 1311/2013 на Съвета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, увеличен, когато е приложимо, със сумите, които не могат да се пренасят повече, предоставени в съответствие с параграф 1, втора алинея от този член.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На 12 декември 2018 г. Европейският парламент и Съветът приеха Решение (ЕС) 2019/276</w:t>
      </w:r>
      <w:r>
        <w:rPr>
          <w:rStyle w:val="FootnoteReference"/>
          <w:noProof/>
          <w:spacing w:val="-4"/>
        </w:rPr>
        <w:footnoteReference w:id="5"/>
      </w:r>
      <w:r>
        <w:rPr>
          <w:noProof/>
        </w:rPr>
        <w:t xml:space="preserve"> относно мобилизирането на средства по линия на Инструмента за гъвкавост за 2019 финансова година над тавана по функция 1а (</w:t>
      </w:r>
      <w:r>
        <w:rPr>
          <w:i/>
          <w:noProof/>
        </w:rPr>
        <w:t>Конкурентоспособност за растеж и работни места</w:t>
      </w:r>
      <w:r>
        <w:rPr>
          <w:noProof/>
        </w:rPr>
        <w:t>) със сумата от 178 715 475 EUR за засилване на ключови програми за конкурентоспособност и над тавана за функция 3 (</w:t>
      </w:r>
      <w:r>
        <w:rPr>
          <w:i/>
          <w:noProof/>
        </w:rPr>
        <w:t>Сигурност и гражданство</w:t>
      </w:r>
      <w:r>
        <w:rPr>
          <w:noProof/>
        </w:rPr>
        <w:t>) със сумата от 985 629 138 EUR за финансиране на мерки в областта на миграцията, бежанците и сигурността.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Проект на коригиращ бюджет № 4/2019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включва намаляване на равнището на бюджетните кредити за поети задължения за функции 1а и 3, което води до намаляване на необходимостта от използване на Инструмента за гъвкавост. Поради това е необходимо да се коригират сумите, мобилизирани по </w:t>
      </w:r>
      <w:r>
        <w:rPr>
          <w:noProof/>
        </w:rPr>
        <w:lastRenderedPageBreak/>
        <w:t xml:space="preserve">Инструмента за гъвкавост за 2019 г., по съответния начин. Необходимо е също така да се коригира очакваният профил на плащанията. 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Поради това Решение (ЕС) 2019/276 следва да бъде съответно изменено.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Мобилизирането на средства по линия на Инструмента за гъвкавост се приема едновременно с изменението на бюджета за 2019 г., тъй като позволява финансирането на някои действия над тавана на многогодишната финансова рамка. За да се осигури съгласуваност с това изменение, настоящото решение следва да влезе в сила в деня на приемането му,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7"/>
      </w:tblGrid>
      <w:tr>
        <w:tc>
          <w:tcPr>
            <w:tcW w:w="0" w:type="auto"/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>
            <w:pPr>
              <w:spacing w:after="0" w:line="312" w:lineRule="atLeast"/>
              <w:rPr>
                <w:rFonts w:ascii="&amp;quot" w:eastAsia="Times New Roman" w:hAnsi="&amp;quot"/>
                <w:noProof/>
                <w:color w:val="444444"/>
                <w:szCs w:val="24"/>
              </w:rPr>
            </w:pPr>
          </w:p>
        </w:tc>
      </w:tr>
    </w:tbl>
    <w:p>
      <w:pPr>
        <w:pStyle w:val="Formuledadoption"/>
        <w:rPr>
          <w:noProof/>
        </w:rPr>
      </w:pPr>
      <w:r>
        <w:rPr>
          <w:noProof/>
        </w:rPr>
        <w:t xml:space="preserve">ПРИЕХА НАСТОЯЩОТО РЕШЕНИЕ: </w:t>
      </w:r>
    </w:p>
    <w:p>
      <w:pPr>
        <w:pStyle w:val="Titrearticle"/>
        <w:rPr>
          <w:noProof/>
        </w:rPr>
      </w:pPr>
      <w:r>
        <w:rPr>
          <w:noProof/>
        </w:rPr>
        <w:t>Член 1</w:t>
      </w:r>
    </w:p>
    <w:p>
      <w:pPr>
        <w:rPr>
          <w:noProof/>
        </w:rPr>
      </w:pPr>
      <w:r>
        <w:rPr>
          <w:noProof/>
        </w:rPr>
        <w:t>Член 1, параграф 1, първа алинея от Решение (ЕС) 2019/276 се изменя, както следва: „178 715 475 EUR“ се заменя със „160 195 475 EUR“, а „985 629 138 EUR“ се заменя с „930 188 138 EUR“. В параграф 2, първа алинея букви а)—д) се заменят със следното:</w:t>
      </w:r>
    </w:p>
    <w:p>
      <w:pPr>
        <w:pStyle w:val="QuotedText"/>
        <w:rPr>
          <w:noProof/>
        </w:rPr>
      </w:pPr>
      <w:r>
        <w:rPr>
          <w:noProof/>
        </w:rPr>
        <w:t>„а)</w:t>
      </w:r>
      <w:r>
        <w:rPr>
          <w:noProof/>
        </w:rPr>
        <w:tab/>
        <w:t>511 468 976 EUR през 2019 г.;</w:t>
      </w:r>
    </w:p>
    <w:p>
      <w:pPr>
        <w:pStyle w:val="QuotedText"/>
        <w:rPr>
          <w:noProof/>
        </w:rPr>
      </w:pPr>
      <w:r>
        <w:rPr>
          <w:noProof/>
        </w:rPr>
        <w:t>б)</w:t>
      </w:r>
      <w:r>
        <w:rPr>
          <w:noProof/>
        </w:rPr>
        <w:tab/>
        <w:t>242 308 256 EUR през 2020 г.;</w:t>
      </w:r>
    </w:p>
    <w:p>
      <w:pPr>
        <w:pStyle w:val="QuotedText"/>
        <w:rPr>
          <w:noProof/>
        </w:rPr>
      </w:pPr>
      <w:r>
        <w:rPr>
          <w:noProof/>
        </w:rPr>
        <w:t>в)</w:t>
      </w:r>
      <w:r>
        <w:rPr>
          <w:noProof/>
        </w:rPr>
        <w:tab/>
        <w:t>126 300 853 EUR през 2021 г.;</w:t>
      </w:r>
    </w:p>
    <w:p>
      <w:pPr>
        <w:pStyle w:val="QuotedText"/>
        <w:rPr>
          <w:noProof/>
        </w:rPr>
      </w:pPr>
      <w:r>
        <w:rPr>
          <w:noProof/>
        </w:rPr>
        <w:t>г)</w:t>
      </w:r>
      <w:r>
        <w:rPr>
          <w:noProof/>
        </w:rPr>
        <w:tab/>
        <w:t>131 990 641 EUR през 2022 г.;</w:t>
      </w:r>
    </w:p>
    <w:p>
      <w:pPr>
        <w:pStyle w:val="QuotedText"/>
        <w:rPr>
          <w:noProof/>
        </w:rPr>
      </w:pPr>
      <w:r>
        <w:rPr>
          <w:noProof/>
        </w:rPr>
        <w:t>д)</w:t>
      </w:r>
      <w:r>
        <w:rPr>
          <w:noProof/>
        </w:rPr>
        <w:tab/>
        <w:t>78 314 887 EUR през 2023 г.“</w:t>
      </w:r>
    </w:p>
    <w:p>
      <w:pPr>
        <w:pStyle w:val="Titrearticle"/>
        <w:rPr>
          <w:noProof/>
        </w:rPr>
      </w:pPr>
      <w:r>
        <w:rPr>
          <w:noProof/>
        </w:rPr>
        <w:t>Член 2</w:t>
      </w:r>
    </w:p>
    <w:p>
      <w:pPr>
        <w:keepNext/>
        <w:keepLines/>
        <w:rPr>
          <w:noProof/>
        </w:rPr>
      </w:pPr>
      <w:r>
        <w:rPr>
          <w:noProof/>
        </w:rPr>
        <w:t xml:space="preserve">Настоящото решение влиза в сила в деня на публикуването му в </w:t>
      </w:r>
      <w:r>
        <w:rPr>
          <w:i/>
          <w:noProof/>
        </w:rPr>
        <w:t>Официален вестник на Европейския съюз</w:t>
      </w:r>
      <w:r>
        <w:rPr>
          <w:noProof/>
        </w:rPr>
        <w:t>.</w:t>
      </w:r>
    </w:p>
    <w:p>
      <w:pPr>
        <w:pStyle w:val="Fait"/>
        <w:rPr>
          <w:noProof/>
        </w:rPr>
      </w:pPr>
      <w:r>
        <w:t xml:space="preserve">Съставено в Брюксел на </w:t>
      </w:r>
      <w:r>
        <w:rPr>
          <w:rStyle w:val="Marker"/>
        </w:rPr>
        <w:t>[…]</w:t>
      </w:r>
      <w:r>
        <w:t xml:space="preserve"> година.</w:t>
      </w:r>
    </w:p>
    <w:p>
      <w:pPr>
        <w:pStyle w:val="Institutionquisigne"/>
        <w:rPr>
          <w:noProof/>
        </w:rPr>
      </w:pPr>
      <w:r>
        <w:rPr>
          <w:noProof/>
        </w:rPr>
        <w:t>За Европейския парламент</w:t>
      </w:r>
      <w:r>
        <w:rPr>
          <w:noProof/>
        </w:rPr>
        <w:tab/>
        <w:t>За Съвета</w:t>
      </w:r>
    </w:p>
    <w:p>
      <w:pPr>
        <w:pStyle w:val="Personnequisigne"/>
        <w:rPr>
          <w:noProof/>
        </w:rPr>
      </w:pPr>
      <w:r>
        <w:rPr>
          <w:noProof/>
        </w:rPr>
        <w:t>Председател</w:t>
      </w:r>
      <w:r>
        <w:rPr>
          <w:noProof/>
        </w:rPr>
        <w:tab/>
        <w:t>Председател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8F66FC" w15:done="0"/>
  <w15:commentEx w15:paraId="475FBF07" w15:done="0"/>
  <w15:commentEx w15:paraId="64C2CC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COM(2019) 610, 2.7.2019 г.</w:t>
      </w:r>
    </w:p>
  </w:footnote>
  <w:footnote w:id="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ОВ L 54, 22.2.2019 г., стр. 3.</w:t>
      </w:r>
    </w:p>
  </w:footnote>
  <w:footnote w:id="3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ОВ C 373, 20.12.2013 г., стр. 1.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Регламент (ЕС, Евратом) № 1311/2013 на Съвета от 2 декември 2013 г. за определяне на многогодишната финансова рамка за годините 2014—2020 (ОВ L 347, 20.12.2013 г., стр. 884).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Решение (ЕС) 2019/276 на Европейския парламент и на Съвета от 12 декември 2018 г. относно мобилизирането на средства по линия на Инструмента за гъвкавост с цел засилване на ключови програми за конкурентоспособността на ЕС, както и за финансиране на незабавни бюджетни мерки за справяне с текущите предизвикателства на миграцията, притоците на бежанци и заплахите за сигурността (ОВ L 54, 22.2.2019 г., стр. 3).</w:t>
      </w:r>
    </w:p>
  </w:footnote>
  <w:footnote w:id="6">
    <w:p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ab/>
        <w:t>COM(2019) 610, 2 юли 2019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3EEB6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44F4D2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53895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3C4A54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D5C9A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303E2A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BA721C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CBE49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LNINS Edgars (SJ)">
    <w15:presenceInfo w15:providerId="None" w15:userId="KALNINS Edgars (SJ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07-12 13:58:57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0EC37E3B-774D-4CE8-8787-B64C0ACB263A"/>
    <w:docVar w:name="LW_COVERPAGE_TYPE" w:val="1"/>
    <w:docVar w:name="LW_CROSSREFERENCE" w:val="&lt;UNUSED&gt;"/>
    <w:docVar w:name="LW_DocType" w:val="COM"/>
    <w:docVar w:name="LW_EMISSION" w:val="2.7.2019"/>
    <w:docVar w:name="LW_EMISSION_ISODATE" w:val="2019-07-02"/>
    <w:docVar w:name="LW_EMISSION_LOCATION" w:val="BRX"/>
    <w:docVar w:name="LW_EMISSION_PREFIX" w:val="Брюксел, "/>
    <w:docVar w:name="LW_EMISSION_SUFFIX" w:val=" \u1075?."/>
    <w:docVar w:name="LW_ID_DOCMODEL" w:val="SJ-026"/>
    <w:docVar w:name="LW_ID_DOCSIGNATURE" w:val="SJ-026"/>
    <w:docVar w:name="LW_ID_DOCSTRUCTURE" w:val="COM/PL/ORG"/>
    <w:docVar w:name="LW_ID_DOCTYPE" w:val="SJ-026"/>
    <w:docVar w:name="LW_ID_EXP.MOTIFS.NEW" w:val="EM_PL_"/>
    <w:docVar w:name="LW_ID_STATUT" w:val="SJ-026"/>
    <w:docVar w:name="LW_INTERETEEE.CP" w:val="&lt;UNUSED&gt;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9"/>
    <w:docVar w:name="LW_REF.INST.NEW" w:val="COM"/>
    <w:docVar w:name="LW_REF.INST.NEW_ADOPTED" w:val="final"/>
    <w:docVar w:name="LW_REF.INST.NEW_TEXT" w:val="(2019) 60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\u1055?\u1088?\u1077?\u1076?\u1083?\u1086?\u1078?\u1077?\u1085?\u1080?\u1077? \u1079?\u1072?"/>
    <w:docVar w:name="LW_SUPERTITRE" w:val="&lt;UNUSED&gt;"/>
    <w:docVar w:name="LW_TITRE.OBJ.CP" w:val="\u1079?\u1072? \u1080?\u1079?\u1084?\u1077?\u1085?\u1077?\u1085?\u1080?\u1077? \u1085?\u1072? \u1056?\u1077?\u1096?\u1077?\u1085?\u1080?\u1077? (\u1045?\u1057?) 2019/276 \u1087?\u1086? \u1086?\u1090?\u1085?\u1086?\u1096?\u1077?\u1085?\u1080?\u1077? \u1085?\u1072? \u1082?\u1086?\u1088?\u1077?\u1082?\u1094?\u1080?\u1080? \u1085?\u1072? \u1089?\u1091?\u1084?\u1080?\u1090?\u1077?, \u1084?\u1086?\u1073?\u1080?\u1083?\u1080?\u1079?\u1080?\u1088?\u1072?\u1085?\u1080? \u1087?\u1086? \u1083?\u1080?\u1085?\u1080?\u1103? \u1085?\u1072? \u1048?\u1085?\u1089?\u1090?\u1088?\u1091?\u1084?\u1077?\u1085?\u1090?\u1072? \u1079?\u1072? \u1075?\u1098?\u1074?\u1082?\u1072?\u1074?\u1086?\u1089?\u1090? \u1079?\u1072? 2019 \u1075?., \u1082?\u1086?\u1080?\u1090?\u1086? \u1097?\u1077? \u1089?\u1077? \u1080?\u1079?\u1087?\u1086?\u1083?\u1079?\u1074?\u1072?\u1090? \u1079?\u1072? \u1084?\u1080?\u1075?\u1088?\u1072?\u1094?\u1080?\u1103?\u1090?\u1072?, \u1087?\u1088?\u1080?\u1090?\u1086?\u1094?\u1080?\u1090?\u1077? \u1085?\u1072? \u1073?\u1077?\u1078?\u1072?\u1085?\u1094?\u1080? \u1080? \u1079?\u1072?\u1087?\u1083?\u1072?\u1093?\u1080?\u1090?\u1077? \u1079?\u1072? \u1089?\u1080?\u1075?\u1091?\u1088?\u1085?\u1086?\u1089?\u1090?\u1090?\u1072?"/>
    <w:docVar w:name="LW_TYPE.DOC.CP" w:val="\u1056?\u1045?\u1064?\u1045?\u1053?\u1048?\u1045? \u1053?\u1040? \u1045?\u1042?\u1056?\u1054?\u1055?\u1045?\u1049?\u1057?\u1050?\u1048?\u1071? \u1055?\u1040?\u1056?\u1051?\u1040?\u1052?\u1045?\u1053?\u1058? \u1048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758739B-5FD8-4A38-9AC6-809702DC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4</Pages>
  <Words>775</Words>
  <Characters>4088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WES PDFC Administrator</cp:lastModifiedBy>
  <cp:revision>17</cp:revision>
  <cp:lastPrinted>2019-06-14T14:15:00Z</cp:lastPrinted>
  <dcterms:created xsi:type="dcterms:W3CDTF">2019-07-11T12:37:00Z</dcterms:created>
  <dcterms:modified xsi:type="dcterms:W3CDTF">2019-07-12T11:58:00Z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6.0.100.0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6.0.1, Build 20180503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SJ-026</vt:lpwstr>
  </property>
  <property fmtid="{D5CDD505-2E9C-101B-9397-08002B2CF9AE}" pid="10" name="DQCStatus">
    <vt:lpwstr>Green (DQC version 03)</vt:lpwstr>
  </property>
</Properties>
</file>