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000D" w:rsidRDefault="005600BE" w:rsidP="005600BE">
      <w:pPr>
        <w:pStyle w:val="Pagedecouverture"/>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0" type="#_x0000_t75" alt="E370C475-2537-48D3-9672-E961393E08EA" style="width:450.75pt;height:422.25pt">
            <v:imagedata r:id="rId8" o:title=""/>
          </v:shape>
        </w:pict>
      </w:r>
    </w:p>
    <w:p w:rsidR="0054000D" w:rsidRDefault="0054000D">
      <w:pPr>
        <w:pStyle w:val="Pagedecouverture"/>
        <w:rPr>
          <w:noProof/>
        </w:rPr>
        <w:sectPr w:rsidR="0054000D" w:rsidSect="005600BE">
          <w:headerReference w:type="even" r:id="rId9"/>
          <w:headerReference w:type="default" r:id="rId10"/>
          <w:footerReference w:type="even" r:id="rId11"/>
          <w:footerReference w:type="default" r:id="rId12"/>
          <w:headerReference w:type="first" r:id="rId13"/>
          <w:footerReference w:type="first" r:id="rId14"/>
          <w:pgSz w:w="11907" w:h="16839"/>
          <w:pgMar w:top="1134" w:right="1417" w:bottom="1134" w:left="1417" w:header="709" w:footer="709" w:gutter="0"/>
          <w:pgNumType w:start="0"/>
          <w:cols w:space="720"/>
          <w:docGrid w:linePitch="360"/>
        </w:sectPr>
      </w:pPr>
    </w:p>
    <w:p w:rsidR="0054000D" w:rsidRDefault="005600BE">
      <w:pPr>
        <w:pStyle w:val="Exposdesmotifstitre"/>
        <w:rPr>
          <w:noProof/>
        </w:rPr>
      </w:pPr>
      <w:bookmarkStart w:id="0" w:name="_GoBack"/>
      <w:bookmarkEnd w:id="0"/>
      <w:r>
        <w:rPr>
          <w:noProof/>
        </w:rPr>
        <w:lastRenderedPageBreak/>
        <w:t>EXPLANATORY MEMORANDUM</w:t>
      </w:r>
    </w:p>
    <w:p w:rsidR="0054000D" w:rsidRDefault="005600BE">
      <w:pPr>
        <w:pBdr>
          <w:top w:val="nil"/>
          <w:left w:val="nil"/>
          <w:bottom w:val="nil"/>
          <w:right w:val="nil"/>
          <w:between w:val="nil"/>
          <w:bar w:val="nil"/>
        </w:pBdr>
        <w:spacing w:before="240" w:after="240"/>
        <w:rPr>
          <w:noProof/>
          <w:szCs w:val="24"/>
        </w:rPr>
      </w:pPr>
      <w:r>
        <w:rPr>
          <w:noProof/>
          <w:szCs w:val="24"/>
        </w:rPr>
        <w:t>On 29 March 2017, the United Kingdom notified the European Council pursuant to Article 50 of the Treaty on European Union (TEU) of its intention to withdraw from the European Union and from the European Atomic Energy Community. In accordance with that prov</w:t>
      </w:r>
      <w:r>
        <w:rPr>
          <w:noProof/>
          <w:szCs w:val="24"/>
        </w:rPr>
        <w:t xml:space="preserve">ision, the European Union negotiated with the United Kingdom an agreement setting out the arrangements for its withdrawal (hereinafter “the Withdrawal Agreement”), taking account of the framework for its future relationship with the Union. </w:t>
      </w:r>
    </w:p>
    <w:p w:rsidR="0054000D" w:rsidRDefault="005600BE">
      <w:pPr>
        <w:pBdr>
          <w:top w:val="nil"/>
          <w:left w:val="nil"/>
          <w:bottom w:val="nil"/>
          <w:right w:val="nil"/>
          <w:between w:val="nil"/>
          <w:bar w:val="nil"/>
        </w:pBdr>
        <w:spacing w:after="240"/>
        <w:rPr>
          <w:noProof/>
          <w:szCs w:val="24"/>
        </w:rPr>
      </w:pPr>
      <w:r>
        <w:rPr>
          <w:noProof/>
          <w:szCs w:val="24"/>
        </w:rPr>
        <w:t>On 11 January 2</w:t>
      </w:r>
      <w:r>
        <w:rPr>
          <w:noProof/>
          <w:szCs w:val="24"/>
        </w:rPr>
        <w:t xml:space="preserve">019, the Council adopted </w:t>
      </w:r>
      <w:r>
        <w:rPr>
          <w:noProof/>
        </w:rPr>
        <w:t xml:space="preserve">Decision (EU) 2019/274 </w:t>
      </w:r>
      <w:r>
        <w:rPr>
          <w:noProof/>
          <w:szCs w:val="24"/>
        </w:rPr>
        <w:t>authorising the signature of the Withdrawal Agreement</w:t>
      </w:r>
      <w:r>
        <w:rPr>
          <w:rStyle w:val="FootnoteReference"/>
          <w:noProof/>
          <w:szCs w:val="24"/>
        </w:rPr>
        <w:footnoteReference w:id="1"/>
      </w:r>
      <w:r>
        <w:rPr>
          <w:noProof/>
          <w:szCs w:val="24"/>
        </w:rPr>
        <w:t xml:space="preserve"> and transmitted the draft Council Decision on the conclusion of the Withdrawal Agreement to the European Parliament for its consent. </w:t>
      </w:r>
    </w:p>
    <w:p w:rsidR="0054000D" w:rsidRDefault="005600BE">
      <w:pPr>
        <w:rPr>
          <w:noProof/>
          <w:szCs w:val="24"/>
        </w:rPr>
      </w:pPr>
      <w:r>
        <w:rPr>
          <w:noProof/>
          <w:lang w:val="en-US"/>
        </w:rPr>
        <w:t xml:space="preserve">However, the </w:t>
      </w:r>
      <w:r>
        <w:rPr>
          <w:noProof/>
          <w:lang w:val="en-US"/>
        </w:rPr>
        <w:t>Government of the United Kingdom did not obtain the necessary support from</w:t>
      </w:r>
      <w:r>
        <w:rPr>
          <w:noProof/>
        </w:rPr>
        <w:t xml:space="preserve"> its</w:t>
      </w:r>
      <w:r>
        <w:rPr>
          <w:noProof/>
          <w:lang w:val="en-US"/>
        </w:rPr>
        <w:t xml:space="preserve"> Parliament to proceed </w:t>
      </w:r>
      <w:r>
        <w:rPr>
          <w:noProof/>
        </w:rPr>
        <w:t xml:space="preserve">with </w:t>
      </w:r>
      <w:r>
        <w:rPr>
          <w:noProof/>
          <w:lang w:val="en-US"/>
        </w:rPr>
        <w:t xml:space="preserve">the signature and ratification of the Withdrawal Agreement and requested the European Council to extend the period provided in Article 50(3) TEU. The </w:t>
      </w:r>
      <w:r>
        <w:rPr>
          <w:noProof/>
          <w:szCs w:val="24"/>
        </w:rPr>
        <w:t>European</w:t>
      </w:r>
      <w:r>
        <w:rPr>
          <w:noProof/>
          <w:lang w:val="en-US"/>
        </w:rPr>
        <w:t xml:space="preserve"> Council granted initially an extension until 12 April 2019</w:t>
      </w:r>
      <w:r>
        <w:rPr>
          <w:rStyle w:val="FootnoteReference"/>
          <w:noProof/>
        </w:rPr>
        <w:footnoteReference w:id="2"/>
      </w:r>
      <w:r>
        <w:rPr>
          <w:noProof/>
        </w:rPr>
        <w:t>. That period was further extended until 31 October 2019</w:t>
      </w:r>
      <w:r>
        <w:rPr>
          <w:rStyle w:val="FootnoteReference"/>
          <w:noProof/>
        </w:rPr>
        <w:footnoteReference w:id="3"/>
      </w:r>
      <w:r>
        <w:rPr>
          <w:noProof/>
        </w:rPr>
        <w:t xml:space="preserve"> and thereafter until 31 January 2020</w:t>
      </w:r>
      <w:r>
        <w:rPr>
          <w:rStyle w:val="FootnoteReference"/>
          <w:noProof/>
        </w:rPr>
        <w:footnoteReference w:id="4"/>
      </w:r>
    </w:p>
    <w:p w:rsidR="0054000D" w:rsidRDefault="005600BE">
      <w:pPr>
        <w:rPr>
          <w:noProof/>
          <w:szCs w:val="24"/>
        </w:rPr>
      </w:pPr>
      <w:r>
        <w:rPr>
          <w:noProof/>
          <w:szCs w:val="24"/>
        </w:rPr>
        <w:t>The third paragraph of Article 185 of the Withdrawal Agreement provides that, when making th</w:t>
      </w:r>
      <w:r>
        <w:rPr>
          <w:noProof/>
          <w:szCs w:val="24"/>
        </w:rPr>
        <w:t>e written notification of the completion of its necessary internal procedures, the Union, in respect of any Member State which has raised reasons related to fundamental principles of national law of that Member State, may declare that, during the transitio</w:t>
      </w:r>
      <w:r>
        <w:rPr>
          <w:noProof/>
          <w:szCs w:val="24"/>
        </w:rPr>
        <w:t>n period, in addition to the grounds for non-execution of a European arrest warrant referred to in Council Framework Decision 2002/584/JHA</w:t>
      </w:r>
      <w:r>
        <w:rPr>
          <w:rStyle w:val="FootnoteReference"/>
          <w:noProof/>
          <w:szCs w:val="24"/>
        </w:rPr>
        <w:footnoteReference w:id="5"/>
      </w:r>
      <w:r>
        <w:rPr>
          <w:noProof/>
          <w:szCs w:val="24"/>
        </w:rPr>
        <w:t xml:space="preserve"> the executing judicial authorities of that Member State may refuse to surrender its nationals to the United Kingdom </w:t>
      </w:r>
      <w:r>
        <w:rPr>
          <w:noProof/>
          <w:szCs w:val="24"/>
        </w:rPr>
        <w:t>pursuant to a European Arrest Warrant. Article 4 of Decision (EU) 2019/274 provides that those Member States that intend to avail themselves of the possibility provided for in the second paragraph of Article 185 of the Withdrawal Agreement are to inform th</w:t>
      </w:r>
      <w:r>
        <w:rPr>
          <w:noProof/>
          <w:szCs w:val="24"/>
        </w:rPr>
        <w:t>e Commission and the General Secretariat of the Council of their intention to do so before 15 February 2019.</w:t>
      </w:r>
      <w:r>
        <w:rPr>
          <w:rStyle w:val="FootnoteReference"/>
          <w:noProof/>
          <w:szCs w:val="24"/>
        </w:rPr>
        <w:footnoteReference w:id="6"/>
      </w:r>
      <w:r>
        <w:rPr>
          <w:rStyle w:val="CommentReference"/>
          <w:noProof/>
        </w:rPr>
        <w:t xml:space="preserve"> </w:t>
      </w:r>
    </w:p>
    <w:p w:rsidR="0054000D" w:rsidRDefault="005600BE">
      <w:pPr>
        <w:rPr>
          <w:noProof/>
        </w:rPr>
      </w:pPr>
      <w:r>
        <w:rPr>
          <w:noProof/>
          <w:szCs w:val="24"/>
        </w:rPr>
        <w:t>Given the various extensions of the period under Article 50(3) TEU it is appropriate to set a new time limit within which Member States that inte</w:t>
      </w:r>
      <w:r>
        <w:rPr>
          <w:noProof/>
          <w:szCs w:val="24"/>
        </w:rPr>
        <w:t>nd to avail themselves of that possibility should inform the Commission and the General Secretariat of the Council thereof.</w:t>
      </w:r>
    </w:p>
    <w:p w:rsidR="0054000D" w:rsidRDefault="005600BE">
      <w:pPr>
        <w:pBdr>
          <w:top w:val="nil"/>
          <w:left w:val="nil"/>
          <w:bottom w:val="nil"/>
          <w:right w:val="nil"/>
          <w:between w:val="nil"/>
          <w:bar w:val="nil"/>
        </w:pBdr>
        <w:spacing w:after="240"/>
        <w:rPr>
          <w:noProof/>
          <w:szCs w:val="24"/>
          <w:lang w:val="en-US"/>
        </w:rPr>
        <w:sectPr w:rsidR="0054000D" w:rsidSect="005600BE">
          <w:footerReference w:type="default" r:id="rId15"/>
          <w:footerReference w:type="first" r:id="rId16"/>
          <w:footnotePr>
            <w:numRestart w:val="eachSect"/>
          </w:footnotePr>
          <w:pgSz w:w="11907" w:h="16840" w:code="9"/>
          <w:pgMar w:top="1134" w:right="1418" w:bottom="1134" w:left="1418" w:header="709" w:footer="709" w:gutter="0"/>
          <w:cols w:space="708"/>
          <w:docGrid w:linePitch="360"/>
        </w:sectPr>
      </w:pPr>
      <w:r>
        <w:rPr>
          <w:noProof/>
          <w:szCs w:val="24"/>
          <w:lang w:val="en-US"/>
        </w:rPr>
        <w:t xml:space="preserve">It is therefore necessary to amend </w:t>
      </w:r>
      <w:r>
        <w:rPr>
          <w:noProof/>
        </w:rPr>
        <w:t xml:space="preserve">Decision (EU) 2019/274 on </w:t>
      </w:r>
      <w:r>
        <w:rPr>
          <w:noProof/>
          <w:szCs w:val="24"/>
          <w:lang w:val="en-US"/>
        </w:rPr>
        <w:t>the signing</w:t>
      </w:r>
      <w:r>
        <w:rPr>
          <w:noProof/>
          <w:szCs w:val="24"/>
          <w:lang w:val="en-US"/>
        </w:rPr>
        <w:t xml:space="preserve"> of the Withdrawal Agreement accordingly.  </w:t>
      </w:r>
    </w:p>
    <w:p w:rsidR="0054000D" w:rsidRDefault="005600BE" w:rsidP="005600BE">
      <w:pPr>
        <w:pStyle w:val="Rfrenceinterinstitutionnelle"/>
        <w:rPr>
          <w:noProof/>
        </w:rPr>
      </w:pPr>
      <w:r w:rsidRPr="005600BE">
        <w:t>2020/0012 (NLE)</w:t>
      </w:r>
    </w:p>
    <w:p w:rsidR="0054000D" w:rsidRDefault="005600BE" w:rsidP="005600BE">
      <w:pPr>
        <w:pStyle w:val="Statut"/>
        <w:rPr>
          <w:noProof/>
        </w:rPr>
      </w:pPr>
      <w:r w:rsidRPr="005600BE">
        <w:t>Proposal for a</w:t>
      </w:r>
    </w:p>
    <w:p w:rsidR="0054000D" w:rsidRDefault="005600BE" w:rsidP="005600BE">
      <w:pPr>
        <w:pStyle w:val="Typedudocument"/>
        <w:rPr>
          <w:noProof/>
        </w:rPr>
      </w:pPr>
      <w:r w:rsidRPr="005600BE">
        <w:t>COUNCIL DECISION</w:t>
      </w:r>
    </w:p>
    <w:p w:rsidR="0054000D" w:rsidRDefault="005600BE" w:rsidP="005600BE">
      <w:pPr>
        <w:pStyle w:val="Titreobjet"/>
        <w:rPr>
          <w:noProof/>
        </w:rPr>
      </w:pPr>
      <w:r w:rsidRPr="005600BE">
        <w:t>amending Decision (EU) 2019/274 on the signing, on behalf of the European Union and of the European Atomic Energy Community, of the Agreement on the withdrawal of the United Kingdom of Great Britain and Northern Ireland from the European Union and the European Atomic Energy Community</w:t>
      </w:r>
    </w:p>
    <w:p w:rsidR="0054000D" w:rsidRDefault="005600BE" w:rsidP="005600BE">
      <w:pPr>
        <w:pStyle w:val="IntrtEEE"/>
        <w:rPr>
          <w:noProof/>
        </w:rPr>
      </w:pPr>
      <w:r w:rsidRPr="005600BE">
        <w:t>(Text with EEA relevance)</w:t>
      </w:r>
    </w:p>
    <w:p w:rsidR="0054000D" w:rsidRDefault="005600BE">
      <w:pPr>
        <w:pStyle w:val="Institutionquiagit"/>
        <w:rPr>
          <w:noProof/>
        </w:rPr>
      </w:pPr>
      <w:r>
        <w:rPr>
          <w:noProof/>
        </w:rPr>
        <w:t>T</w:t>
      </w:r>
      <w:r>
        <w:rPr>
          <w:noProof/>
        </w:rPr>
        <w:t>HE COUNCIL OF THE EUROPEAN UNION,</w:t>
      </w:r>
    </w:p>
    <w:p w:rsidR="0054000D" w:rsidRDefault="005600BE">
      <w:pPr>
        <w:rPr>
          <w:noProof/>
        </w:rPr>
      </w:pPr>
      <w:r>
        <w:rPr>
          <w:noProof/>
        </w:rPr>
        <w:t>Having regard to the Treaty on European Union, and in particular Artic</w:t>
      </w:r>
      <w:r>
        <w:rPr>
          <w:noProof/>
        </w:rPr>
        <w:t>le 50 thereof,</w:t>
      </w:r>
    </w:p>
    <w:p w:rsidR="0054000D" w:rsidRDefault="005600BE">
      <w:pPr>
        <w:rPr>
          <w:noProof/>
        </w:rPr>
      </w:pPr>
      <w:r>
        <w:rPr>
          <w:noProof/>
        </w:rPr>
        <w:t>Having regard to the proposal from the European Commission,</w:t>
      </w:r>
    </w:p>
    <w:p w:rsidR="0054000D" w:rsidRDefault="005600BE">
      <w:pPr>
        <w:rPr>
          <w:noProof/>
        </w:rPr>
      </w:pPr>
      <w:r>
        <w:rPr>
          <w:noProof/>
        </w:rPr>
        <w:t>Whereas:</w:t>
      </w:r>
    </w:p>
    <w:p w:rsidR="0054000D" w:rsidRDefault="005600BE">
      <w:pPr>
        <w:pStyle w:val="ManualConsidrant"/>
        <w:rPr>
          <w:noProof/>
        </w:rPr>
      </w:pPr>
      <w:r>
        <w:t>(1)</w:t>
      </w:r>
      <w:r>
        <w:tab/>
      </w:r>
      <w:r>
        <w:rPr>
          <w:noProof/>
        </w:rPr>
        <w:t>On 11 January 2019, the Council adopted Decision (EU) 2019/274</w:t>
      </w:r>
      <w:r>
        <w:rPr>
          <w:rStyle w:val="FootnoteReference"/>
          <w:noProof/>
        </w:rPr>
        <w:footnoteReference w:id="7"/>
      </w:r>
      <w:r>
        <w:rPr>
          <w:noProof/>
        </w:rPr>
        <w:t xml:space="preserve"> on the signing of the Withdrawal Agreement. </w:t>
      </w:r>
    </w:p>
    <w:p w:rsidR="0054000D" w:rsidRDefault="005600BE">
      <w:pPr>
        <w:pStyle w:val="ManualConsidrant"/>
        <w:rPr>
          <w:noProof/>
        </w:rPr>
      </w:pPr>
      <w:r>
        <w:t>(2)</w:t>
      </w:r>
      <w:r>
        <w:tab/>
      </w:r>
      <w:r>
        <w:rPr>
          <w:noProof/>
        </w:rPr>
        <w:t>By Decision (EU) 2019/476</w:t>
      </w:r>
      <w:r>
        <w:rPr>
          <w:rStyle w:val="FootnoteReference"/>
          <w:noProof/>
        </w:rPr>
        <w:footnoteReference w:id="8"/>
      </w:r>
      <w:r>
        <w:rPr>
          <w:noProof/>
        </w:rPr>
        <w:t>, the European Council, in ag</w:t>
      </w:r>
      <w:r>
        <w:rPr>
          <w:noProof/>
        </w:rPr>
        <w:t>reement with the United Kingdom, initially extended the period under Article 50(3) TEU until 12 April 2019. That period was further extended until 31 October 2019 by European Council Decision (EU) 2019/584</w:t>
      </w:r>
      <w:r>
        <w:rPr>
          <w:rStyle w:val="FootnoteReference"/>
          <w:noProof/>
        </w:rPr>
        <w:footnoteReference w:id="9"/>
      </w:r>
      <w:r>
        <w:rPr>
          <w:noProof/>
        </w:rPr>
        <w:t xml:space="preserve">, taken in agreement with the United Kingdom, and </w:t>
      </w:r>
      <w:r>
        <w:rPr>
          <w:noProof/>
        </w:rPr>
        <w:t>thereafter until 31 January 2020 by European Council Decision (EU) 2019/1810</w:t>
      </w:r>
      <w:r>
        <w:rPr>
          <w:rStyle w:val="FootnoteReference"/>
          <w:noProof/>
        </w:rPr>
        <w:footnoteReference w:id="10"/>
      </w:r>
      <w:r>
        <w:rPr>
          <w:noProof/>
        </w:rPr>
        <w:t xml:space="preserve">, taken in agreement with the United Kingdom. </w:t>
      </w:r>
    </w:p>
    <w:p w:rsidR="0054000D" w:rsidRDefault="005600BE">
      <w:pPr>
        <w:pStyle w:val="ManualConsidrant"/>
        <w:rPr>
          <w:noProof/>
        </w:rPr>
      </w:pPr>
      <w:r>
        <w:t>(3)</w:t>
      </w:r>
      <w:r>
        <w:tab/>
      </w:r>
      <w:r>
        <w:rPr>
          <w:noProof/>
        </w:rPr>
        <w:t>The third paragraph of Article 185 of the Withdrawal Agreement, as adapted</w:t>
      </w:r>
      <w:r>
        <w:rPr>
          <w:rStyle w:val="FootnoteReference"/>
          <w:noProof/>
        </w:rPr>
        <w:footnoteReference w:id="11"/>
      </w:r>
      <w:r>
        <w:rPr>
          <w:noProof/>
        </w:rPr>
        <w:t xml:space="preserve">  provides that, when making the written notification</w:t>
      </w:r>
      <w:r>
        <w:rPr>
          <w:noProof/>
        </w:rPr>
        <w:t xml:space="preserve"> of the completion of its necessary internal procedures, the Union, in respect of any Member State which has raised reasons related to fundamental principles of national law of that Member State, may declare that, during the transition period, in addition </w:t>
      </w:r>
      <w:r>
        <w:rPr>
          <w:noProof/>
        </w:rPr>
        <w:t>to the grounds for non-execution of a European arrest warrant referred to in Council Framework Decision 2002/584/JHA</w:t>
      </w:r>
      <w:r>
        <w:rPr>
          <w:rStyle w:val="FootnoteReference"/>
          <w:noProof/>
        </w:rPr>
        <w:footnoteReference w:id="12"/>
      </w:r>
      <w:r>
        <w:rPr>
          <w:noProof/>
        </w:rPr>
        <w:t>, the executing judicial authorities of that Member State may refuse to surrender its nationals to the United Kingdom pursuant to a Europea</w:t>
      </w:r>
      <w:r>
        <w:rPr>
          <w:noProof/>
        </w:rPr>
        <w:t>n Arrest Warrant. Pursuant to Article 4 of Decision (EU) 2019/274, those Member States that intend to avail themselves of the possibility provided for in the third paragraph of Article 185 of the Withdrawal Agreement are to inform the Commission and the Ge</w:t>
      </w:r>
      <w:r>
        <w:rPr>
          <w:noProof/>
        </w:rPr>
        <w:t>neral Secretariat of the Council of their intention to do so before 15 February 2019.</w:t>
      </w:r>
    </w:p>
    <w:p w:rsidR="0054000D" w:rsidRDefault="005600BE">
      <w:pPr>
        <w:pStyle w:val="ManualConsidrant"/>
        <w:rPr>
          <w:noProof/>
        </w:rPr>
      </w:pPr>
      <w:r>
        <w:t>(4)</w:t>
      </w:r>
      <w:r>
        <w:tab/>
      </w:r>
      <w:r>
        <w:rPr>
          <w:noProof/>
        </w:rPr>
        <w:t>Given the various extensions of the period under Article 50(3) TEU, it is appropriate to amend Decision (EU) 2019/274 to set a new time limit within which Member Stat</w:t>
      </w:r>
      <w:r>
        <w:rPr>
          <w:noProof/>
        </w:rPr>
        <w:t>es that intend to avail themselves of the possibility provided for in the third paragraph of Article 185 should inform the Commission and the General Secretariat of the Council thereof. At this occasion, it is appropriate to adapt the reference to the rele</w:t>
      </w:r>
      <w:r>
        <w:rPr>
          <w:noProof/>
        </w:rPr>
        <w:t>vant paragraph of Article 185 of the Withdrawal Agreement.</w:t>
      </w:r>
    </w:p>
    <w:p w:rsidR="0054000D" w:rsidRDefault="005600BE">
      <w:pPr>
        <w:pStyle w:val="ManualConsidrant"/>
        <w:rPr>
          <w:noProof/>
        </w:rPr>
      </w:pPr>
      <w:r>
        <w:t>(5)</w:t>
      </w:r>
      <w:r>
        <w:tab/>
      </w:r>
      <w:r>
        <w:rPr>
          <w:noProof/>
        </w:rPr>
        <w:t>Decision (EU) 2019/274 should therefore be amended accordingly.</w:t>
      </w:r>
    </w:p>
    <w:p w:rsidR="0054000D" w:rsidRDefault="005600BE">
      <w:pPr>
        <w:pStyle w:val="ManualConsidrant"/>
        <w:rPr>
          <w:noProof/>
        </w:rPr>
      </w:pPr>
      <w:r>
        <w:t>(6)</w:t>
      </w:r>
      <w:r>
        <w:tab/>
      </w:r>
      <w:r>
        <w:rPr>
          <w:noProof/>
        </w:rPr>
        <w:t>As provided for in Article 50(4) TEU, the United Kingdom has not taken part in the discussions of the Council concerning this</w:t>
      </w:r>
      <w:r>
        <w:rPr>
          <w:noProof/>
        </w:rPr>
        <w:t xml:space="preserve"> decision or in its adoption,</w:t>
      </w:r>
    </w:p>
    <w:p w:rsidR="0054000D" w:rsidRDefault="005600BE">
      <w:pPr>
        <w:pStyle w:val="Formuledadoption"/>
        <w:rPr>
          <w:noProof/>
        </w:rPr>
      </w:pPr>
      <w:r>
        <w:rPr>
          <w:noProof/>
        </w:rPr>
        <w:t>HAS ADOPTED THIS DECISION:</w:t>
      </w:r>
    </w:p>
    <w:p w:rsidR="0054000D" w:rsidRDefault="005600BE">
      <w:pPr>
        <w:pStyle w:val="Titrearticle"/>
        <w:rPr>
          <w:noProof/>
        </w:rPr>
      </w:pPr>
      <w:r>
        <w:rPr>
          <w:noProof/>
        </w:rPr>
        <w:t>Article 1</w:t>
      </w:r>
    </w:p>
    <w:p w:rsidR="0054000D" w:rsidRDefault="0054000D">
      <w:pPr>
        <w:rPr>
          <w:noProof/>
        </w:rPr>
      </w:pPr>
    </w:p>
    <w:p w:rsidR="0054000D" w:rsidRDefault="005600BE">
      <w:pPr>
        <w:rPr>
          <w:noProof/>
        </w:rPr>
      </w:pPr>
      <w:r>
        <w:rPr>
          <w:noProof/>
        </w:rPr>
        <w:t>Article 4 of Decision (EU) 2019/274 is replaced by the following:</w:t>
      </w:r>
    </w:p>
    <w:p w:rsidR="0054000D" w:rsidRDefault="005600BE">
      <w:pPr>
        <w:jc w:val="center"/>
        <w:rPr>
          <w:noProof/>
        </w:rPr>
      </w:pPr>
      <w:r>
        <w:rPr>
          <w:noProof/>
        </w:rPr>
        <w:t>“</w:t>
      </w:r>
      <w:r>
        <w:rPr>
          <w:i/>
          <w:noProof/>
        </w:rPr>
        <w:t>Article 4</w:t>
      </w:r>
    </w:p>
    <w:p w:rsidR="0054000D" w:rsidRDefault="005600BE">
      <w:pPr>
        <w:rPr>
          <w:noProof/>
        </w:rPr>
      </w:pPr>
      <w:r>
        <w:rPr>
          <w:noProof/>
        </w:rPr>
        <w:t xml:space="preserve">Those Member States that intend to avail themselves of the possibility provided for in the third paragraph of </w:t>
      </w:r>
      <w:r>
        <w:rPr>
          <w:noProof/>
        </w:rPr>
        <w:t>Article 185 of the Agreement shall inform the Commission and the General Secretariat of the Council of their intention to do so before 28 January 2020.”.</w:t>
      </w:r>
    </w:p>
    <w:p w:rsidR="0054000D" w:rsidRDefault="0054000D">
      <w:pPr>
        <w:rPr>
          <w:noProof/>
        </w:rPr>
      </w:pPr>
    </w:p>
    <w:p w:rsidR="0054000D" w:rsidRDefault="005600BE">
      <w:pPr>
        <w:pStyle w:val="Titrearticle"/>
        <w:rPr>
          <w:noProof/>
        </w:rPr>
      </w:pPr>
      <w:r>
        <w:rPr>
          <w:noProof/>
        </w:rPr>
        <w:t>Article 2</w:t>
      </w:r>
    </w:p>
    <w:p w:rsidR="0054000D" w:rsidRDefault="0054000D">
      <w:pPr>
        <w:pStyle w:val="Titrearticle"/>
        <w:jc w:val="both"/>
        <w:rPr>
          <w:noProof/>
        </w:rPr>
      </w:pPr>
    </w:p>
    <w:p w:rsidR="0054000D" w:rsidRDefault="005600BE">
      <w:pPr>
        <w:rPr>
          <w:noProof/>
        </w:rPr>
      </w:pPr>
      <w:r>
        <w:rPr>
          <w:noProof/>
        </w:rPr>
        <w:t xml:space="preserve">This Decision shall enter into force on the date of its adoption. </w:t>
      </w:r>
    </w:p>
    <w:p w:rsidR="0054000D" w:rsidRDefault="005600BE" w:rsidP="005600BE">
      <w:pPr>
        <w:pStyle w:val="Fait"/>
        <w:rPr>
          <w:noProof/>
        </w:rPr>
      </w:pPr>
      <w:r w:rsidRPr="005600BE">
        <w:t>Done at Brussels,</w:t>
      </w:r>
    </w:p>
    <w:p w:rsidR="0054000D" w:rsidRDefault="005600BE">
      <w:pPr>
        <w:pStyle w:val="Institutionquisigne"/>
        <w:rPr>
          <w:noProof/>
        </w:rPr>
      </w:pPr>
      <w:r>
        <w:rPr>
          <w:noProof/>
        </w:rPr>
        <w:tab/>
      </w:r>
      <w:r>
        <w:rPr>
          <w:noProof/>
        </w:rPr>
        <w:t xml:space="preserve">For </w:t>
      </w:r>
      <w:r>
        <w:rPr>
          <w:noProof/>
        </w:rPr>
        <w:t>the Council</w:t>
      </w:r>
    </w:p>
    <w:p w:rsidR="0054000D" w:rsidRDefault="005600BE">
      <w:pPr>
        <w:pStyle w:val="Personnequisigne"/>
        <w:rPr>
          <w:noProof/>
        </w:rPr>
      </w:pPr>
      <w:r>
        <w:rPr>
          <w:noProof/>
        </w:rPr>
        <w:tab/>
        <w:t>The President</w:t>
      </w:r>
    </w:p>
    <w:sectPr w:rsidR="0054000D" w:rsidSect="005600BE">
      <w:footnotePr>
        <w:numRestart w:val="eachSect"/>
      </w:footnotePr>
      <w:pgSz w:w="11907" w:h="16840"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000D" w:rsidRDefault="005600BE">
      <w:pPr>
        <w:spacing w:before="0" w:after="0"/>
      </w:pPr>
      <w:r>
        <w:separator/>
      </w:r>
    </w:p>
  </w:endnote>
  <w:endnote w:type="continuationSeparator" w:id="0">
    <w:p w:rsidR="0054000D" w:rsidRDefault="005600BE">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00BE" w:rsidRPr="005600BE" w:rsidRDefault="005600BE" w:rsidP="005600B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00BE" w:rsidRPr="005600BE" w:rsidRDefault="005600BE" w:rsidP="005600BE">
    <w:pPr>
      <w:pStyle w:val="Footer"/>
      <w:rPr>
        <w:rFonts w:ascii="Arial" w:hAnsi="Arial" w:cs="Arial"/>
        <w:b/>
        <w:sz w:val="48"/>
      </w:rPr>
    </w:pPr>
    <w:r w:rsidRPr="005600BE">
      <w:rPr>
        <w:rFonts w:ascii="Arial" w:hAnsi="Arial" w:cs="Arial"/>
        <w:b/>
        <w:sz w:val="48"/>
      </w:rPr>
      <w:t>EN</w:t>
    </w:r>
    <w:r w:rsidRPr="005600BE">
      <w:rPr>
        <w:rFonts w:ascii="Arial" w:hAnsi="Arial" w:cs="Arial"/>
        <w:b/>
        <w:sz w:val="48"/>
      </w:rPr>
      <w:tab/>
    </w:r>
    <w:r w:rsidRPr="005600BE">
      <w:rPr>
        <w:rFonts w:ascii="Arial" w:hAnsi="Arial" w:cs="Arial"/>
        <w:b/>
        <w:sz w:val="48"/>
      </w:rPr>
      <w:tab/>
    </w:r>
    <w:r w:rsidRPr="005600BE">
      <w:tab/>
    </w:r>
    <w:r w:rsidRPr="005600BE">
      <w:rPr>
        <w:rFonts w:ascii="Arial" w:hAnsi="Arial" w:cs="Arial"/>
        <w:b/>
        <w:sz w:val="48"/>
      </w:rPr>
      <w:t>EN</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00BE" w:rsidRPr="005600BE" w:rsidRDefault="005600BE" w:rsidP="005600B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00BE" w:rsidRPr="005600BE" w:rsidRDefault="005600BE" w:rsidP="005600BE">
    <w:pPr>
      <w:pStyle w:val="Footer"/>
      <w:rPr>
        <w:rFonts w:ascii="Arial" w:hAnsi="Arial" w:cs="Arial"/>
        <w:b/>
        <w:sz w:val="48"/>
      </w:rPr>
    </w:pPr>
    <w:r w:rsidRPr="005600BE">
      <w:rPr>
        <w:rFonts w:ascii="Arial" w:hAnsi="Arial" w:cs="Arial"/>
        <w:b/>
        <w:sz w:val="48"/>
      </w:rPr>
      <w:t>EN</w:t>
    </w:r>
    <w:r w:rsidRPr="005600BE">
      <w:rPr>
        <w:rFonts w:ascii="Arial" w:hAnsi="Arial" w:cs="Arial"/>
        <w:b/>
        <w:sz w:val="48"/>
      </w:rPr>
      <w:tab/>
    </w:r>
    <w:r>
      <w:fldChar w:fldCharType="begin"/>
    </w:r>
    <w:r>
      <w:instrText xml:space="preserve"> PAGE  \* MERGEFORMAT </w:instrText>
    </w:r>
    <w:r>
      <w:fldChar w:fldCharType="separate"/>
    </w:r>
    <w:r>
      <w:rPr>
        <w:noProof/>
      </w:rPr>
      <w:t>1</w:t>
    </w:r>
    <w:r>
      <w:fldChar w:fldCharType="end"/>
    </w:r>
    <w:r>
      <w:tab/>
    </w:r>
    <w:r w:rsidRPr="005600BE">
      <w:tab/>
    </w:r>
    <w:r w:rsidRPr="005600BE">
      <w:rPr>
        <w:rFonts w:ascii="Arial" w:hAnsi="Arial" w:cs="Arial"/>
        <w:b/>
        <w:sz w:val="48"/>
      </w:rPr>
      <w:t>EN</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00BE" w:rsidRPr="005600BE" w:rsidRDefault="005600BE" w:rsidP="005600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000D" w:rsidRDefault="005600BE">
      <w:pPr>
        <w:spacing w:before="0" w:after="0"/>
      </w:pPr>
      <w:r>
        <w:separator/>
      </w:r>
    </w:p>
  </w:footnote>
  <w:footnote w:type="continuationSeparator" w:id="0">
    <w:p w:rsidR="0054000D" w:rsidRDefault="005600BE">
      <w:pPr>
        <w:spacing w:before="0" w:after="0"/>
      </w:pPr>
      <w:r>
        <w:continuationSeparator/>
      </w:r>
    </w:p>
  </w:footnote>
  <w:footnote w:id="1">
    <w:p w:rsidR="0054000D" w:rsidRDefault="005600BE">
      <w:pPr>
        <w:pStyle w:val="FootnoteText"/>
      </w:pPr>
      <w:r>
        <w:rPr>
          <w:rStyle w:val="FootnoteReference"/>
        </w:rPr>
        <w:footnoteRef/>
      </w:r>
      <w:r>
        <w:tab/>
        <w:t>Council Decision (EU) 2019/274 of 11 January 2019 on the signing, on behalf of the European Union and of the European Atomic Energy Community, of the Agreement on the withdrawal of the United Kingdom of Great Britain and No</w:t>
      </w:r>
      <w:r>
        <w:t>rthern Ireland from the European Union and the European Atomic Energy Community (OJ L 47I, 19.2.2019, p. 1). The text of the Withdrawal Agreement attached to Decision (EU) 2019/274 was published in OJ C 66 I, 19.2.2019, p. 1.</w:t>
      </w:r>
    </w:p>
  </w:footnote>
  <w:footnote w:id="2">
    <w:p w:rsidR="0054000D" w:rsidRDefault="005600BE">
      <w:pPr>
        <w:pStyle w:val="FootnoteText"/>
      </w:pPr>
      <w:r>
        <w:rPr>
          <w:rStyle w:val="FootnoteReference"/>
        </w:rPr>
        <w:footnoteRef/>
      </w:r>
      <w:r>
        <w:tab/>
        <w:t>European Council Decision (E</w:t>
      </w:r>
      <w:r>
        <w:t>U) 2019/476 taken in agreement with the United Kingdom of 22 March 2019 extending the period under Article 50(3) TEU (OJ L 80 I, 22.3.2019, p. 1).</w:t>
      </w:r>
    </w:p>
  </w:footnote>
  <w:footnote w:id="3">
    <w:p w:rsidR="0054000D" w:rsidRDefault="005600BE">
      <w:pPr>
        <w:pStyle w:val="FootnoteText"/>
      </w:pPr>
      <w:r>
        <w:rPr>
          <w:rStyle w:val="FootnoteReference"/>
        </w:rPr>
        <w:footnoteRef/>
      </w:r>
      <w:r>
        <w:tab/>
        <w:t>European Council Decision (EU) 2019/584 taken in agreement with the United Kingdom of 11 April 2019 extendi</w:t>
      </w:r>
      <w:r>
        <w:t>ng the period under Article 50(3) TEU (OJ L 101, 11.4.2019, p. 1).</w:t>
      </w:r>
    </w:p>
  </w:footnote>
  <w:footnote w:id="4">
    <w:p w:rsidR="0054000D" w:rsidRDefault="005600BE">
      <w:pPr>
        <w:pStyle w:val="FootnoteText"/>
        <w:rPr>
          <w:lang w:val="en-US"/>
        </w:rPr>
      </w:pPr>
      <w:r>
        <w:rPr>
          <w:rStyle w:val="FootnoteReference"/>
        </w:rPr>
        <w:footnoteRef/>
      </w:r>
      <w:r>
        <w:rPr>
          <w:lang w:val="en-US"/>
        </w:rPr>
        <w:tab/>
      </w:r>
      <w:r>
        <w:t>European Council Decision (EU) 2019/1810 taken in agreement with the United Kingdom of 29 October 2019 extending the period under Article 50(3)TEU, (OJ L 278I , 30.10.2019, p. 1).</w:t>
      </w:r>
    </w:p>
  </w:footnote>
  <w:footnote w:id="5">
    <w:p w:rsidR="0054000D" w:rsidRDefault="005600BE">
      <w:pPr>
        <w:pStyle w:val="FootnoteText"/>
        <w:rPr>
          <w:lang w:val="en-US"/>
        </w:rPr>
      </w:pPr>
      <w:r>
        <w:rPr>
          <w:rStyle w:val="FootnoteReference"/>
        </w:rPr>
        <w:footnoteRef/>
      </w:r>
      <w:r>
        <w:rPr>
          <w:lang w:val="en-US"/>
        </w:rPr>
        <w:tab/>
      </w:r>
      <w:r>
        <w:t>Council Framework Decision 2002/584/JHA of 13 June 2002 on the European arrest warrant and the surrender procedures between Member States (OJ L 190, 18.7.2002, p. 1).</w:t>
      </w:r>
    </w:p>
  </w:footnote>
  <w:footnote w:id="6">
    <w:p w:rsidR="0054000D" w:rsidRDefault="005600BE">
      <w:pPr>
        <w:pStyle w:val="FootnoteText"/>
        <w:rPr>
          <w:lang w:val="en-US"/>
        </w:rPr>
      </w:pPr>
      <w:r>
        <w:rPr>
          <w:rStyle w:val="FootnoteReference"/>
        </w:rPr>
        <w:footnoteRef/>
      </w:r>
      <w:r>
        <w:rPr>
          <w:lang w:val="en-US"/>
        </w:rPr>
        <w:tab/>
      </w:r>
      <w:r>
        <w:rPr>
          <w:lang w:val="en-IE"/>
        </w:rPr>
        <w:t xml:space="preserve">Decision (EU) 2019/274 refers to the second paragraph of Article 185 of the Withdrawal </w:t>
      </w:r>
      <w:r>
        <w:rPr>
          <w:lang w:val="en-IE"/>
        </w:rPr>
        <w:t xml:space="preserve">Agreement as published in OJ C 66 I, 19.2.2019, p. 1. However, in the adapted Withdrawal Agreement, as published in OJ C </w:t>
      </w:r>
      <w:r>
        <w:t>384 I</w:t>
      </w:r>
      <w:r>
        <w:rPr>
          <w:lang w:val="en-IE"/>
        </w:rPr>
        <w:t>, 12.11.2019, p. 1, the second paragraph has become the third paragraph.</w:t>
      </w:r>
    </w:p>
  </w:footnote>
  <w:footnote w:id="7">
    <w:p w:rsidR="0054000D" w:rsidRDefault="005600BE">
      <w:pPr>
        <w:pStyle w:val="FootnoteText"/>
      </w:pPr>
      <w:r>
        <w:rPr>
          <w:rStyle w:val="FootnoteReference"/>
        </w:rPr>
        <w:footnoteRef/>
      </w:r>
      <w:r>
        <w:tab/>
        <w:t>Council Decision (EU) 2019/274 of 11 January 2019 on th</w:t>
      </w:r>
      <w:r>
        <w:t>e signing, on behalf of the European Union and of the European Atomic Energy Community, of the Agreement on the withdrawal of the United Kingdom of Great Britain and Northern Ireland from the European Union and the European Atomic Energy Community (OJ L 47</w:t>
      </w:r>
      <w:r>
        <w:t xml:space="preserve">I, 19.2.2019, p. 1). </w:t>
      </w:r>
    </w:p>
  </w:footnote>
  <w:footnote w:id="8">
    <w:p w:rsidR="0054000D" w:rsidRDefault="005600BE">
      <w:pPr>
        <w:pStyle w:val="FootnoteText"/>
      </w:pPr>
      <w:r>
        <w:rPr>
          <w:rStyle w:val="FootnoteReference"/>
        </w:rPr>
        <w:footnoteRef/>
      </w:r>
      <w:r>
        <w:tab/>
        <w:t>European Council Decision (EU) 2019/476 taken in agreement with the United Kingdom of 22 March 2019 extending the period under Article 50(3)TEU (OJ L 80 I, 22.3.2019, p. 1).</w:t>
      </w:r>
    </w:p>
  </w:footnote>
  <w:footnote w:id="9">
    <w:p w:rsidR="0054000D" w:rsidRDefault="005600BE">
      <w:pPr>
        <w:pStyle w:val="FootnoteText"/>
      </w:pPr>
      <w:r>
        <w:rPr>
          <w:rStyle w:val="FootnoteReference"/>
        </w:rPr>
        <w:footnoteRef/>
      </w:r>
      <w:r>
        <w:tab/>
        <w:t>European Council Decision (EU) 2019/584 taken in agreeme</w:t>
      </w:r>
      <w:r>
        <w:t>nt with the United Kingdom of 11 April 2019 extending the period under Article 50(3) TEU (OJ L 101, 11.4.2019, p. 1).</w:t>
      </w:r>
    </w:p>
  </w:footnote>
  <w:footnote w:id="10">
    <w:p w:rsidR="0054000D" w:rsidRDefault="005600BE">
      <w:pPr>
        <w:pStyle w:val="FootnoteText"/>
      </w:pPr>
      <w:r>
        <w:rPr>
          <w:rStyle w:val="FootnoteReference"/>
        </w:rPr>
        <w:footnoteRef/>
      </w:r>
      <w:r>
        <w:rPr>
          <w:lang w:val="en-US"/>
        </w:rPr>
        <w:tab/>
      </w:r>
      <w:r>
        <w:t>European Council Decision (EU) 2019/1810 taken in agreement with the United Kingdom of 29 October 2019 extending the period under Articl</w:t>
      </w:r>
      <w:r>
        <w:t>e 50(3)TEU, (OJ L 278 I, 30.10.2019, p. 1).</w:t>
      </w:r>
    </w:p>
  </w:footnote>
  <w:footnote w:id="11">
    <w:p w:rsidR="0054000D" w:rsidRDefault="005600BE">
      <w:pPr>
        <w:pStyle w:val="FootnoteText"/>
        <w:rPr>
          <w:lang w:val="en-US"/>
        </w:rPr>
      </w:pPr>
      <w:r>
        <w:rPr>
          <w:rStyle w:val="FootnoteReference"/>
        </w:rPr>
        <w:footnoteRef/>
      </w:r>
      <w:r>
        <w:rPr>
          <w:lang w:val="en-US"/>
        </w:rPr>
        <w:tab/>
      </w:r>
      <w:r>
        <w:t>The adapted version of the Withdrawal Agreement was published in OJ C 384 I, 12.11.2019, p. 1.</w:t>
      </w:r>
    </w:p>
  </w:footnote>
  <w:footnote w:id="12">
    <w:p w:rsidR="0054000D" w:rsidRDefault="005600BE">
      <w:pPr>
        <w:pStyle w:val="FootnoteText"/>
        <w:rPr>
          <w:lang w:val="en-US"/>
        </w:rPr>
      </w:pPr>
      <w:r>
        <w:rPr>
          <w:rStyle w:val="FootnoteReference"/>
        </w:rPr>
        <w:footnoteRef/>
      </w:r>
      <w:r>
        <w:rPr>
          <w:lang w:val="en-US"/>
        </w:rPr>
        <w:tab/>
      </w:r>
      <w:r>
        <w:t xml:space="preserve">Council Framework Decision 2002/584/JHA of 13 June 2002 on the European arrest warrant and the surrender </w:t>
      </w:r>
      <w:r>
        <w:t>procedures between Member States (OJ L 190, 18.7.2002, p. 1).</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00BE" w:rsidRPr="005600BE" w:rsidRDefault="005600BE" w:rsidP="005600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00BE" w:rsidRPr="005600BE" w:rsidRDefault="005600BE" w:rsidP="005600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00BE" w:rsidRPr="005600BE" w:rsidRDefault="005600BE" w:rsidP="005600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D"/>
    <w:multiLevelType w:val="singleLevel"/>
    <w:tmpl w:val="F9060242"/>
    <w:lvl w:ilvl="0">
      <w:start w:val="1"/>
      <w:numFmt w:val="decimal"/>
      <w:pStyle w:val="ListNumber4"/>
      <w:lvlText w:val="%1."/>
      <w:lvlJc w:val="left"/>
      <w:pPr>
        <w:tabs>
          <w:tab w:val="num" w:pos="1209"/>
        </w:tabs>
        <w:ind w:left="1209" w:hanging="360"/>
      </w:pPr>
    </w:lvl>
  </w:abstractNum>
  <w:abstractNum w:abstractNumId="1" w15:restartNumberingAfterBreak="0">
    <w:nsid w:val="FFFFFF7E"/>
    <w:multiLevelType w:val="singleLevel"/>
    <w:tmpl w:val="EE3C176E"/>
    <w:lvl w:ilvl="0">
      <w:start w:val="1"/>
      <w:numFmt w:val="decimal"/>
      <w:pStyle w:val="ListNumber3"/>
      <w:lvlText w:val="%1."/>
      <w:lvlJc w:val="left"/>
      <w:pPr>
        <w:tabs>
          <w:tab w:val="num" w:pos="926"/>
        </w:tabs>
        <w:ind w:left="926" w:hanging="360"/>
      </w:pPr>
    </w:lvl>
  </w:abstractNum>
  <w:abstractNum w:abstractNumId="2" w15:restartNumberingAfterBreak="0">
    <w:nsid w:val="FFFFFF7F"/>
    <w:multiLevelType w:val="singleLevel"/>
    <w:tmpl w:val="0C521130"/>
    <w:lvl w:ilvl="0">
      <w:start w:val="1"/>
      <w:numFmt w:val="decimal"/>
      <w:pStyle w:val="ListNumber2"/>
      <w:lvlText w:val="%1."/>
      <w:lvlJc w:val="left"/>
      <w:pPr>
        <w:tabs>
          <w:tab w:val="num" w:pos="643"/>
        </w:tabs>
        <w:ind w:left="643" w:hanging="360"/>
      </w:pPr>
    </w:lvl>
  </w:abstractNum>
  <w:abstractNum w:abstractNumId="3" w15:restartNumberingAfterBreak="0">
    <w:nsid w:val="FFFFFF81"/>
    <w:multiLevelType w:val="singleLevel"/>
    <w:tmpl w:val="6728FEB8"/>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A3C2DCC0"/>
    <w:lvl w:ilvl="0">
      <w:start w:val="1"/>
      <w:numFmt w:val="bullet"/>
      <w:pStyle w:val="ListBullet3"/>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E5D23680"/>
    <w:lvl w:ilvl="0">
      <w:start w:val="1"/>
      <w:numFmt w:val="bullet"/>
      <w:pStyle w:val="ListBullet2"/>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3AA2EB52"/>
    <w:lvl w:ilvl="0">
      <w:start w:val="1"/>
      <w:numFmt w:val="decimal"/>
      <w:pStyle w:val="ListNumber"/>
      <w:lvlText w:val="%1."/>
      <w:lvlJc w:val="left"/>
      <w:pPr>
        <w:tabs>
          <w:tab w:val="num" w:pos="360"/>
        </w:tabs>
        <w:ind w:left="360" w:hanging="360"/>
      </w:pPr>
    </w:lvl>
  </w:abstractNum>
  <w:abstractNum w:abstractNumId="7" w15:restartNumberingAfterBreak="0">
    <w:nsid w:val="FFFFFF89"/>
    <w:multiLevelType w:val="singleLevel"/>
    <w:tmpl w:val="2EE20F88"/>
    <w:lvl w:ilvl="0">
      <w:start w:val="1"/>
      <w:numFmt w:val="bullet"/>
      <w:pStyle w:val="ListBullet"/>
      <w:lvlText w:val=""/>
      <w:lvlJc w:val="left"/>
      <w:pPr>
        <w:tabs>
          <w:tab w:val="num" w:pos="360"/>
        </w:tabs>
        <w:ind w:left="360" w:hanging="360"/>
      </w:pPr>
      <w:rPr>
        <w:rFonts w:ascii="Symbol" w:hAnsi="Symbol" w:hint="default"/>
      </w:rPr>
    </w:lvl>
  </w:abstractNum>
  <w:abstractNum w:abstractNumId="8" w15:restartNumberingAfterBreak="0">
    <w:nsid w:val="062C6A95"/>
    <w:multiLevelType w:val="singleLevel"/>
    <w:tmpl w:val="02BAFA82"/>
    <w:name w:val="List Bullet 1"/>
    <w:lvl w:ilvl="0">
      <w:start w:val="1"/>
      <w:numFmt w:val="bullet"/>
      <w:pStyle w:val="ListBullet1"/>
      <w:lvlText w:val=""/>
      <w:lvlJc w:val="left"/>
      <w:pPr>
        <w:tabs>
          <w:tab w:val="num" w:pos="1134"/>
        </w:tabs>
        <w:ind w:left="1134" w:hanging="283"/>
      </w:pPr>
      <w:rPr>
        <w:rFonts w:ascii="Symbol" w:hAnsi="Symbol" w:hint="default"/>
      </w:rPr>
    </w:lvl>
  </w:abstractNum>
  <w:abstractNum w:abstractNumId="9" w15:restartNumberingAfterBreak="0">
    <w:nsid w:val="128364B0"/>
    <w:multiLevelType w:val="singleLevel"/>
    <w:tmpl w:val="D084FB54"/>
    <w:lvl w:ilvl="0">
      <w:start w:val="1"/>
      <w:numFmt w:val="bullet"/>
      <w:pStyle w:val="ListDash3"/>
      <w:lvlText w:val="–"/>
      <w:lvlJc w:val="left"/>
      <w:pPr>
        <w:tabs>
          <w:tab w:val="num" w:pos="1134"/>
        </w:tabs>
        <w:ind w:left="1134" w:hanging="283"/>
      </w:pPr>
      <w:rPr>
        <w:rFonts w:ascii="Times New Roman" w:hAnsi="Times New Roman"/>
      </w:rPr>
    </w:lvl>
  </w:abstractNum>
  <w:abstractNum w:abstractNumId="10" w15:restartNumberingAfterBreak="0">
    <w:nsid w:val="13E4330B"/>
    <w:multiLevelType w:val="multilevel"/>
    <w:tmpl w:val="875C4416"/>
    <w:name w:val="List Dash 3"/>
    <w:lvl w:ilvl="0">
      <w:start w:val="1"/>
      <w:numFmt w:val="decimal"/>
      <w:pStyle w:val="ListNumber1"/>
      <w:lvlText w:val="(%1)"/>
      <w:lvlJc w:val="left"/>
      <w:pPr>
        <w:tabs>
          <w:tab w:val="num" w:pos="1560"/>
        </w:tabs>
        <w:ind w:left="1560" w:hanging="709"/>
      </w:pPr>
      <w:rPr>
        <w:rFonts w:cs="Times New Roman"/>
      </w:rPr>
    </w:lvl>
    <w:lvl w:ilvl="1">
      <w:start w:val="1"/>
      <w:numFmt w:val="lowerLetter"/>
      <w:pStyle w:val="ListNumber1Level2"/>
      <w:lvlText w:val="(%2)"/>
      <w:lvlJc w:val="left"/>
      <w:pPr>
        <w:tabs>
          <w:tab w:val="num" w:pos="2268"/>
        </w:tabs>
        <w:ind w:left="2268" w:hanging="708"/>
      </w:pPr>
      <w:rPr>
        <w:rFonts w:cs="Times New Roman"/>
      </w:rPr>
    </w:lvl>
    <w:lvl w:ilvl="2">
      <w:start w:val="1"/>
      <w:numFmt w:val="bullet"/>
      <w:pStyle w:val="ListNumber1Level3"/>
      <w:lvlText w:val="–"/>
      <w:lvlJc w:val="left"/>
      <w:pPr>
        <w:tabs>
          <w:tab w:val="num" w:pos="2977"/>
        </w:tabs>
        <w:ind w:left="2977" w:hanging="709"/>
      </w:pPr>
      <w:rPr>
        <w:rFonts w:ascii="Times New Roman" w:hAnsi="Times New Roman"/>
      </w:rPr>
    </w:lvl>
    <w:lvl w:ilvl="3">
      <w:start w:val="1"/>
      <w:numFmt w:val="bullet"/>
      <w:pStyle w:val="ListNumber1Level4"/>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1" w15:restartNumberingAfterBreak="0">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12"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4" w15:restartNumberingAfterBreak="0">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15" w15:restartNumberingAfterBreak="0">
    <w:nsid w:val="2D820C1F"/>
    <w:multiLevelType w:val="singleLevel"/>
    <w:tmpl w:val="7896AADE"/>
    <w:name w:val="List Dash"/>
    <w:lvl w:ilvl="0">
      <w:start w:val="1"/>
      <w:numFmt w:val="bullet"/>
      <w:pStyle w:val="ListDash"/>
      <w:lvlText w:val="–"/>
      <w:lvlJc w:val="left"/>
      <w:pPr>
        <w:tabs>
          <w:tab w:val="num" w:pos="283"/>
        </w:tabs>
        <w:ind w:left="283" w:hanging="283"/>
      </w:pPr>
      <w:rPr>
        <w:rFonts w:ascii="Times New Roman" w:hAnsi="Times New Roman"/>
      </w:rPr>
    </w:lvl>
  </w:abstractNum>
  <w:abstractNum w:abstractNumId="16" w15:restartNumberingAfterBreak="0">
    <w:nsid w:val="31CD398A"/>
    <w:multiLevelType w:val="singleLevel"/>
    <w:tmpl w:val="0276BF00"/>
    <w:lvl w:ilvl="0">
      <w:start w:val="1"/>
      <w:numFmt w:val="bullet"/>
      <w:pStyle w:val="ListDash4"/>
      <w:lvlText w:val="–"/>
      <w:lvlJc w:val="left"/>
      <w:pPr>
        <w:tabs>
          <w:tab w:val="num" w:pos="1134"/>
        </w:tabs>
        <w:ind w:left="1134" w:hanging="283"/>
      </w:pPr>
      <w:rPr>
        <w:rFonts w:ascii="Times New Roman" w:hAnsi="Times New Roman"/>
      </w:rPr>
    </w:lvl>
  </w:abstractNum>
  <w:abstractNum w:abstractNumId="17"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8" w15:restartNumberingAfterBreak="0">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19"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20" w15:restartNumberingAfterBreak="0">
    <w:nsid w:val="489D74ED"/>
    <w:multiLevelType w:val="singleLevel"/>
    <w:tmpl w:val="C2E2F936"/>
    <w:name w:val="List Dash 2"/>
    <w:lvl w:ilvl="0">
      <w:start w:val="1"/>
      <w:numFmt w:val="bullet"/>
      <w:pStyle w:val="ListDash2"/>
      <w:lvlText w:val="–"/>
      <w:lvlJc w:val="left"/>
      <w:pPr>
        <w:tabs>
          <w:tab w:val="num" w:pos="1134"/>
        </w:tabs>
        <w:ind w:left="1134" w:hanging="283"/>
      </w:pPr>
      <w:rPr>
        <w:rFonts w:ascii="Times New Roman" w:hAnsi="Times New Roman"/>
      </w:rPr>
    </w:lvl>
  </w:abstractNum>
  <w:abstractNum w:abstractNumId="21" w15:restartNumberingAfterBreak="0">
    <w:nsid w:val="4D0C058A"/>
    <w:multiLevelType w:val="singleLevel"/>
    <w:tmpl w:val="BAE8D90E"/>
    <w:name w:val="List Dash 1"/>
    <w:lvl w:ilvl="0">
      <w:start w:val="1"/>
      <w:numFmt w:val="bullet"/>
      <w:pStyle w:val="ListDash1"/>
      <w:lvlText w:val="–"/>
      <w:lvlJc w:val="left"/>
      <w:pPr>
        <w:tabs>
          <w:tab w:val="num" w:pos="1134"/>
        </w:tabs>
        <w:ind w:left="1134" w:hanging="283"/>
      </w:pPr>
      <w:rPr>
        <w:rFonts w:ascii="Times New Roman" w:hAnsi="Times New Roman"/>
      </w:rPr>
    </w:lvl>
  </w:abstractNum>
  <w:abstractNum w:abstractNumId="22" w15:restartNumberingAfterBreak="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23" w15:restartNumberingAfterBreak="0">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24" w15:restartNumberingAfterBreak="0">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25"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26" w15:restartNumberingAfterBreak="0">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28"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7"/>
  </w:num>
  <w:num w:numId="2">
    <w:abstractNumId w:val="5"/>
  </w:num>
  <w:num w:numId="3">
    <w:abstractNumId w:val="4"/>
  </w:num>
  <w:num w:numId="4">
    <w:abstractNumId w:val="3"/>
  </w:num>
  <w:num w:numId="5">
    <w:abstractNumId w:val="6"/>
  </w:num>
  <w:num w:numId="6">
    <w:abstractNumId w:val="2"/>
  </w:num>
  <w:num w:numId="7">
    <w:abstractNumId w:val="1"/>
  </w:num>
  <w:num w:numId="8">
    <w:abstractNumId w:val="0"/>
  </w:num>
  <w:num w:numId="9">
    <w:abstractNumId w:val="8"/>
  </w:num>
  <w:num w:numId="10">
    <w:abstractNumId w:val="15"/>
  </w:num>
  <w:num w:numId="11">
    <w:abstractNumId w:val="21"/>
  </w:num>
  <w:num w:numId="12">
    <w:abstractNumId w:val="20"/>
  </w:num>
  <w:num w:numId="13">
    <w:abstractNumId w:val="9"/>
  </w:num>
  <w:num w:numId="14">
    <w:abstractNumId w:val="16"/>
  </w:num>
  <w:num w:numId="15">
    <w:abstractNumId w:val="10"/>
  </w:num>
  <w:num w:numId="16">
    <w:abstractNumId w:val="28"/>
    <w:lvlOverride w:ilvl="0">
      <w:startOverride w:val="1"/>
    </w:lvlOverride>
  </w:num>
  <w:num w:numId="17">
    <w:abstractNumId w:val="28"/>
  </w:num>
  <w:num w:numId="18">
    <w:abstractNumId w:val="25"/>
  </w:num>
  <w:num w:numId="19">
    <w:abstractNumId w:val="17"/>
  </w:num>
  <w:num w:numId="20">
    <w:abstractNumId w:val="27"/>
  </w:num>
  <w:num w:numId="21">
    <w:abstractNumId w:val="14"/>
  </w:num>
  <w:num w:numId="22">
    <w:abstractNumId w:val="18"/>
  </w:num>
  <w:num w:numId="23">
    <w:abstractNumId w:val="12"/>
  </w:num>
  <w:num w:numId="24">
    <w:abstractNumId w:val="26"/>
  </w:num>
  <w:num w:numId="25">
    <w:abstractNumId w:val="11"/>
  </w:num>
  <w:num w:numId="26">
    <w:abstractNumId w:val="19"/>
  </w:num>
  <w:num w:numId="27">
    <w:abstractNumId w:val="23"/>
  </w:num>
  <w:num w:numId="28">
    <w:abstractNumId w:val="24"/>
  </w:num>
  <w:num w:numId="29">
    <w:abstractNumId w:val="13"/>
  </w:num>
  <w:num w:numId="30">
    <w:abstractNumId w:val="22"/>
  </w:num>
  <w:num w:numId="31">
    <w:abstractNumId w:val="28"/>
  </w:num>
  <w:num w:numId="32">
    <w:abstractNumId w:val="25"/>
  </w:num>
  <w:num w:numId="33">
    <w:abstractNumId w:val="17"/>
  </w:num>
  <w:num w:numId="34">
    <w:abstractNumId w:val="27"/>
  </w:num>
  <w:num w:numId="35">
    <w:abstractNumId w:val="14"/>
  </w:num>
  <w:num w:numId="36">
    <w:abstractNumId w:val="18"/>
  </w:num>
  <w:num w:numId="37">
    <w:abstractNumId w:val="12"/>
  </w:num>
  <w:num w:numId="38">
    <w:abstractNumId w:val="26"/>
  </w:num>
  <w:num w:numId="39">
    <w:abstractNumId w:val="11"/>
  </w:num>
  <w:num w:numId="40">
    <w:abstractNumId w:val="19"/>
  </w:num>
  <w:num w:numId="41">
    <w:abstractNumId w:val="23"/>
  </w:num>
  <w:num w:numId="42">
    <w:abstractNumId w:val="24"/>
  </w:num>
  <w:num w:numId="43">
    <w:abstractNumId w:val="13"/>
  </w:num>
  <w:num w:numId="44">
    <w:abstractNumId w:val="22"/>
  </w:num>
  <w:num w:numId="45">
    <w:abstractNumId w:val="28"/>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attachedTemplate r:id="rId1"/>
  <w:defaultTabStop w:val="720"/>
  <w:hyphenationZone w:val="425"/>
  <w:characterSpacingControl w:val="doNotCompress"/>
  <w:hdrShapeDefaults>
    <o:shapedefaults v:ext="edit" spidmax="22529"/>
  </w:hdrShapeDefaults>
  <w:footnotePr>
    <w:footnote w:id="-1"/>
    <w:footnote w:id="0"/>
  </w:footnotePr>
  <w:endnotePr>
    <w:endnote w:id="-1"/>
    <w:endnote w:id="0"/>
  </w:endnotePr>
  <w:compat>
    <w:doNotExpandShiftReturn/>
    <w:doNotUseHTMLParagraphAutoSpacing/>
    <w:splitPgBreakAndParaMa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QCDateTime" w:val="2020-01-17 13:34:47"/>
    <w:docVar w:name="DQCResult_Distribution" w:val="0;0"/>
    <w:docVar w:name="DQCResult_DocumentContent" w:val="0;0"/>
    <w:docVar w:name="DQCResult_DocumentSize" w:val="0;0"/>
    <w:docVar w:name="DQCResult_DocumentVersions" w:val="0;0"/>
    <w:docVar w:name="DQCResult_InvalidFootnotes" w:val="0;0"/>
    <w:docVar w:name="DQCResult_LinkedStyles" w:val="0;0"/>
    <w:docVar w:name="DQCResult_ModifiedMargins" w:val="0;0"/>
    <w:docVar w:name="DQCResult_ModifiedMarkers" w:val="0;0"/>
    <w:docVar w:name="DQCResult_ModifiedNumbering" w:val="0;0"/>
    <w:docVar w:name="DQCResult_Objects" w:val="0;0"/>
    <w:docVar w:name="DQCResult_Sections" w:val="0;0"/>
    <w:docVar w:name="DQCResult_StructureCheck" w:val="0;0"/>
    <w:docVar w:name="DQCResult_SuperfluousWhitespace" w:val="0;5"/>
    <w:docVar w:name="DQCResult_UnknownFonts" w:val="0;0"/>
    <w:docVar w:name="DQCResult_UnknownStyles" w:val="0;0"/>
    <w:docVar w:name="DQCStatus" w:val="Yellow"/>
    <w:docVar w:name="DQCVersion" w:val="3"/>
    <w:docVar w:name="DQCWithWarnings" w:val="0"/>
    <w:docVar w:name="LW_CORRIGENDUM" w:val="&lt;UNUSED&gt;"/>
    <w:docVar w:name="LW_COVERPAGE_EXISTS" w:val="True"/>
    <w:docVar w:name="LW_COVERPAGE_GUID" w:val="E370C475-2537-48D3-9672-E961393E08EA"/>
    <w:docVar w:name="LW_COVERPAGE_TYPE" w:val="1"/>
    <w:docVar w:name="LW_CROSSREFERENCE" w:val="&lt;UNUSED&gt;"/>
    <w:docVar w:name="LW_DocType" w:val="COM"/>
    <w:docVar w:name="LW_EMISSION" w:val="17.1.2020"/>
    <w:docVar w:name="LW_EMISSION_ISODATE" w:val="2020-01-17"/>
    <w:docVar w:name="LW_EMISSION_LOCATION" w:val="BRX"/>
    <w:docVar w:name="LW_EMISSION_PREFIX" w:val="Brussels, "/>
    <w:docVar w:name="LW_EMISSION_SUFFIX" w:val="&lt;EMPTY&gt;"/>
    <w:docVar w:name="LW_ID_DOCMODEL" w:val="SJ-019"/>
    <w:docVar w:name="LW_ID_DOCSIGNATURE" w:val="SJ-019"/>
    <w:docVar w:name="LW_ID_DOCSTRUCTURE" w:val="COM/PL/ORG"/>
    <w:docVar w:name="LW_ID_DOCTYPE" w:val="SJ-019"/>
    <w:docVar w:name="LW_ID_EXP.MOTIFS.NEW" w:val="EM_PL_"/>
    <w:docVar w:name="LW_ID_STATUT" w:val="SJ-019"/>
    <w:docVar w:name="LW_INTERETEEE.CP" w:val="(Text with EEA relevance)"/>
    <w:docVar w:name="LW_LANGUE" w:val="EN"/>
    <w:docVar w:name="LW_LEVEL_OF_SENSITIVITY" w:val="Standard treatment"/>
    <w:docVar w:name="LW_NOM.INST" w:val="EUROPEAN COMMISSION"/>
    <w:docVar w:name="LW_NOM.INST_JOINTDOC" w:val="&lt;EMPTY&gt;"/>
    <w:docVar w:name="LW_PART_NBR" w:val="1"/>
    <w:docVar w:name="LW_PART_NBR_TOTAL" w:val="1"/>
    <w:docVar w:name="LW_REF.II.NEW.CP" w:val="NLE"/>
    <w:docVar w:name="LW_REF.II.NEW.CP_NUMBER" w:val="0012"/>
    <w:docVar w:name="LW_REF.II.NEW.CP_YEAR" w:val="2020"/>
    <w:docVar w:name="LW_REF.INST.NEW" w:val="COM"/>
    <w:docVar w:name="LW_REF.INST.NEW_ADOPTED" w:val="final"/>
    <w:docVar w:name="LW_REF.INST.NEW_TEXT" w:val="(2020) 28"/>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TATUT.CP" w:val="Proposal for a"/>
    <w:docVar w:name="LW_SUPERTITRE" w:val="&lt;UNUSED&gt;"/>
    <w:docVar w:name="LW_TITRE.OBJ.CP" w:val="amending Decision (EU) 2019/274 on the signing, on behalf of the European Union and of the European Atomic Energy Community, of the Agreement on the withdrawal of the United Kingdom of Great Britain and Northern Ireland from the European Union and the European Atomic Energy Community"/>
    <w:docVar w:name="LW_TYPE.DOC.CP" w:val="COUNCIL DECISION"/>
  </w:docVars>
  <w:rsids>
    <w:rsidRoot w:val="0054000D"/>
    <w:rsid w:val="0054000D"/>
    <w:rsid w:val="005600B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5:docId w15:val="{52C29464-BFA7-44FF-9051-D10BB422B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before="120" w:after="120" w:line="240" w:lineRule="auto"/>
      <w:jc w:val="both"/>
    </w:pPr>
    <w:rPr>
      <w:rFonts w:ascii="Times New Roman" w:hAnsi="Times New Roman" w:cs="Times New Roman"/>
      <w:sz w:val="24"/>
      <w:lang w:val="en-GB"/>
    </w:rPr>
  </w:style>
  <w:style w:type="paragraph" w:styleId="Heading1">
    <w:name w:val="heading 1"/>
    <w:basedOn w:val="Normal"/>
    <w:next w:val="Text1"/>
    <w:link w:val="Heading1Char"/>
    <w:uiPriority w:val="9"/>
    <w:qFormat/>
    <w:pPr>
      <w:keepNext/>
      <w:numPr>
        <w:numId w:val="38"/>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38"/>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38"/>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38"/>
      </w:numPr>
      <w:outlineLvl w:val="3"/>
    </w:pPr>
    <w:rPr>
      <w:rFonts w:eastAsiaTheme="majorEastAsia"/>
      <w:bCs/>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nhideWhenUsed/>
    <w:qFormat/>
    <w:pPr>
      <w:spacing w:before="0" w:after="200"/>
    </w:pPr>
    <w:rPr>
      <w:b/>
      <w:bCs/>
      <w:color w:val="4F81BD" w:themeColor="accent1"/>
      <w:sz w:val="18"/>
      <w:szCs w:val="18"/>
    </w:rPr>
  </w:style>
  <w:style w:type="paragraph" w:styleId="TableofFigures">
    <w:name w:val="table of figures"/>
    <w:basedOn w:val="Normal"/>
    <w:next w:val="Normal"/>
    <w:unhideWhenUsed/>
    <w:pPr>
      <w:spacing w:after="0"/>
    </w:pPr>
  </w:style>
  <w:style w:type="paragraph" w:styleId="ListBullet">
    <w:name w:val="List Bullet"/>
    <w:basedOn w:val="Normal"/>
    <w:unhideWhenUsed/>
    <w:pPr>
      <w:numPr>
        <w:numId w:val="1"/>
      </w:numPr>
      <w:contextualSpacing/>
    </w:pPr>
  </w:style>
  <w:style w:type="paragraph" w:styleId="ListBullet2">
    <w:name w:val="List Bullet 2"/>
    <w:basedOn w:val="Normal"/>
    <w:unhideWhenUsed/>
    <w:pPr>
      <w:numPr>
        <w:numId w:val="2"/>
      </w:numPr>
      <w:contextualSpacing/>
    </w:pPr>
  </w:style>
  <w:style w:type="paragraph" w:styleId="ListBullet3">
    <w:name w:val="List Bullet 3"/>
    <w:basedOn w:val="Normal"/>
    <w:unhideWhenUsed/>
    <w:pPr>
      <w:numPr>
        <w:numId w:val="3"/>
      </w:numPr>
      <w:contextualSpacing/>
    </w:pPr>
  </w:style>
  <w:style w:type="paragraph" w:styleId="ListBullet4">
    <w:name w:val="List Bullet 4"/>
    <w:basedOn w:val="Normal"/>
    <w:unhideWhenUsed/>
    <w:pPr>
      <w:numPr>
        <w:numId w:val="4"/>
      </w:numPr>
      <w:contextualSpacing/>
    </w:pPr>
  </w:style>
  <w:style w:type="paragraph" w:styleId="ListNumber">
    <w:name w:val="List Number"/>
    <w:basedOn w:val="Normal"/>
    <w:unhideWhenUsed/>
    <w:pPr>
      <w:numPr>
        <w:numId w:val="5"/>
      </w:numPr>
      <w:contextualSpacing/>
    </w:pPr>
  </w:style>
  <w:style w:type="paragraph" w:styleId="ListNumber2">
    <w:name w:val="List Number 2"/>
    <w:basedOn w:val="Normal"/>
    <w:unhideWhenUsed/>
    <w:pPr>
      <w:numPr>
        <w:numId w:val="6"/>
      </w:numPr>
      <w:contextualSpacing/>
    </w:pPr>
  </w:style>
  <w:style w:type="paragraph" w:styleId="ListNumber3">
    <w:name w:val="List Number 3"/>
    <w:basedOn w:val="Normal"/>
    <w:unhideWhenUsed/>
    <w:pPr>
      <w:numPr>
        <w:numId w:val="7"/>
      </w:numPr>
      <w:contextualSpacing/>
    </w:pPr>
  </w:style>
  <w:style w:type="paragraph" w:styleId="ListNumber4">
    <w:name w:val="List Number 4"/>
    <w:basedOn w:val="Normal"/>
    <w:unhideWhenUsed/>
    <w:pPr>
      <w:numPr>
        <w:numId w:val="8"/>
      </w:numPr>
      <w:contextualSpacing/>
    </w:pPr>
  </w:style>
  <w:style w:type="character" w:styleId="CommentReference">
    <w:name w:val="annotation reference"/>
    <w:basedOn w:val="DefaultParagraphFont"/>
    <w:unhideWhenUsed/>
    <w:rPr>
      <w:sz w:val="16"/>
      <w:szCs w:val="16"/>
    </w:rPr>
  </w:style>
  <w:style w:type="paragraph" w:styleId="CommentText">
    <w:name w:val="annotation text"/>
    <w:basedOn w:val="Normal"/>
    <w:link w:val="CommentTextChar"/>
    <w:unhideWhenUsed/>
    <w:rPr>
      <w:sz w:val="20"/>
      <w:szCs w:val="20"/>
    </w:rPr>
  </w:style>
  <w:style w:type="character" w:customStyle="1" w:styleId="CommentTextChar">
    <w:name w:val="Comment Text Char"/>
    <w:basedOn w:val="DefaultParagraphFont"/>
    <w:link w:val="CommentText"/>
    <w:rPr>
      <w:rFonts w:ascii="Times New Roman" w:hAnsi="Times New Roman" w:cs="Times New Roman"/>
      <w:sz w:val="20"/>
      <w:szCs w:val="20"/>
      <w:lang w:val="en-GB"/>
    </w:rPr>
  </w:style>
  <w:style w:type="paragraph" w:styleId="CommentSubject">
    <w:name w:val="annotation subject"/>
    <w:basedOn w:val="CommentText"/>
    <w:next w:val="CommentText"/>
    <w:link w:val="CommentSubjectChar"/>
    <w:unhideWhenUsed/>
    <w:rPr>
      <w:b/>
      <w:bCs/>
    </w:rPr>
  </w:style>
  <w:style w:type="character" w:customStyle="1" w:styleId="CommentSubjectChar">
    <w:name w:val="Comment Subject Char"/>
    <w:basedOn w:val="CommentTextChar"/>
    <w:link w:val="CommentSubject"/>
    <w:rPr>
      <w:rFonts w:ascii="Times New Roman" w:hAnsi="Times New Roman" w:cs="Times New Roman"/>
      <w:b/>
      <w:bCs/>
      <w:sz w:val="20"/>
      <w:szCs w:val="20"/>
      <w:lang w:val="en-GB"/>
    </w:rPr>
  </w:style>
  <w:style w:type="character" w:styleId="Hyperlink">
    <w:name w:val="Hyperlink"/>
    <w:basedOn w:val="DefaultParagraphFont"/>
    <w:uiPriority w:val="99"/>
    <w:unhideWhenUsed/>
    <w:rPr>
      <w:color w:val="0000FF" w:themeColor="hyperlink"/>
      <w:u w:val="single"/>
    </w:rPr>
  </w:style>
  <w:style w:type="paragraph" w:styleId="BalloonText">
    <w:name w:val="Balloon Text"/>
    <w:basedOn w:val="Normal"/>
    <w:link w:val="BalloonTextChar"/>
    <w:unhideWhenUsed/>
    <w:pPr>
      <w:spacing w:before="0" w:after="0"/>
    </w:pPr>
    <w:rPr>
      <w:rFonts w:ascii="Tahoma" w:hAnsi="Tahoma" w:cs="Tahoma"/>
      <w:sz w:val="16"/>
      <w:szCs w:val="16"/>
    </w:rPr>
  </w:style>
  <w:style w:type="character" w:customStyle="1" w:styleId="BalloonTextChar">
    <w:name w:val="Balloon Text Char"/>
    <w:basedOn w:val="DefaultParagraphFont"/>
    <w:link w:val="BalloonText"/>
    <w:rPr>
      <w:rFonts w:ascii="Tahoma" w:hAnsi="Tahoma" w:cs="Tahoma"/>
      <w:sz w:val="16"/>
      <w:szCs w:val="16"/>
      <w:lang w:val="en-GB"/>
    </w:rPr>
  </w:style>
  <w:style w:type="paragraph" w:styleId="ListParagraph">
    <w:name w:val="List Paragraph"/>
    <w:aliases w:val="Listaszerű bekezdés1,List Paragraph à moi,Colorful List - Accent 11,Medium Grid 1 - Accent 21,Listaszeru bekezdés1,Colorful List - Accent 111,Dot pt,F5 List Paragraph,List Paragraph1,No Spacing1,List Paragraph Char Char Char,Bullets"/>
    <w:basedOn w:val="Normal"/>
    <w:link w:val="ListParagraphChar"/>
    <w:uiPriority w:val="34"/>
    <w:qFormat/>
    <w:pPr>
      <w:spacing w:before="0" w:after="200" w:line="276" w:lineRule="auto"/>
      <w:ind w:left="720"/>
      <w:contextualSpacing/>
      <w:jc w:val="left"/>
    </w:pPr>
    <w:rPr>
      <w:rFonts w:asciiTheme="minorHAnsi" w:hAnsiTheme="minorHAnsi" w:cstheme="minorBidi"/>
      <w:sz w:val="22"/>
      <w:lang w:val="es-ES"/>
    </w:rPr>
  </w:style>
  <w:style w:type="paragraph" w:customStyle="1" w:styleId="ListBullet1">
    <w:name w:val="List Bullet 1"/>
    <w:basedOn w:val="Normal"/>
    <w:pPr>
      <w:numPr>
        <w:numId w:val="9"/>
      </w:numPr>
    </w:pPr>
    <w:rPr>
      <w:rFonts w:eastAsia="Times New Roman"/>
      <w:lang w:eastAsia="en-GB"/>
    </w:rPr>
  </w:style>
  <w:style w:type="paragraph" w:customStyle="1" w:styleId="ListDash">
    <w:name w:val="List Dash"/>
    <w:basedOn w:val="Normal"/>
    <w:pPr>
      <w:numPr>
        <w:numId w:val="10"/>
      </w:numPr>
    </w:pPr>
    <w:rPr>
      <w:rFonts w:eastAsia="Times New Roman"/>
      <w:lang w:eastAsia="en-GB"/>
    </w:rPr>
  </w:style>
  <w:style w:type="paragraph" w:customStyle="1" w:styleId="ListDash1">
    <w:name w:val="List Dash 1"/>
    <w:basedOn w:val="Normal"/>
    <w:pPr>
      <w:numPr>
        <w:numId w:val="11"/>
      </w:numPr>
    </w:pPr>
    <w:rPr>
      <w:rFonts w:eastAsia="Times New Roman"/>
      <w:lang w:eastAsia="en-GB"/>
    </w:rPr>
  </w:style>
  <w:style w:type="paragraph" w:customStyle="1" w:styleId="ListDash2">
    <w:name w:val="List Dash 2"/>
    <w:basedOn w:val="Normal"/>
    <w:pPr>
      <w:numPr>
        <w:numId w:val="12"/>
      </w:numPr>
    </w:pPr>
    <w:rPr>
      <w:rFonts w:eastAsia="Times New Roman"/>
      <w:lang w:eastAsia="en-GB"/>
    </w:rPr>
  </w:style>
  <w:style w:type="paragraph" w:customStyle="1" w:styleId="ListNumberLevel2">
    <w:name w:val="List Number (Level 2)"/>
    <w:basedOn w:val="Normal"/>
    <w:pPr>
      <w:tabs>
        <w:tab w:val="num" w:pos="1417"/>
      </w:tabs>
      <w:ind w:left="1417" w:hanging="708"/>
    </w:pPr>
    <w:rPr>
      <w:rFonts w:eastAsia="Times New Roman"/>
      <w:lang w:eastAsia="en-GB"/>
    </w:rPr>
  </w:style>
  <w:style w:type="paragraph" w:customStyle="1" w:styleId="ListNumberLevel3">
    <w:name w:val="List Number (Level 3)"/>
    <w:basedOn w:val="Normal"/>
    <w:pPr>
      <w:tabs>
        <w:tab w:val="num" w:pos="2126"/>
      </w:tabs>
      <w:ind w:left="2126" w:hanging="709"/>
    </w:pPr>
    <w:rPr>
      <w:rFonts w:eastAsia="Times New Roman"/>
      <w:lang w:eastAsia="en-GB"/>
    </w:rPr>
  </w:style>
  <w:style w:type="paragraph" w:customStyle="1" w:styleId="ListNumberLevel4">
    <w:name w:val="List Number (Level 4)"/>
    <w:basedOn w:val="Normal"/>
    <w:pPr>
      <w:tabs>
        <w:tab w:val="num" w:pos="2835"/>
      </w:tabs>
      <w:ind w:left="2835" w:hanging="709"/>
    </w:pPr>
    <w:rPr>
      <w:rFonts w:eastAsia="Times New Roman"/>
      <w:lang w:eastAsia="en-GB"/>
    </w:rPr>
  </w:style>
  <w:style w:type="paragraph" w:customStyle="1" w:styleId="Sous-titreobjet">
    <w:name w:val="Sous-titre objet"/>
    <w:basedOn w:val="Normal"/>
    <w:pPr>
      <w:spacing w:before="0" w:after="0"/>
      <w:jc w:val="center"/>
    </w:pPr>
    <w:rPr>
      <w:rFonts w:eastAsia="Times New Roman"/>
      <w:b/>
      <w:lang w:eastAsia="en-GB"/>
    </w:rPr>
  </w:style>
  <w:style w:type="paragraph" w:customStyle="1" w:styleId="Sous-titreobjetPagedecouverture">
    <w:name w:val="Sous-titre objet (Page de couverture)"/>
    <w:basedOn w:val="Sous-titreobjet"/>
  </w:style>
  <w:style w:type="character" w:styleId="FollowedHyperlink">
    <w:name w:val="FollowedHyperlink"/>
    <w:rPr>
      <w:color w:val="800080"/>
      <w:u w:val="single"/>
    </w:rPr>
  </w:style>
  <w:style w:type="character" w:customStyle="1" w:styleId="ListParagraphChar">
    <w:name w:val="List Paragraph Char"/>
    <w:aliases w:val="Listaszerű bekezdés1 Char,List Paragraph à moi Char,Colorful List - Accent 11 Char,Medium Grid 1 - Accent 21 Char,Listaszeru bekezdés1 Char,Colorful List - Accent 111 Char,Dot pt Char,F5 List Paragraph Char,List Paragraph1 Char"/>
    <w:basedOn w:val="DefaultParagraphFont"/>
    <w:link w:val="ListParagraph"/>
    <w:uiPriority w:val="34"/>
    <w:locked/>
    <w:rPr>
      <w:lang w:val="es-ES"/>
    </w:rPr>
  </w:style>
  <w:style w:type="paragraph" w:styleId="NormalWeb">
    <w:name w:val="Normal (Web)"/>
    <w:basedOn w:val="Normal"/>
    <w:uiPriority w:val="99"/>
    <w:semiHidden/>
    <w:unhideWhenUsed/>
    <w:pPr>
      <w:spacing w:before="100" w:beforeAutospacing="1" w:after="100" w:afterAutospacing="1"/>
      <w:jc w:val="left"/>
    </w:pPr>
    <w:rPr>
      <w:rFonts w:eastAsia="Times New Roman"/>
      <w:szCs w:val="24"/>
      <w:lang w:eastAsia="en-GB"/>
    </w:rPr>
  </w:style>
  <w:style w:type="character" w:styleId="Emphasis">
    <w:name w:val="Emphasis"/>
    <w:basedOn w:val="DefaultParagraphFont"/>
    <w:uiPriority w:val="20"/>
    <w:qFormat/>
    <w:rPr>
      <w:i/>
      <w:iCs/>
    </w:rPr>
  </w:style>
  <w:style w:type="paragraph" w:styleId="Revision">
    <w:name w:val="Revision"/>
    <w:hidden/>
    <w:uiPriority w:val="99"/>
    <w:semiHidden/>
    <w:pPr>
      <w:spacing w:after="0" w:line="240" w:lineRule="auto"/>
    </w:pPr>
    <w:rPr>
      <w:rFonts w:ascii="Times New Roman" w:hAnsi="Times New Roman" w:cs="Times New Roman"/>
      <w:sz w:val="24"/>
      <w:lang w:val="en-GB"/>
    </w:rPr>
  </w:style>
  <w:style w:type="paragraph" w:customStyle="1" w:styleId="FooterCoverPage">
    <w:name w:val="Footer Cover Page"/>
    <w:basedOn w:val="Normal"/>
    <w:link w:val="FooterCoverPageChar"/>
    <w:pPr>
      <w:tabs>
        <w:tab w:val="center" w:pos="4535"/>
        <w:tab w:val="right" w:pos="9071"/>
        <w:tab w:val="right" w:pos="9921"/>
      </w:tabs>
      <w:spacing w:before="360" w:after="0"/>
      <w:ind w:left="-850" w:right="-850"/>
      <w:jc w:val="left"/>
    </w:pPr>
  </w:style>
  <w:style w:type="character" w:customStyle="1" w:styleId="FooterCoverPageChar">
    <w:name w:val="Footer Cover Page Char"/>
    <w:basedOn w:val="DefaultParagraphFont"/>
    <w:link w:val="FooterCoverPage"/>
    <w:rPr>
      <w:rFonts w:ascii="Times New Roman" w:hAnsi="Times New Roman" w:cs="Times New Roman"/>
      <w:sz w:val="24"/>
      <w:lang w:val="en-GB"/>
    </w:rPr>
  </w:style>
  <w:style w:type="character" w:customStyle="1" w:styleId="FooterSensitivityChar">
    <w:name w:val="Footer Sensitivity Char"/>
    <w:basedOn w:val="DefaultParagraphFont"/>
    <w:rPr>
      <w:rFonts w:ascii="Times New Roman" w:hAnsi="Times New Roman" w:cs="Times New Roman"/>
      <w:b/>
      <w:sz w:val="32"/>
      <w:lang w:val="en-GB"/>
    </w:rPr>
  </w:style>
  <w:style w:type="paragraph" w:customStyle="1" w:styleId="HeaderCoverPage">
    <w:name w:val="Header Cover Page"/>
    <w:basedOn w:val="Normal"/>
    <w:link w:val="HeaderCoverPageChar"/>
    <w:pPr>
      <w:tabs>
        <w:tab w:val="center" w:pos="4535"/>
        <w:tab w:val="right" w:pos="9071"/>
      </w:tabs>
      <w:spacing w:before="0"/>
    </w:pPr>
  </w:style>
  <w:style w:type="character" w:customStyle="1" w:styleId="HeaderCoverPageChar">
    <w:name w:val="Header Cover Page Char"/>
    <w:basedOn w:val="DefaultParagraphFont"/>
    <w:link w:val="HeaderCoverPage"/>
    <w:rPr>
      <w:rFonts w:ascii="Times New Roman" w:hAnsi="Times New Roman" w:cs="Times New Roman"/>
      <w:sz w:val="24"/>
      <w:lang w:val="en-GB"/>
    </w:rPr>
  </w:style>
  <w:style w:type="character" w:customStyle="1" w:styleId="HeaderSensitivityChar">
    <w:name w:val="Header Sensitivity Char"/>
    <w:basedOn w:val="DefaultParagraphFont"/>
    <w:rPr>
      <w:rFonts w:ascii="Times New Roman" w:hAnsi="Times New Roman" w:cs="Times New Roman"/>
      <w:b/>
      <w:sz w:val="32"/>
      <w:lang w:val="en-GB"/>
    </w:rPr>
  </w:style>
  <w:style w:type="table" w:styleId="TableGrid">
    <w:name w:val="Table Grid"/>
    <w:basedOn w:val="TableNormal"/>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e">
    <w:name w:val="Paragraphe"/>
    <w:basedOn w:val="Titrearticle"/>
    <w:rPr>
      <w:lang w:val="en-US" w:eastAsia="fr-BE"/>
    </w:rPr>
  </w:style>
  <w:style w:type="paragraph" w:customStyle="1" w:styleId="ListDash3">
    <w:name w:val="List Dash 3"/>
    <w:basedOn w:val="Normal"/>
    <w:pPr>
      <w:numPr>
        <w:numId w:val="13"/>
      </w:numPr>
    </w:pPr>
    <w:rPr>
      <w:rFonts w:eastAsia="Times New Roman"/>
      <w:lang w:val="fr-FR" w:eastAsia="en-GB"/>
    </w:rPr>
  </w:style>
  <w:style w:type="paragraph" w:customStyle="1" w:styleId="ListDash4">
    <w:name w:val="List Dash 4"/>
    <w:basedOn w:val="Normal"/>
    <w:pPr>
      <w:numPr>
        <w:numId w:val="14"/>
      </w:numPr>
    </w:pPr>
    <w:rPr>
      <w:rFonts w:eastAsia="Times New Roman"/>
      <w:lang w:val="fr-FR" w:eastAsia="en-GB"/>
    </w:rPr>
  </w:style>
  <w:style w:type="paragraph" w:customStyle="1" w:styleId="ListNumber1">
    <w:name w:val="List Number 1"/>
    <w:basedOn w:val="Text1"/>
    <w:pPr>
      <w:numPr>
        <w:numId w:val="15"/>
      </w:numPr>
    </w:pPr>
    <w:rPr>
      <w:rFonts w:eastAsia="Times New Roman"/>
      <w:lang w:val="fr-FR" w:eastAsia="en-GB"/>
    </w:rPr>
  </w:style>
  <w:style w:type="paragraph" w:customStyle="1" w:styleId="ListNumber1Level2">
    <w:name w:val="List Number 1 (Level 2)"/>
    <w:basedOn w:val="Text1"/>
    <w:pPr>
      <w:numPr>
        <w:ilvl w:val="1"/>
        <w:numId w:val="15"/>
      </w:numPr>
    </w:pPr>
    <w:rPr>
      <w:rFonts w:eastAsia="Times New Roman"/>
      <w:lang w:val="fr-FR" w:eastAsia="en-GB"/>
    </w:rPr>
  </w:style>
  <w:style w:type="paragraph" w:customStyle="1" w:styleId="ListNumber2Level2">
    <w:name w:val="List Number 2 (Level 2)"/>
    <w:basedOn w:val="Text2"/>
    <w:pPr>
      <w:tabs>
        <w:tab w:val="num" w:pos="2268"/>
      </w:tabs>
      <w:ind w:left="2268" w:hanging="708"/>
    </w:pPr>
    <w:rPr>
      <w:rFonts w:eastAsia="Times New Roman"/>
      <w:lang w:val="fr-FR" w:eastAsia="en-GB"/>
    </w:rPr>
  </w:style>
  <w:style w:type="paragraph" w:customStyle="1" w:styleId="ListNumber3Level2">
    <w:name w:val="List Number 3 (Level 2)"/>
    <w:basedOn w:val="Text3"/>
    <w:pPr>
      <w:tabs>
        <w:tab w:val="num" w:pos="2268"/>
      </w:tabs>
      <w:ind w:left="2268" w:hanging="708"/>
    </w:pPr>
    <w:rPr>
      <w:rFonts w:eastAsia="Times New Roman"/>
      <w:lang w:val="fr-FR" w:eastAsia="en-GB"/>
    </w:rPr>
  </w:style>
  <w:style w:type="paragraph" w:customStyle="1" w:styleId="ListNumber4Level2">
    <w:name w:val="List Number 4 (Level 2)"/>
    <w:basedOn w:val="Text4"/>
    <w:pPr>
      <w:tabs>
        <w:tab w:val="num" w:pos="2268"/>
      </w:tabs>
      <w:ind w:left="2268" w:hanging="708"/>
    </w:pPr>
    <w:rPr>
      <w:rFonts w:eastAsia="Times New Roman"/>
      <w:lang w:val="fr-FR" w:eastAsia="en-GB"/>
    </w:rPr>
  </w:style>
  <w:style w:type="paragraph" w:customStyle="1" w:styleId="ListNumber1Level3">
    <w:name w:val="List Number 1 (Level 3)"/>
    <w:basedOn w:val="Text1"/>
    <w:pPr>
      <w:numPr>
        <w:ilvl w:val="2"/>
        <w:numId w:val="15"/>
      </w:numPr>
    </w:pPr>
    <w:rPr>
      <w:rFonts w:eastAsia="Times New Roman"/>
      <w:lang w:val="fr-FR" w:eastAsia="en-GB"/>
    </w:rPr>
  </w:style>
  <w:style w:type="paragraph" w:customStyle="1" w:styleId="ListNumber2Level3">
    <w:name w:val="List Number 2 (Level 3)"/>
    <w:basedOn w:val="Text2"/>
    <w:pPr>
      <w:tabs>
        <w:tab w:val="num" w:pos="2977"/>
      </w:tabs>
      <w:ind w:left="2977" w:hanging="709"/>
    </w:pPr>
    <w:rPr>
      <w:rFonts w:eastAsia="Times New Roman"/>
      <w:lang w:val="fr-FR" w:eastAsia="en-GB"/>
    </w:rPr>
  </w:style>
  <w:style w:type="paragraph" w:customStyle="1" w:styleId="ListNumber3Level3">
    <w:name w:val="List Number 3 (Level 3)"/>
    <w:basedOn w:val="Text3"/>
    <w:pPr>
      <w:tabs>
        <w:tab w:val="num" w:pos="2977"/>
      </w:tabs>
      <w:ind w:left="2977" w:hanging="709"/>
    </w:pPr>
    <w:rPr>
      <w:rFonts w:eastAsia="Times New Roman"/>
      <w:lang w:val="fr-FR" w:eastAsia="en-GB"/>
    </w:rPr>
  </w:style>
  <w:style w:type="paragraph" w:customStyle="1" w:styleId="ListNumber4Level3">
    <w:name w:val="List Number 4 (Level 3)"/>
    <w:basedOn w:val="Text4"/>
    <w:pPr>
      <w:tabs>
        <w:tab w:val="num" w:pos="2977"/>
      </w:tabs>
      <w:ind w:left="2977" w:hanging="709"/>
    </w:pPr>
    <w:rPr>
      <w:rFonts w:eastAsia="Times New Roman"/>
      <w:lang w:val="fr-FR" w:eastAsia="en-GB"/>
    </w:rPr>
  </w:style>
  <w:style w:type="paragraph" w:customStyle="1" w:styleId="ListNumber1Level4">
    <w:name w:val="List Number 1 (Level 4)"/>
    <w:basedOn w:val="Text1"/>
    <w:pPr>
      <w:numPr>
        <w:ilvl w:val="3"/>
        <w:numId w:val="15"/>
      </w:numPr>
    </w:pPr>
    <w:rPr>
      <w:rFonts w:eastAsia="Times New Roman"/>
      <w:lang w:val="fr-FR" w:eastAsia="en-GB"/>
    </w:rPr>
  </w:style>
  <w:style w:type="paragraph" w:customStyle="1" w:styleId="ListNumber2Level4">
    <w:name w:val="List Number 2 (Level 4)"/>
    <w:basedOn w:val="Text2"/>
    <w:pPr>
      <w:tabs>
        <w:tab w:val="num" w:pos="3686"/>
      </w:tabs>
      <w:ind w:left="3686" w:hanging="709"/>
    </w:pPr>
    <w:rPr>
      <w:rFonts w:eastAsia="Times New Roman"/>
      <w:lang w:val="fr-FR" w:eastAsia="en-GB"/>
    </w:rPr>
  </w:style>
  <w:style w:type="paragraph" w:customStyle="1" w:styleId="ListNumber3Level4">
    <w:name w:val="List Number 3 (Level 4)"/>
    <w:basedOn w:val="Text3"/>
    <w:pPr>
      <w:tabs>
        <w:tab w:val="num" w:pos="3686"/>
      </w:tabs>
      <w:ind w:left="3686" w:hanging="709"/>
    </w:pPr>
    <w:rPr>
      <w:rFonts w:eastAsia="Times New Roman"/>
      <w:lang w:val="fr-FR" w:eastAsia="en-GB"/>
    </w:rPr>
  </w:style>
  <w:style w:type="paragraph" w:customStyle="1" w:styleId="ListNumber4Level4">
    <w:name w:val="List Number 4 (Level 4)"/>
    <w:basedOn w:val="Text4"/>
    <w:pPr>
      <w:tabs>
        <w:tab w:val="num" w:pos="3686"/>
      </w:tabs>
      <w:ind w:left="3686" w:hanging="709"/>
    </w:pPr>
    <w:rPr>
      <w:rFonts w:eastAsia="Times New Roman"/>
      <w:lang w:val="fr-FR" w:eastAsia="en-GB"/>
    </w:rPr>
  </w:style>
  <w:style w:type="paragraph" w:customStyle="1" w:styleId="Annexetitreacte">
    <w:name w:val="Annexe titre (acte)"/>
    <w:basedOn w:val="Normal"/>
    <w:next w:val="Normal"/>
    <w:pPr>
      <w:jc w:val="center"/>
    </w:pPr>
    <w:rPr>
      <w:rFonts w:eastAsia="Times New Roman"/>
      <w:b/>
      <w:u w:val="single"/>
      <w:lang w:val="fr-FR" w:eastAsia="en-GB"/>
    </w:rPr>
  </w:style>
  <w:style w:type="paragraph" w:customStyle="1" w:styleId="Annexetitreexposglobal">
    <w:name w:val="Annexe titre (exposé global)"/>
    <w:basedOn w:val="Normal"/>
    <w:next w:val="Normal"/>
    <w:pPr>
      <w:jc w:val="center"/>
    </w:pPr>
    <w:rPr>
      <w:rFonts w:eastAsia="Times New Roman"/>
      <w:b/>
      <w:u w:val="single"/>
      <w:lang w:val="fr-FR" w:eastAsia="en-GB"/>
    </w:rPr>
  </w:style>
  <w:style w:type="paragraph" w:customStyle="1" w:styleId="Annexetitrefichefinacte">
    <w:name w:val="Annexe titre (fiche fin. acte)"/>
    <w:basedOn w:val="Normal"/>
    <w:next w:val="Normal"/>
    <w:pPr>
      <w:jc w:val="center"/>
    </w:pPr>
    <w:rPr>
      <w:rFonts w:eastAsia="Times New Roman"/>
      <w:b/>
      <w:u w:val="single"/>
      <w:lang w:val="fr-FR" w:eastAsia="en-GB"/>
    </w:rPr>
  </w:style>
  <w:style w:type="paragraph" w:customStyle="1" w:styleId="Annexetitrefichefinglobale">
    <w:name w:val="Annexe titre (fiche fin. globale)"/>
    <w:basedOn w:val="Normal"/>
    <w:next w:val="Normal"/>
    <w:pPr>
      <w:jc w:val="center"/>
    </w:pPr>
    <w:rPr>
      <w:rFonts w:eastAsia="Times New Roman"/>
      <w:b/>
      <w:u w:val="single"/>
      <w:lang w:val="fr-FR" w:eastAsia="en-GB"/>
    </w:rPr>
  </w:style>
  <w:style w:type="paragraph" w:customStyle="1" w:styleId="Annexetitreglobale">
    <w:name w:val="Annexe titre (globale)"/>
    <w:basedOn w:val="Normal"/>
    <w:next w:val="Normal"/>
    <w:pPr>
      <w:jc w:val="center"/>
    </w:pPr>
    <w:rPr>
      <w:rFonts w:eastAsia="Times New Roman"/>
      <w:b/>
      <w:u w:val="single"/>
      <w:lang w:val="fr-FR" w:eastAsia="en-GB"/>
    </w:rPr>
  </w:style>
  <w:style w:type="paragraph" w:customStyle="1" w:styleId="Exposdesmotifstitreglobal">
    <w:name w:val="Exposé des motifs titre (global)"/>
    <w:basedOn w:val="Normal"/>
    <w:next w:val="Normal"/>
    <w:pPr>
      <w:jc w:val="center"/>
    </w:pPr>
    <w:rPr>
      <w:rFonts w:eastAsia="Times New Roman"/>
      <w:b/>
      <w:u w:val="single"/>
      <w:lang w:val="fr-FR" w:eastAsia="en-GB"/>
    </w:rPr>
  </w:style>
  <w:style w:type="paragraph" w:customStyle="1" w:styleId="Langueoriginale">
    <w:name w:val="Langue originale"/>
    <w:basedOn w:val="Normal"/>
    <w:pPr>
      <w:spacing w:before="360"/>
      <w:jc w:val="center"/>
    </w:pPr>
    <w:rPr>
      <w:rFonts w:eastAsia="Times New Roman"/>
      <w:caps/>
      <w:lang w:val="fr-FR" w:eastAsia="en-GB"/>
    </w:rPr>
  </w:style>
  <w:style w:type="paragraph" w:customStyle="1" w:styleId="Phrasefinale">
    <w:name w:val="Phrase finale"/>
    <w:basedOn w:val="Normal"/>
    <w:next w:val="Normal"/>
    <w:pPr>
      <w:spacing w:before="360" w:after="0"/>
      <w:jc w:val="center"/>
    </w:pPr>
    <w:rPr>
      <w:rFonts w:eastAsia="Times New Roman"/>
      <w:lang w:val="fr-FR" w:eastAsia="en-GB"/>
    </w:rPr>
  </w:style>
  <w:style w:type="paragraph" w:customStyle="1" w:styleId="Prliminairetitre">
    <w:name w:val="Préliminaire titre"/>
    <w:basedOn w:val="Normal"/>
    <w:next w:val="Normal"/>
    <w:pPr>
      <w:spacing w:before="360" w:after="360"/>
      <w:jc w:val="center"/>
    </w:pPr>
    <w:rPr>
      <w:rFonts w:eastAsia="Times New Roman"/>
      <w:b/>
      <w:lang w:val="fr-FR" w:eastAsia="en-GB"/>
    </w:rPr>
  </w:style>
  <w:style w:type="paragraph" w:customStyle="1" w:styleId="Prliminairetype">
    <w:name w:val="Préliminaire type"/>
    <w:basedOn w:val="Normal"/>
    <w:next w:val="Normal"/>
    <w:pPr>
      <w:spacing w:before="360" w:after="0"/>
      <w:jc w:val="center"/>
    </w:pPr>
    <w:rPr>
      <w:rFonts w:eastAsia="Times New Roman"/>
      <w:b/>
      <w:lang w:val="fr-FR" w:eastAsia="en-GB"/>
    </w:rPr>
  </w:style>
  <w:style w:type="paragraph" w:customStyle="1" w:styleId="Rfrenceinstitutionelle">
    <w:name w:val="Référence institutionelle"/>
    <w:basedOn w:val="Normal"/>
    <w:next w:val="Statut"/>
    <w:pPr>
      <w:spacing w:before="0" w:after="240"/>
      <w:ind w:left="5103"/>
      <w:jc w:val="left"/>
    </w:pPr>
    <w:rPr>
      <w:rFonts w:eastAsia="Times New Roman"/>
      <w:lang w:val="fr-FR" w:eastAsia="en-GB"/>
    </w:rPr>
  </w:style>
  <w:style w:type="paragraph" w:customStyle="1" w:styleId="Rfrenceinterinstitutionelle">
    <w:name w:val="Référence interinstitutionelle"/>
    <w:basedOn w:val="Normal"/>
    <w:next w:val="Statut"/>
    <w:pPr>
      <w:spacing w:before="0" w:after="0"/>
      <w:ind w:left="5103"/>
      <w:jc w:val="left"/>
    </w:pPr>
    <w:rPr>
      <w:rFonts w:eastAsia="Times New Roman"/>
      <w:lang w:val="fr-FR" w:eastAsia="en-GB"/>
    </w:rPr>
  </w:style>
  <w:style w:type="paragraph" w:customStyle="1" w:styleId="Rfrenceinterinstitutionelleprliminaire">
    <w:name w:val="Référence interinstitutionelle (préliminaire)"/>
    <w:basedOn w:val="Normal"/>
    <w:next w:val="Normal"/>
    <w:pPr>
      <w:spacing w:before="0" w:after="0"/>
      <w:ind w:left="5103"/>
      <w:jc w:val="left"/>
    </w:pPr>
    <w:rPr>
      <w:rFonts w:eastAsia="Times New Roman"/>
      <w:lang w:val="fr-FR" w:eastAsia="en-GB"/>
    </w:rPr>
  </w:style>
  <w:style w:type="paragraph" w:customStyle="1" w:styleId="Sous-titreobjetprliminaire">
    <w:name w:val="Sous-titre objet (préliminaire)"/>
    <w:basedOn w:val="Normal"/>
    <w:pPr>
      <w:spacing w:before="0" w:after="0"/>
      <w:jc w:val="center"/>
    </w:pPr>
    <w:rPr>
      <w:rFonts w:eastAsia="Times New Roman"/>
      <w:b/>
      <w:lang w:val="fr-FR" w:eastAsia="en-GB"/>
    </w:rPr>
  </w:style>
  <w:style w:type="paragraph" w:customStyle="1" w:styleId="Statutprliminaire">
    <w:name w:val="Statut (préliminaire)"/>
    <w:basedOn w:val="Normal"/>
    <w:next w:val="Normal"/>
    <w:pPr>
      <w:spacing w:before="360" w:after="0"/>
      <w:jc w:val="center"/>
    </w:pPr>
    <w:rPr>
      <w:rFonts w:eastAsia="Times New Roman"/>
      <w:lang w:val="fr-FR" w:eastAsia="en-GB"/>
    </w:rPr>
  </w:style>
  <w:style w:type="paragraph" w:customStyle="1" w:styleId="Titreobjetprliminaire">
    <w:name w:val="Titre objet (préliminaire)"/>
    <w:basedOn w:val="Normal"/>
    <w:next w:val="Normal"/>
    <w:pPr>
      <w:spacing w:before="360" w:after="360"/>
      <w:jc w:val="center"/>
    </w:pPr>
    <w:rPr>
      <w:rFonts w:eastAsia="Times New Roman"/>
      <w:b/>
      <w:lang w:val="fr-FR" w:eastAsia="en-GB"/>
    </w:rPr>
  </w:style>
  <w:style w:type="paragraph" w:customStyle="1" w:styleId="Typedudocumentprliminaire">
    <w:name w:val="Type du document (préliminaire)"/>
    <w:basedOn w:val="Normal"/>
    <w:next w:val="Normal"/>
    <w:pPr>
      <w:spacing w:before="360" w:after="0"/>
      <w:jc w:val="center"/>
    </w:pPr>
    <w:rPr>
      <w:rFonts w:eastAsia="Times New Roman"/>
      <w:b/>
      <w:lang w:val="fr-FR" w:eastAsia="en-GB"/>
    </w:rPr>
  </w:style>
  <w:style w:type="paragraph" w:customStyle="1" w:styleId="Fichefinancirestandardtitre">
    <w:name w:val="Fiche financière (standard) titre"/>
    <w:basedOn w:val="Normal"/>
    <w:next w:val="Normal"/>
    <w:pPr>
      <w:jc w:val="center"/>
    </w:pPr>
    <w:rPr>
      <w:rFonts w:eastAsia="Times New Roman"/>
      <w:b/>
      <w:u w:val="single"/>
      <w:lang w:val="fr-FR" w:eastAsia="en-GB"/>
    </w:rPr>
  </w:style>
  <w:style w:type="paragraph" w:customStyle="1" w:styleId="Fichefinancirestandardtitreacte">
    <w:name w:val="Fiche financière (standard) titre (acte)"/>
    <w:basedOn w:val="Normal"/>
    <w:next w:val="Normal"/>
    <w:pPr>
      <w:jc w:val="center"/>
    </w:pPr>
    <w:rPr>
      <w:rFonts w:eastAsia="Times New Roman"/>
      <w:b/>
      <w:u w:val="single"/>
      <w:lang w:val="fr-FR" w:eastAsia="en-GB"/>
    </w:rPr>
  </w:style>
  <w:style w:type="paragraph" w:customStyle="1" w:styleId="Fichefinanciretravailtitre">
    <w:name w:val="Fiche financière (travail) titre"/>
    <w:basedOn w:val="Normal"/>
    <w:next w:val="Normal"/>
    <w:pPr>
      <w:jc w:val="center"/>
    </w:pPr>
    <w:rPr>
      <w:rFonts w:eastAsia="Times New Roman"/>
      <w:b/>
      <w:u w:val="single"/>
      <w:lang w:val="fr-FR" w:eastAsia="en-GB"/>
    </w:rPr>
  </w:style>
  <w:style w:type="paragraph" w:customStyle="1" w:styleId="Fichefinanciretravailtitreacte">
    <w:name w:val="Fiche financière (travail) titre (acte)"/>
    <w:basedOn w:val="Normal"/>
    <w:next w:val="Normal"/>
    <w:pPr>
      <w:jc w:val="center"/>
    </w:pPr>
    <w:rPr>
      <w:rFonts w:eastAsia="Times New Roman"/>
      <w:b/>
      <w:u w:val="single"/>
      <w:lang w:val="fr-FR" w:eastAsia="en-GB"/>
    </w:rPr>
  </w:style>
  <w:style w:type="paragraph" w:customStyle="1" w:styleId="Fichefinancireattributiontitre">
    <w:name w:val="Fiche financière (attribution) titre"/>
    <w:basedOn w:val="Normal"/>
    <w:next w:val="Normal"/>
    <w:pPr>
      <w:jc w:val="center"/>
    </w:pPr>
    <w:rPr>
      <w:rFonts w:eastAsia="Times New Roman"/>
      <w:b/>
      <w:u w:val="single"/>
      <w:lang w:val="fr-FR" w:eastAsia="en-GB"/>
    </w:rPr>
  </w:style>
  <w:style w:type="paragraph" w:customStyle="1" w:styleId="Fichefinancireattributiontitreacte">
    <w:name w:val="Fiche financière (attribution) titre (acte)"/>
    <w:basedOn w:val="Normal"/>
    <w:next w:val="Normal"/>
    <w:pPr>
      <w:jc w:val="center"/>
    </w:pPr>
    <w:rPr>
      <w:rFonts w:eastAsia="Times New Roman"/>
      <w:b/>
      <w:u w:val="single"/>
      <w:lang w:val="fr-FR" w:eastAsia="en-GB"/>
    </w:rPr>
  </w:style>
  <w:style w:type="character" w:styleId="PageNumber">
    <w:name w:val="page number"/>
  </w:style>
  <w:style w:type="character" w:customStyle="1" w:styleId="tw4winMark">
    <w:name w:val="tw4winMark"/>
    <w:rPr>
      <w:vanish/>
      <w:color w:val="800080"/>
      <w:vertAlign w:val="subscript"/>
    </w:rPr>
  </w:style>
  <w:style w:type="character" w:customStyle="1" w:styleId="TOCHeadingChar">
    <w:name w:val="TOC Heading Char"/>
    <w:uiPriority w:val="39"/>
    <w:rPr>
      <w:rFonts w:ascii="Times New Roman" w:hAnsi="Times New Roman" w:cs="Times New Roman"/>
      <w:b/>
      <w:sz w:val="28"/>
      <w:lang w:val="en-GB"/>
    </w:rPr>
  </w:style>
  <w:style w:type="paragraph" w:customStyle="1" w:styleId="Lignefinal">
    <w:name w:val="Ligne final"/>
    <w:basedOn w:val="Normal"/>
    <w:next w:val="Normal"/>
    <w:pPr>
      <w:pBdr>
        <w:bottom w:val="single" w:sz="4" w:space="0" w:color="000000"/>
      </w:pBdr>
      <w:spacing w:before="360" w:line="360" w:lineRule="auto"/>
      <w:ind w:left="3400" w:right="3400"/>
      <w:jc w:val="center"/>
    </w:pPr>
    <w:rPr>
      <w:b/>
    </w:rPr>
  </w:style>
  <w:style w:type="paragraph" w:customStyle="1" w:styleId="Default">
    <w:name w:val="Default"/>
    <w:pPr>
      <w:autoSpaceDE w:val="0"/>
      <w:autoSpaceDN w:val="0"/>
      <w:adjustRightInd w:val="0"/>
      <w:spacing w:after="0" w:line="240" w:lineRule="auto"/>
    </w:pPr>
    <w:rPr>
      <w:rFonts w:ascii="EUAlbertina" w:hAnsi="EUAlbertina" w:cs="EUAlbertina"/>
      <w:color w:val="000000"/>
      <w:sz w:val="24"/>
      <w:szCs w:val="24"/>
      <w:lang w:val="en-GB"/>
    </w:rPr>
  </w:style>
  <w:style w:type="paragraph" w:customStyle="1" w:styleId="Body">
    <w:name w:val="Body"/>
    <w:pPr>
      <w:pBdr>
        <w:top w:val="nil"/>
        <w:left w:val="nil"/>
        <w:bottom w:val="nil"/>
        <w:right w:val="nil"/>
        <w:between w:val="nil"/>
        <w:bar w:val="nil"/>
      </w:pBdr>
    </w:pPr>
    <w:rPr>
      <w:rFonts w:ascii="Calibri" w:eastAsia="Calibri" w:hAnsi="Calibri" w:cs="Calibri"/>
      <w:color w:val="000000"/>
      <w:u w:color="000000"/>
      <w:bdr w:val="nil"/>
      <w:lang w:val="en-GB" w:eastAsia="en-GB"/>
    </w:rPr>
  </w:style>
  <w:style w:type="paragraph" w:customStyle="1" w:styleId="Normal1">
    <w:name w:val="Normal1"/>
    <w:basedOn w:val="Normal"/>
    <w:pPr>
      <w:spacing w:before="100" w:beforeAutospacing="1" w:after="100" w:afterAutospacing="1"/>
      <w:jc w:val="left"/>
    </w:pPr>
    <w:rPr>
      <w:rFonts w:eastAsia="Times New Roman"/>
      <w:szCs w:val="24"/>
      <w:lang w:eastAsia="en-GB"/>
    </w:rPr>
  </w:style>
  <w:style w:type="character" w:customStyle="1" w:styleId="super">
    <w:name w:val="super"/>
    <w:basedOn w:val="DefaultParagraphFont"/>
  </w:style>
  <w:style w:type="paragraph" w:styleId="Header">
    <w:name w:val="header"/>
    <w:basedOn w:val="Normal"/>
    <w:link w:val="HeaderChar"/>
    <w:uiPriority w:val="99"/>
    <w:unhideWhenUsed/>
    <w:rsid w:val="005600BE"/>
    <w:pPr>
      <w:tabs>
        <w:tab w:val="center" w:pos="4535"/>
        <w:tab w:val="right" w:pos="9071"/>
      </w:tabs>
      <w:spacing w:before="0"/>
    </w:pPr>
  </w:style>
  <w:style w:type="character" w:customStyle="1" w:styleId="HeaderChar">
    <w:name w:val="Header Char"/>
    <w:basedOn w:val="DefaultParagraphFont"/>
    <w:link w:val="Header"/>
    <w:uiPriority w:val="99"/>
    <w:rsid w:val="005600BE"/>
    <w:rPr>
      <w:rFonts w:ascii="Times New Roman" w:hAnsi="Times New Roman" w:cs="Times New Roman"/>
      <w:sz w:val="24"/>
      <w:lang w:val="en-GB"/>
    </w:rPr>
  </w:style>
  <w:style w:type="paragraph" w:styleId="Footer">
    <w:name w:val="footer"/>
    <w:basedOn w:val="Normal"/>
    <w:link w:val="FooterChar"/>
    <w:uiPriority w:val="99"/>
    <w:unhideWhenUsed/>
    <w:rsid w:val="005600BE"/>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sid w:val="005600BE"/>
    <w:rPr>
      <w:rFonts w:ascii="Times New Roman" w:hAnsi="Times New Roman" w:cs="Times New Roman"/>
      <w:sz w:val="24"/>
      <w:lang w:val="en-GB"/>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shd w:val="clear" w:color="auto" w:fill="auto"/>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shd w:val="clear" w:color="auto" w:fill="auto"/>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shd w:val="clear" w:color="auto" w:fill="auto"/>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shd w:val="clear" w:color="auto" w:fill="auto"/>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rsid w:val="005600BE"/>
    <w:pPr>
      <w:tabs>
        <w:tab w:val="center" w:pos="7285"/>
        <w:tab w:val="right" w:pos="14003"/>
      </w:tabs>
      <w:spacing w:before="0"/>
    </w:pPr>
  </w:style>
  <w:style w:type="paragraph" w:customStyle="1" w:styleId="FooterLandscape">
    <w:name w:val="FooterLandscape"/>
    <w:basedOn w:val="Normal"/>
    <w:rsid w:val="005600BE"/>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rsid w:val="005600BE"/>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rsid w:val="005600BE"/>
    <w:pPr>
      <w:spacing w:before="0"/>
      <w:jc w:val="right"/>
    </w:pPr>
    <w:rPr>
      <w:sz w:val="28"/>
    </w:rPr>
  </w:style>
  <w:style w:type="paragraph" w:customStyle="1" w:styleId="FooterSensitivity">
    <w:name w:val="Footer Sensitivity"/>
    <w:basedOn w:val="Normal"/>
    <w:rsid w:val="005600BE"/>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32"/>
      </w:numPr>
    </w:pPr>
  </w:style>
  <w:style w:type="paragraph" w:customStyle="1" w:styleId="Tiret1">
    <w:name w:val="Tiret 1"/>
    <w:basedOn w:val="Point1"/>
    <w:pPr>
      <w:numPr>
        <w:numId w:val="33"/>
      </w:numPr>
    </w:pPr>
  </w:style>
  <w:style w:type="paragraph" w:customStyle="1" w:styleId="Tiret2">
    <w:name w:val="Tiret 2"/>
    <w:basedOn w:val="Point2"/>
    <w:pPr>
      <w:numPr>
        <w:numId w:val="34"/>
      </w:numPr>
    </w:pPr>
  </w:style>
  <w:style w:type="paragraph" w:customStyle="1" w:styleId="Tiret3">
    <w:name w:val="Tiret 3"/>
    <w:basedOn w:val="Point3"/>
    <w:pPr>
      <w:numPr>
        <w:numId w:val="35"/>
      </w:numPr>
    </w:pPr>
  </w:style>
  <w:style w:type="paragraph" w:customStyle="1" w:styleId="Tiret4">
    <w:name w:val="Tiret 4"/>
    <w:basedOn w:val="Point4"/>
    <w:pPr>
      <w:numPr>
        <w:numId w:val="36"/>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37"/>
      </w:numPr>
    </w:pPr>
  </w:style>
  <w:style w:type="paragraph" w:customStyle="1" w:styleId="NumPar2">
    <w:name w:val="NumPar 2"/>
    <w:basedOn w:val="Normal"/>
    <w:next w:val="Text1"/>
    <w:pPr>
      <w:numPr>
        <w:ilvl w:val="1"/>
        <w:numId w:val="37"/>
      </w:numPr>
    </w:pPr>
  </w:style>
  <w:style w:type="paragraph" w:customStyle="1" w:styleId="NumPar3">
    <w:name w:val="NumPar 3"/>
    <w:basedOn w:val="Normal"/>
    <w:next w:val="Text1"/>
    <w:pPr>
      <w:numPr>
        <w:ilvl w:val="2"/>
        <w:numId w:val="37"/>
      </w:numPr>
    </w:pPr>
  </w:style>
  <w:style w:type="paragraph" w:customStyle="1" w:styleId="NumPar4">
    <w:name w:val="NumPar 4"/>
    <w:basedOn w:val="Normal"/>
    <w:next w:val="Text1"/>
    <w:pPr>
      <w:numPr>
        <w:ilvl w:val="3"/>
        <w:numId w:val="37"/>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39"/>
      </w:numPr>
    </w:pPr>
  </w:style>
  <w:style w:type="paragraph" w:customStyle="1" w:styleId="Point1number">
    <w:name w:val="Point 1 (number)"/>
    <w:basedOn w:val="Normal"/>
    <w:pPr>
      <w:numPr>
        <w:ilvl w:val="2"/>
        <w:numId w:val="39"/>
      </w:numPr>
    </w:pPr>
  </w:style>
  <w:style w:type="paragraph" w:customStyle="1" w:styleId="Point2number">
    <w:name w:val="Point 2 (number)"/>
    <w:basedOn w:val="Normal"/>
    <w:pPr>
      <w:numPr>
        <w:ilvl w:val="4"/>
        <w:numId w:val="39"/>
      </w:numPr>
    </w:pPr>
  </w:style>
  <w:style w:type="paragraph" w:customStyle="1" w:styleId="Point3number">
    <w:name w:val="Point 3 (number)"/>
    <w:basedOn w:val="Normal"/>
    <w:pPr>
      <w:numPr>
        <w:ilvl w:val="6"/>
        <w:numId w:val="39"/>
      </w:numPr>
    </w:pPr>
  </w:style>
  <w:style w:type="paragraph" w:customStyle="1" w:styleId="Point0letter">
    <w:name w:val="Point 0 (letter)"/>
    <w:basedOn w:val="Normal"/>
    <w:pPr>
      <w:numPr>
        <w:ilvl w:val="1"/>
        <w:numId w:val="39"/>
      </w:numPr>
    </w:pPr>
  </w:style>
  <w:style w:type="paragraph" w:customStyle="1" w:styleId="Point1letter">
    <w:name w:val="Point 1 (letter)"/>
    <w:basedOn w:val="Normal"/>
    <w:pPr>
      <w:numPr>
        <w:ilvl w:val="3"/>
        <w:numId w:val="39"/>
      </w:numPr>
    </w:pPr>
  </w:style>
  <w:style w:type="paragraph" w:customStyle="1" w:styleId="Point2letter">
    <w:name w:val="Point 2 (letter)"/>
    <w:basedOn w:val="Normal"/>
    <w:pPr>
      <w:numPr>
        <w:ilvl w:val="5"/>
        <w:numId w:val="39"/>
      </w:numPr>
    </w:pPr>
  </w:style>
  <w:style w:type="paragraph" w:customStyle="1" w:styleId="Point3letter">
    <w:name w:val="Point 3 (letter)"/>
    <w:basedOn w:val="Normal"/>
    <w:pPr>
      <w:numPr>
        <w:ilvl w:val="7"/>
        <w:numId w:val="39"/>
      </w:numPr>
    </w:pPr>
  </w:style>
  <w:style w:type="paragraph" w:customStyle="1" w:styleId="Point4letter">
    <w:name w:val="Point 4 (letter)"/>
    <w:basedOn w:val="Normal"/>
    <w:pPr>
      <w:numPr>
        <w:ilvl w:val="8"/>
        <w:numId w:val="39"/>
      </w:numPr>
    </w:pPr>
  </w:style>
  <w:style w:type="paragraph" w:customStyle="1" w:styleId="Bullet0">
    <w:name w:val="Bullet 0"/>
    <w:basedOn w:val="Normal"/>
    <w:pPr>
      <w:numPr>
        <w:numId w:val="40"/>
      </w:numPr>
    </w:pPr>
  </w:style>
  <w:style w:type="paragraph" w:customStyle="1" w:styleId="Bullet1">
    <w:name w:val="Bullet 1"/>
    <w:basedOn w:val="Normal"/>
    <w:pPr>
      <w:numPr>
        <w:numId w:val="41"/>
      </w:numPr>
    </w:pPr>
  </w:style>
  <w:style w:type="paragraph" w:customStyle="1" w:styleId="Bullet2">
    <w:name w:val="Bullet 2"/>
    <w:basedOn w:val="Normal"/>
    <w:pPr>
      <w:numPr>
        <w:numId w:val="42"/>
      </w:numPr>
    </w:pPr>
  </w:style>
  <w:style w:type="paragraph" w:customStyle="1" w:styleId="Bullet3">
    <w:name w:val="Bullet 3"/>
    <w:basedOn w:val="Normal"/>
    <w:pPr>
      <w:numPr>
        <w:numId w:val="43"/>
      </w:numPr>
    </w:pPr>
  </w:style>
  <w:style w:type="paragraph" w:customStyle="1" w:styleId="Bullet4">
    <w:name w:val="Bullet 4"/>
    <w:basedOn w:val="Normal"/>
    <w:pPr>
      <w:numPr>
        <w:numId w:val="44"/>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45"/>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Titreobjet"/>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360" w:after="0"/>
      <w:jc w:val="center"/>
    </w:pPr>
  </w:style>
  <w:style w:type="paragraph" w:customStyle="1" w:styleId="Titrearticle">
    <w:name w:val="Titre article"/>
    <w:basedOn w:val="Normal"/>
    <w:next w:val="Normal"/>
    <w:pPr>
      <w:keepNext/>
      <w:spacing w:before="360"/>
      <w:jc w:val="center"/>
    </w:pPr>
    <w:rPr>
      <w:i/>
    </w:rPr>
  </w:style>
  <w:style w:type="paragraph" w:customStyle="1" w:styleId="Titreobjet">
    <w:name w:val="Titre objet"/>
    <w:basedOn w:val="Normal"/>
    <w:next w:val="IntrtEEE"/>
    <w:pPr>
      <w:spacing w:before="360" w:after="360"/>
      <w:jc w:val="center"/>
    </w:pPr>
    <w:rPr>
      <w:b/>
    </w:rPr>
  </w:style>
  <w:style w:type="paragraph" w:customStyle="1" w:styleId="Typedudocument">
    <w:name w:val="Type du document"/>
    <w:basedOn w:val="Normal"/>
    <w:next w:val="Titreobjet"/>
    <w:pPr>
      <w:spacing w:before="360" w:after="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Titreobjet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itreobjetPagedecouverture">
    <w:name w:val="Titre objet (Page de couverture)"/>
    <w:basedOn w:val="Titreobjet"/>
    <w:next w:val="IntrtEEEPagedecouverture"/>
  </w:style>
  <w:style w:type="paragraph" w:customStyle="1" w:styleId="TypedudocumentPagedecouverture">
    <w:name w:val="Type du document (Page de couverture)"/>
    <w:basedOn w:val="Typedudocument"/>
    <w:next w:val="Titreobje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0" w:after="240"/>
      <w:jc w:val="center"/>
    </w:pPr>
    <w:rPr>
      <w:b/>
      <w:i/>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2581621">
      <w:bodyDiv w:val="1"/>
      <w:marLeft w:val="0"/>
      <w:marRight w:val="0"/>
      <w:marTop w:val="0"/>
      <w:marBottom w:val="0"/>
      <w:divBdr>
        <w:top w:val="none" w:sz="0" w:space="0" w:color="auto"/>
        <w:left w:val="none" w:sz="0" w:space="0" w:color="auto"/>
        <w:bottom w:val="none" w:sz="0" w:space="0" w:color="auto"/>
        <w:right w:val="none" w:sz="0" w:space="0" w:color="auto"/>
      </w:divBdr>
    </w:div>
    <w:div w:id="521551201">
      <w:bodyDiv w:val="1"/>
      <w:marLeft w:val="0"/>
      <w:marRight w:val="0"/>
      <w:marTop w:val="0"/>
      <w:marBottom w:val="0"/>
      <w:divBdr>
        <w:top w:val="none" w:sz="0" w:space="0" w:color="auto"/>
        <w:left w:val="none" w:sz="0" w:space="0" w:color="auto"/>
        <w:bottom w:val="none" w:sz="0" w:space="0" w:color="auto"/>
        <w:right w:val="none" w:sz="0" w:space="0" w:color="auto"/>
      </w:divBdr>
    </w:div>
    <w:div w:id="606234461">
      <w:bodyDiv w:val="1"/>
      <w:marLeft w:val="0"/>
      <w:marRight w:val="0"/>
      <w:marTop w:val="0"/>
      <w:marBottom w:val="0"/>
      <w:divBdr>
        <w:top w:val="none" w:sz="0" w:space="0" w:color="auto"/>
        <w:left w:val="none" w:sz="0" w:space="0" w:color="auto"/>
        <w:bottom w:val="none" w:sz="0" w:space="0" w:color="auto"/>
        <w:right w:val="none" w:sz="0" w:space="0" w:color="auto"/>
      </w:divBdr>
      <w:divsChild>
        <w:div w:id="2086487229">
          <w:marLeft w:val="0"/>
          <w:marRight w:val="0"/>
          <w:marTop w:val="0"/>
          <w:marBottom w:val="0"/>
          <w:divBdr>
            <w:top w:val="none" w:sz="0" w:space="0" w:color="auto"/>
            <w:left w:val="none" w:sz="0" w:space="0" w:color="auto"/>
            <w:bottom w:val="none" w:sz="0" w:space="0" w:color="auto"/>
            <w:right w:val="none" w:sz="0" w:space="0" w:color="auto"/>
          </w:divBdr>
          <w:divsChild>
            <w:div w:id="747460571">
              <w:marLeft w:val="0"/>
              <w:marRight w:val="0"/>
              <w:marTop w:val="0"/>
              <w:marBottom w:val="150"/>
              <w:divBdr>
                <w:top w:val="none" w:sz="0" w:space="0" w:color="auto"/>
                <w:left w:val="none" w:sz="0" w:space="0" w:color="auto"/>
                <w:bottom w:val="none" w:sz="0" w:space="0" w:color="auto"/>
                <w:right w:val="none" w:sz="0" w:space="0" w:color="auto"/>
              </w:divBdr>
              <w:divsChild>
                <w:div w:id="1711567601">
                  <w:marLeft w:val="0"/>
                  <w:marRight w:val="0"/>
                  <w:marTop w:val="0"/>
                  <w:marBottom w:val="0"/>
                  <w:divBdr>
                    <w:top w:val="none" w:sz="0" w:space="0" w:color="auto"/>
                    <w:left w:val="none" w:sz="0" w:space="0" w:color="auto"/>
                    <w:bottom w:val="none" w:sz="0" w:space="0" w:color="auto"/>
                    <w:right w:val="none" w:sz="0" w:space="0" w:color="auto"/>
                  </w:divBdr>
                  <w:divsChild>
                    <w:div w:id="57364378">
                      <w:marLeft w:val="0"/>
                      <w:marRight w:val="0"/>
                      <w:marTop w:val="0"/>
                      <w:marBottom w:val="0"/>
                      <w:divBdr>
                        <w:top w:val="none" w:sz="0" w:space="0" w:color="auto"/>
                        <w:left w:val="none" w:sz="0" w:space="0" w:color="auto"/>
                        <w:bottom w:val="none" w:sz="0" w:space="0" w:color="auto"/>
                        <w:right w:val="none" w:sz="0" w:space="0" w:color="auto"/>
                      </w:divBdr>
                      <w:divsChild>
                        <w:div w:id="138155627">
                          <w:marLeft w:val="0"/>
                          <w:marRight w:val="0"/>
                          <w:marTop w:val="0"/>
                          <w:marBottom w:val="0"/>
                          <w:divBdr>
                            <w:top w:val="none" w:sz="0" w:space="0" w:color="auto"/>
                            <w:left w:val="none" w:sz="0" w:space="0" w:color="auto"/>
                            <w:bottom w:val="none" w:sz="0" w:space="0" w:color="auto"/>
                            <w:right w:val="none" w:sz="0" w:space="0" w:color="auto"/>
                          </w:divBdr>
                          <w:divsChild>
                            <w:div w:id="1966964128">
                              <w:marLeft w:val="0"/>
                              <w:marRight w:val="0"/>
                              <w:marTop w:val="0"/>
                              <w:marBottom w:val="0"/>
                              <w:divBdr>
                                <w:top w:val="none" w:sz="0" w:space="0" w:color="auto"/>
                                <w:left w:val="none" w:sz="0" w:space="0" w:color="auto"/>
                                <w:bottom w:val="none" w:sz="0" w:space="0" w:color="auto"/>
                                <w:right w:val="none" w:sz="0" w:space="0" w:color="auto"/>
                              </w:divBdr>
                              <w:divsChild>
                                <w:div w:id="1299384063">
                                  <w:marLeft w:val="0"/>
                                  <w:marRight w:val="-3600"/>
                                  <w:marTop w:val="150"/>
                                  <w:marBottom w:val="0"/>
                                  <w:divBdr>
                                    <w:top w:val="none" w:sz="0" w:space="0" w:color="auto"/>
                                    <w:left w:val="none" w:sz="0" w:space="0" w:color="auto"/>
                                    <w:bottom w:val="none" w:sz="0" w:space="0" w:color="auto"/>
                                    <w:right w:val="none" w:sz="0" w:space="0" w:color="auto"/>
                                  </w:divBdr>
                                  <w:divsChild>
                                    <w:div w:id="1145390697">
                                      <w:marLeft w:val="0"/>
                                      <w:marRight w:val="3600"/>
                                      <w:marTop w:val="0"/>
                                      <w:marBottom w:val="0"/>
                                      <w:divBdr>
                                        <w:top w:val="none" w:sz="0" w:space="0" w:color="auto"/>
                                        <w:left w:val="none" w:sz="0" w:space="0" w:color="auto"/>
                                        <w:bottom w:val="none" w:sz="0" w:space="0" w:color="auto"/>
                                        <w:right w:val="none" w:sz="0" w:space="0" w:color="auto"/>
                                      </w:divBdr>
                                      <w:divsChild>
                                        <w:div w:id="1797487616">
                                          <w:marLeft w:val="0"/>
                                          <w:marRight w:val="0"/>
                                          <w:marTop w:val="0"/>
                                          <w:marBottom w:val="0"/>
                                          <w:divBdr>
                                            <w:top w:val="none" w:sz="0" w:space="0" w:color="auto"/>
                                            <w:left w:val="none" w:sz="0" w:space="0" w:color="auto"/>
                                            <w:bottom w:val="none" w:sz="0" w:space="0" w:color="auto"/>
                                            <w:right w:val="none" w:sz="0" w:space="0" w:color="auto"/>
                                          </w:divBdr>
                                          <w:divsChild>
                                            <w:div w:id="1923291387">
                                              <w:marLeft w:val="0"/>
                                              <w:marRight w:val="0"/>
                                              <w:marTop w:val="0"/>
                                              <w:marBottom w:val="0"/>
                                              <w:divBdr>
                                                <w:top w:val="none" w:sz="0" w:space="0" w:color="auto"/>
                                                <w:left w:val="none" w:sz="0" w:space="0" w:color="auto"/>
                                                <w:bottom w:val="none" w:sz="0" w:space="0" w:color="auto"/>
                                                <w:right w:val="none" w:sz="0" w:space="0" w:color="auto"/>
                                              </w:divBdr>
                                              <w:divsChild>
                                                <w:div w:id="1201359413">
                                                  <w:marLeft w:val="0"/>
                                                  <w:marRight w:val="0"/>
                                                  <w:marTop w:val="0"/>
                                                  <w:marBottom w:val="0"/>
                                                  <w:divBdr>
                                                    <w:top w:val="none" w:sz="0" w:space="0" w:color="auto"/>
                                                    <w:left w:val="none" w:sz="0" w:space="0" w:color="auto"/>
                                                    <w:bottom w:val="none" w:sz="0" w:space="0" w:color="auto"/>
                                                    <w:right w:val="none" w:sz="0" w:space="0" w:color="auto"/>
                                                  </w:divBdr>
                                                  <w:divsChild>
                                                    <w:div w:id="2021588997">
                                                      <w:marLeft w:val="0"/>
                                                      <w:marRight w:val="0"/>
                                                      <w:marTop w:val="0"/>
                                                      <w:marBottom w:val="0"/>
                                                      <w:divBdr>
                                                        <w:top w:val="none" w:sz="0" w:space="0" w:color="auto"/>
                                                        <w:left w:val="none" w:sz="0" w:space="0" w:color="auto"/>
                                                        <w:bottom w:val="none" w:sz="0" w:space="0" w:color="auto"/>
                                                        <w:right w:val="none" w:sz="0" w:space="0" w:color="auto"/>
                                                      </w:divBdr>
                                                      <w:divsChild>
                                                        <w:div w:id="42217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12116869">
      <w:bodyDiv w:val="1"/>
      <w:marLeft w:val="0"/>
      <w:marRight w:val="0"/>
      <w:marTop w:val="0"/>
      <w:marBottom w:val="0"/>
      <w:divBdr>
        <w:top w:val="none" w:sz="0" w:space="0" w:color="auto"/>
        <w:left w:val="none" w:sz="0" w:space="0" w:color="auto"/>
        <w:bottom w:val="none" w:sz="0" w:space="0" w:color="auto"/>
        <w:right w:val="none" w:sz="0" w:space="0" w:color="auto"/>
      </w:divBdr>
    </w:div>
    <w:div w:id="1061635231">
      <w:bodyDiv w:val="1"/>
      <w:marLeft w:val="0"/>
      <w:marRight w:val="0"/>
      <w:marTop w:val="0"/>
      <w:marBottom w:val="0"/>
      <w:divBdr>
        <w:top w:val="none" w:sz="0" w:space="0" w:color="auto"/>
        <w:left w:val="none" w:sz="0" w:space="0" w:color="auto"/>
        <w:bottom w:val="none" w:sz="0" w:space="0" w:color="auto"/>
        <w:right w:val="none" w:sz="0" w:space="0" w:color="auto"/>
      </w:divBdr>
      <w:divsChild>
        <w:div w:id="1732465468">
          <w:marLeft w:val="0"/>
          <w:marRight w:val="0"/>
          <w:marTop w:val="0"/>
          <w:marBottom w:val="0"/>
          <w:divBdr>
            <w:top w:val="none" w:sz="0" w:space="0" w:color="auto"/>
            <w:left w:val="none" w:sz="0" w:space="0" w:color="auto"/>
            <w:bottom w:val="none" w:sz="0" w:space="0" w:color="auto"/>
            <w:right w:val="none" w:sz="0" w:space="0" w:color="auto"/>
          </w:divBdr>
          <w:divsChild>
            <w:div w:id="1634410217">
              <w:marLeft w:val="0"/>
              <w:marRight w:val="0"/>
              <w:marTop w:val="0"/>
              <w:marBottom w:val="150"/>
              <w:divBdr>
                <w:top w:val="none" w:sz="0" w:space="0" w:color="auto"/>
                <w:left w:val="none" w:sz="0" w:space="0" w:color="auto"/>
                <w:bottom w:val="none" w:sz="0" w:space="0" w:color="auto"/>
                <w:right w:val="none" w:sz="0" w:space="0" w:color="auto"/>
              </w:divBdr>
              <w:divsChild>
                <w:div w:id="1598365430">
                  <w:marLeft w:val="0"/>
                  <w:marRight w:val="0"/>
                  <w:marTop w:val="0"/>
                  <w:marBottom w:val="0"/>
                  <w:divBdr>
                    <w:top w:val="none" w:sz="0" w:space="0" w:color="auto"/>
                    <w:left w:val="none" w:sz="0" w:space="0" w:color="auto"/>
                    <w:bottom w:val="none" w:sz="0" w:space="0" w:color="auto"/>
                    <w:right w:val="none" w:sz="0" w:space="0" w:color="auto"/>
                  </w:divBdr>
                  <w:divsChild>
                    <w:div w:id="422336400">
                      <w:marLeft w:val="0"/>
                      <w:marRight w:val="0"/>
                      <w:marTop w:val="0"/>
                      <w:marBottom w:val="0"/>
                      <w:divBdr>
                        <w:top w:val="none" w:sz="0" w:space="0" w:color="auto"/>
                        <w:left w:val="none" w:sz="0" w:space="0" w:color="auto"/>
                        <w:bottom w:val="none" w:sz="0" w:space="0" w:color="auto"/>
                        <w:right w:val="none" w:sz="0" w:space="0" w:color="auto"/>
                      </w:divBdr>
                      <w:divsChild>
                        <w:div w:id="1392537955">
                          <w:marLeft w:val="0"/>
                          <w:marRight w:val="0"/>
                          <w:marTop w:val="0"/>
                          <w:marBottom w:val="0"/>
                          <w:divBdr>
                            <w:top w:val="none" w:sz="0" w:space="0" w:color="auto"/>
                            <w:left w:val="none" w:sz="0" w:space="0" w:color="auto"/>
                            <w:bottom w:val="none" w:sz="0" w:space="0" w:color="auto"/>
                            <w:right w:val="none" w:sz="0" w:space="0" w:color="auto"/>
                          </w:divBdr>
                          <w:divsChild>
                            <w:div w:id="1583878954">
                              <w:marLeft w:val="0"/>
                              <w:marRight w:val="0"/>
                              <w:marTop w:val="0"/>
                              <w:marBottom w:val="0"/>
                              <w:divBdr>
                                <w:top w:val="none" w:sz="0" w:space="0" w:color="auto"/>
                                <w:left w:val="none" w:sz="0" w:space="0" w:color="auto"/>
                                <w:bottom w:val="none" w:sz="0" w:space="0" w:color="auto"/>
                                <w:right w:val="none" w:sz="0" w:space="0" w:color="auto"/>
                              </w:divBdr>
                              <w:divsChild>
                                <w:div w:id="651253905">
                                  <w:marLeft w:val="0"/>
                                  <w:marRight w:val="-3600"/>
                                  <w:marTop w:val="150"/>
                                  <w:marBottom w:val="0"/>
                                  <w:divBdr>
                                    <w:top w:val="none" w:sz="0" w:space="0" w:color="auto"/>
                                    <w:left w:val="none" w:sz="0" w:space="0" w:color="auto"/>
                                    <w:bottom w:val="none" w:sz="0" w:space="0" w:color="auto"/>
                                    <w:right w:val="none" w:sz="0" w:space="0" w:color="auto"/>
                                  </w:divBdr>
                                  <w:divsChild>
                                    <w:div w:id="970481595">
                                      <w:marLeft w:val="0"/>
                                      <w:marRight w:val="3600"/>
                                      <w:marTop w:val="0"/>
                                      <w:marBottom w:val="0"/>
                                      <w:divBdr>
                                        <w:top w:val="none" w:sz="0" w:space="0" w:color="auto"/>
                                        <w:left w:val="none" w:sz="0" w:space="0" w:color="auto"/>
                                        <w:bottom w:val="none" w:sz="0" w:space="0" w:color="auto"/>
                                        <w:right w:val="none" w:sz="0" w:space="0" w:color="auto"/>
                                      </w:divBdr>
                                      <w:divsChild>
                                        <w:div w:id="1921014592">
                                          <w:marLeft w:val="0"/>
                                          <w:marRight w:val="0"/>
                                          <w:marTop w:val="0"/>
                                          <w:marBottom w:val="0"/>
                                          <w:divBdr>
                                            <w:top w:val="none" w:sz="0" w:space="0" w:color="auto"/>
                                            <w:left w:val="none" w:sz="0" w:space="0" w:color="auto"/>
                                            <w:bottom w:val="none" w:sz="0" w:space="0" w:color="auto"/>
                                            <w:right w:val="none" w:sz="0" w:space="0" w:color="auto"/>
                                          </w:divBdr>
                                          <w:divsChild>
                                            <w:div w:id="1668357989">
                                              <w:marLeft w:val="0"/>
                                              <w:marRight w:val="0"/>
                                              <w:marTop w:val="0"/>
                                              <w:marBottom w:val="0"/>
                                              <w:divBdr>
                                                <w:top w:val="none" w:sz="0" w:space="0" w:color="auto"/>
                                                <w:left w:val="none" w:sz="0" w:space="0" w:color="auto"/>
                                                <w:bottom w:val="none" w:sz="0" w:space="0" w:color="auto"/>
                                                <w:right w:val="none" w:sz="0" w:space="0" w:color="auto"/>
                                              </w:divBdr>
                                              <w:divsChild>
                                                <w:div w:id="1432236735">
                                                  <w:marLeft w:val="0"/>
                                                  <w:marRight w:val="0"/>
                                                  <w:marTop w:val="0"/>
                                                  <w:marBottom w:val="0"/>
                                                  <w:divBdr>
                                                    <w:top w:val="none" w:sz="0" w:space="0" w:color="auto"/>
                                                    <w:left w:val="none" w:sz="0" w:space="0" w:color="auto"/>
                                                    <w:bottom w:val="none" w:sz="0" w:space="0" w:color="auto"/>
                                                    <w:right w:val="none" w:sz="0" w:space="0" w:color="auto"/>
                                                  </w:divBdr>
                                                  <w:divsChild>
                                                    <w:div w:id="1701011168">
                                                      <w:marLeft w:val="0"/>
                                                      <w:marRight w:val="0"/>
                                                      <w:marTop w:val="0"/>
                                                      <w:marBottom w:val="0"/>
                                                      <w:divBdr>
                                                        <w:top w:val="none" w:sz="0" w:space="0" w:color="auto"/>
                                                        <w:left w:val="none" w:sz="0" w:space="0" w:color="auto"/>
                                                        <w:bottom w:val="none" w:sz="0" w:space="0" w:color="auto"/>
                                                        <w:right w:val="none" w:sz="0" w:space="0" w:color="auto"/>
                                                      </w:divBdr>
                                                      <w:divsChild>
                                                        <w:div w:id="1682079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38874568">
      <w:bodyDiv w:val="1"/>
      <w:marLeft w:val="0"/>
      <w:marRight w:val="0"/>
      <w:marTop w:val="0"/>
      <w:marBottom w:val="0"/>
      <w:divBdr>
        <w:top w:val="none" w:sz="0" w:space="0" w:color="auto"/>
        <w:left w:val="none" w:sz="0" w:space="0" w:color="auto"/>
        <w:bottom w:val="none" w:sz="0" w:space="0" w:color="auto"/>
        <w:right w:val="none" w:sz="0" w:space="0" w:color="auto"/>
      </w:divBdr>
    </w:div>
    <w:div w:id="1886019672">
      <w:bodyDiv w:val="1"/>
      <w:marLeft w:val="0"/>
      <w:marRight w:val="0"/>
      <w:marTop w:val="0"/>
      <w:marBottom w:val="0"/>
      <w:divBdr>
        <w:top w:val="none" w:sz="0" w:space="0" w:color="auto"/>
        <w:left w:val="none" w:sz="0" w:space="0" w:color="auto"/>
        <w:bottom w:val="none" w:sz="0" w:space="0" w:color="auto"/>
        <w:right w:val="none" w:sz="0" w:space="0" w:color="auto"/>
      </w:divBdr>
    </w:div>
    <w:div w:id="2074545182">
      <w:bodyDiv w:val="1"/>
      <w:marLeft w:val="0"/>
      <w:marRight w:val="0"/>
      <w:marTop w:val="0"/>
      <w:marBottom w:val="0"/>
      <w:divBdr>
        <w:top w:val="none" w:sz="0" w:space="0" w:color="auto"/>
        <w:left w:val="none" w:sz="0" w:space="0" w:color="auto"/>
        <w:bottom w:val="none" w:sz="0" w:space="0" w:color="auto"/>
        <w:right w:val="none" w:sz="0" w:space="0" w:color="auto"/>
      </w:divBdr>
    </w:div>
    <w:div w:id="2093233368">
      <w:bodyDiv w:val="1"/>
      <w:marLeft w:val="0"/>
      <w:marRight w:val="0"/>
      <w:marTop w:val="0"/>
      <w:marBottom w:val="0"/>
      <w:divBdr>
        <w:top w:val="none" w:sz="0" w:space="0" w:color="auto"/>
        <w:left w:val="none" w:sz="0" w:space="0" w:color="auto"/>
        <w:bottom w:val="none" w:sz="0" w:space="0" w:color="auto"/>
        <w:right w:val="none" w:sz="0" w:space="0" w:color="auto"/>
      </w:divBdr>
    </w:div>
    <w:div w:id="2105877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COM.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057737ED-B458-4ED6-ADBA-014571EE78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COM.dotm</Template>
  <TotalTime>3</TotalTime>
  <Pages>5</Pages>
  <Words>931</Words>
  <Characters>4939</Characters>
  <Application>Microsoft Office Word</Application>
  <DocSecurity>0</DocSecurity>
  <Lines>91</Lines>
  <Paragraphs>37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KUDRYK Katarzyna (SG)</cp:lastModifiedBy>
  <cp:revision>20</cp:revision>
  <cp:lastPrinted>2019-10-17T11:12:00Z</cp:lastPrinted>
  <dcterms:created xsi:type="dcterms:W3CDTF">2020-01-17T08:18:00Z</dcterms:created>
  <dcterms:modified xsi:type="dcterms:W3CDTF">2020-01-17T13:05:00Z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COM/PL/ORG</vt:lpwstr>
  </property>
  <property fmtid="{D5CDD505-2E9C-101B-9397-08002B2CF9AE}" pid="3" name="Version">
    <vt:lpwstr>6.0.1.0</vt:lpwstr>
  </property>
  <property fmtid="{D5CDD505-2E9C-101B-9397-08002B2CF9AE}" pid="4" name="Last edited using">
    <vt:lpwstr>LW 7.0.1, Build 20190916</vt:lpwstr>
  </property>
  <property fmtid="{D5CDD505-2E9C-101B-9397-08002B2CF9AE}" pid="5" name="Created using">
    <vt:lpwstr>LW 6.0, Build 20171009</vt:lpwstr>
  </property>
  <property fmtid="{D5CDD505-2E9C-101B-9397-08002B2CF9AE}" pid="6" name="Part">
    <vt:lpwstr>1</vt:lpwstr>
  </property>
  <property fmtid="{D5CDD505-2E9C-101B-9397-08002B2CF9AE}" pid="7" name="Total parts">
    <vt:lpwstr>1</vt:lpwstr>
  </property>
  <property fmtid="{D5CDD505-2E9C-101B-9397-08002B2CF9AE}" pid="8" name="Level of sensitivity">
    <vt:lpwstr>Standard treatment</vt:lpwstr>
  </property>
  <property fmtid="{D5CDD505-2E9C-101B-9397-08002B2CF9AE}" pid="9" name="LWTemplateID">
    <vt:lpwstr>SJ-019</vt:lpwstr>
  </property>
  <property fmtid="{D5CDD505-2E9C-101B-9397-08002B2CF9AE}" pid="10" name="DQCStatus">
    <vt:lpwstr>Yellow (DQC version 03)</vt:lpwstr>
  </property>
</Properties>
</file>