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Pagedecouverture"/>
        <w:rPr>
          <w:noProof/>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4" type="#_x0000_t75" alt="D072ACD9-D9D0-442F-8558-3F9C5B4ACACB" style="width:450.8pt;height:422.6pt">
            <v:imagedata r:id="rId9" o:title=""/>
          </v:shape>
        </w:pict>
      </w:r>
    </w:p>
    <w:p>
      <w:pPr>
        <w:pStyle w:val="Pagedecouverture"/>
        <w:rPr>
          <w:noProof/>
        </w:rPr>
        <w:sectPr>
          <w:footerReference w:type="default" r:id="rId10"/>
          <w:pgSz w:w="11907" w:h="16839"/>
          <w:pgMar w:top="1134" w:right="1417" w:bottom="1134" w:left="1417" w:header="709" w:footer="709" w:gutter="0"/>
          <w:pgNumType w:start="0"/>
          <w:cols w:space="720"/>
          <w:docGrid w:linePitch="360"/>
        </w:sectPr>
      </w:pPr>
    </w:p>
    <w:p>
      <w:pPr>
        <w:pStyle w:val="Exposdesmotifstitre"/>
        <w:rPr>
          <w:noProof/>
        </w:rPr>
      </w:pPr>
      <w:bookmarkStart w:id="0" w:name="_GoBack"/>
      <w:bookmarkEnd w:id="0"/>
      <w:r>
        <w:rPr>
          <w:noProof/>
        </w:rPr>
        <w:lastRenderedPageBreak/>
        <w:t>EXPOSÉ DES MOTIFS</w:t>
      </w:r>
    </w:p>
    <w:p>
      <w:pPr>
        <w:pBdr>
          <w:top w:val="nil"/>
          <w:left w:val="nil"/>
          <w:bottom w:val="nil"/>
          <w:right w:val="nil"/>
          <w:between w:val="nil"/>
          <w:bar w:val="nil"/>
        </w:pBdr>
        <w:spacing w:before="240" w:after="240"/>
        <w:rPr>
          <w:noProof/>
          <w:szCs w:val="24"/>
        </w:rPr>
      </w:pPr>
      <w:r>
        <w:rPr>
          <w:noProof/>
        </w:rPr>
        <w:t xml:space="preserve">Le 29 mars 2017, le Royaume-Uni a notifié au Conseil européen, en vertu de l’article 50 du traité sur l’Union européenne (TUE), son intention de se retirer de l’Union européenne et de la Communauté européenne de l’énergie atomique. Conformément à cette disposition, l’Union européenne a négocié avec le Royaume-Uni un accord fixant les modalités de son retrait (ci-après l’«accord de retrait»), en tenant compte du cadre de ses relations futures avec l’Union. </w:t>
      </w:r>
    </w:p>
    <w:p>
      <w:pPr>
        <w:pBdr>
          <w:top w:val="nil"/>
          <w:left w:val="nil"/>
          <w:bottom w:val="nil"/>
          <w:right w:val="nil"/>
          <w:between w:val="nil"/>
          <w:bar w:val="nil"/>
        </w:pBdr>
        <w:spacing w:after="240"/>
        <w:rPr>
          <w:noProof/>
          <w:szCs w:val="24"/>
        </w:rPr>
      </w:pPr>
      <w:r>
        <w:rPr>
          <w:noProof/>
        </w:rPr>
        <w:t>Le 11 janvier 2019, le Conseil a adopté la décision (UE) 2019/274 autorisant la signature de l’accord de retrait</w:t>
      </w:r>
      <w:r>
        <w:rPr>
          <w:rStyle w:val="FootnoteReference"/>
          <w:noProof/>
        </w:rPr>
        <w:footnoteReference w:id="1"/>
      </w:r>
      <w:r>
        <w:rPr>
          <w:noProof/>
        </w:rPr>
        <w:t xml:space="preserve"> et a transmis le projet de décision du Conseil relative à la conclusion de l’accord de retrait au Parlement européen pour approbation. </w:t>
      </w:r>
    </w:p>
    <w:p>
      <w:pPr>
        <w:rPr>
          <w:noProof/>
          <w:szCs w:val="24"/>
        </w:rPr>
      </w:pPr>
      <w:r>
        <w:rPr>
          <w:noProof/>
        </w:rPr>
        <w:t>Toutefois, le gouvernement du Royaume-Uni n’a pas obtenu le soutien nécessaire de son parlement pour signer et ratifier l’accord de retrait et a demandé au Conseil européen de proroger le délai prévu à l’article 50, paragraphe 3, du TUE. Le Conseil européen a accordé initialement une prorogation jusqu’au 12 avril 2019</w:t>
      </w:r>
      <w:r>
        <w:rPr>
          <w:rStyle w:val="FootnoteReference"/>
          <w:noProof/>
        </w:rPr>
        <w:footnoteReference w:id="2"/>
      </w:r>
      <w:r>
        <w:rPr>
          <w:noProof/>
        </w:rPr>
        <w:t>. Une nouvelle prorogation a ensuite été accordée jusqu’au 31 octobre 2019</w:t>
      </w:r>
      <w:r>
        <w:rPr>
          <w:rStyle w:val="FootnoteReference"/>
          <w:noProof/>
        </w:rPr>
        <w:footnoteReference w:id="3"/>
      </w:r>
      <w:r>
        <w:rPr>
          <w:noProof/>
        </w:rPr>
        <w:t>, puis jusqu’au 31 janvier 2020</w:t>
      </w:r>
      <w:r>
        <w:rPr>
          <w:rStyle w:val="FootnoteReference"/>
          <w:noProof/>
        </w:rPr>
        <w:footnoteReference w:id="4"/>
      </w:r>
      <w:r>
        <w:rPr>
          <w:noProof/>
        </w:rPr>
        <w:t>.</w:t>
      </w:r>
    </w:p>
    <w:p>
      <w:pPr>
        <w:rPr>
          <w:noProof/>
          <w:szCs w:val="24"/>
        </w:rPr>
      </w:pPr>
      <w:r>
        <w:rPr>
          <w:noProof/>
        </w:rPr>
        <w:t>L'article 185, troisième alinéa, de l'accord de retrait prévoit que, lorsqu'elle procède à la notification écrite de l'achèvement de ses procédures internes nécessaires, l'Union peut, à l'égard de tout État membre ayant soulevé des raisons liées aux principes fondamentaux du droit national dudit État membre, déclarer que, pendant la période de transition, outre les motifs de non-exécution d'un mandat d'arrêt européen visés dans la décision-cadre 2002/584/JAI du Conseil</w:t>
      </w:r>
      <w:r>
        <w:rPr>
          <w:rStyle w:val="FootnoteReference"/>
          <w:noProof/>
        </w:rPr>
        <w:footnoteReference w:id="5"/>
      </w:r>
      <w:r>
        <w:rPr>
          <w:noProof/>
        </w:rPr>
        <w:t>, les autorités judiciaires d'exécution de cet État membre peuvent refuser de remettre ses ressortissants au Royaume-Uni en vertu d'un mandat d'arrêt européen. L'article 4 de la décision (UE) 2019/274 prévoit que les États membres qui ont l'intention de recourir à la possibilité prévue à l'article 185, deuxième alinéa, de l'accord de retrait, doivent en informer la Commission et le secrétariat général du Conseil avant le 15 février 2019</w:t>
      </w:r>
      <w:r>
        <w:rPr>
          <w:rStyle w:val="FootnoteReference"/>
          <w:noProof/>
        </w:rPr>
        <w:footnoteReference w:id="6"/>
      </w:r>
      <w:r>
        <w:rPr>
          <w:noProof/>
        </w:rPr>
        <w:t xml:space="preserve">. </w:t>
      </w:r>
    </w:p>
    <w:p>
      <w:pPr>
        <w:rPr>
          <w:noProof/>
        </w:rPr>
      </w:pPr>
      <w:r>
        <w:rPr>
          <w:noProof/>
        </w:rPr>
        <w:t>Compte tenu des diverses prorogations du délai prévu à l’article 50, paragraphe 3, du TUE, il convient de fixer un nouveau délai au cours duquel les États membres ayant l'intention de recourir à cette possibilité devraient en informer la Commission et le secrétariat général du Conseil.</w:t>
      </w:r>
    </w:p>
    <w:p>
      <w:pPr>
        <w:pBdr>
          <w:top w:val="nil"/>
          <w:left w:val="nil"/>
          <w:bottom w:val="nil"/>
          <w:right w:val="nil"/>
          <w:between w:val="nil"/>
          <w:bar w:val="nil"/>
        </w:pBdr>
        <w:spacing w:after="240"/>
        <w:rPr>
          <w:noProof/>
          <w:szCs w:val="24"/>
        </w:rPr>
        <w:sectPr>
          <w:footerReference w:type="default" r:id="rId11"/>
          <w:footerReference w:type="first" r:id="rId12"/>
          <w:footnotePr>
            <w:numRestart w:val="eachSect"/>
          </w:footnotePr>
          <w:pgSz w:w="11907" w:h="16840" w:code="9"/>
          <w:pgMar w:top="1134" w:right="1418" w:bottom="1134" w:left="1418" w:header="709" w:footer="709" w:gutter="0"/>
          <w:cols w:space="708"/>
          <w:docGrid w:linePitch="360"/>
        </w:sectPr>
      </w:pPr>
      <w:r>
        <w:rPr>
          <w:noProof/>
        </w:rPr>
        <w:lastRenderedPageBreak/>
        <w:t xml:space="preserve">Il est donc nécessaire de modifier la décision (UE) 2019/274 relative à la signature de l’accord de retrait en conséquence.  </w:t>
      </w:r>
    </w:p>
    <w:p>
      <w:pPr>
        <w:pStyle w:val="Rfrenceinterinstitutionnelle"/>
        <w:rPr>
          <w:noProof/>
        </w:rPr>
      </w:pPr>
      <w:r>
        <w:rPr>
          <w:noProof/>
        </w:rPr>
        <w:lastRenderedPageBreak/>
        <w:t>2020/0012 (NLE)</w:t>
      </w:r>
    </w:p>
    <w:p>
      <w:pPr>
        <w:pStyle w:val="Statut"/>
        <w:rPr>
          <w:noProof/>
        </w:rPr>
      </w:pPr>
      <w:r>
        <w:rPr>
          <w:noProof/>
        </w:rPr>
        <w:t>Proposition de</w:t>
      </w:r>
    </w:p>
    <w:p>
      <w:pPr>
        <w:pStyle w:val="Typedudocument"/>
        <w:rPr>
          <w:noProof/>
        </w:rPr>
      </w:pPr>
      <w:r>
        <w:rPr>
          <w:noProof/>
        </w:rPr>
        <w:t>DÉCISION DU CONSEIL</w:t>
      </w:r>
    </w:p>
    <w:p>
      <w:pPr>
        <w:pStyle w:val="Titreobjet"/>
        <w:rPr>
          <w:noProof/>
        </w:rPr>
      </w:pPr>
      <w:r>
        <w:rPr>
          <w:noProof/>
        </w:rPr>
        <w:t>portant modification de la décision (UE) 2019/274 relative à la signature, au nom de l’Union européenne et de la Communauté européenne de l’énergie atomique, de l’accord sur le retrait du Royaume-Uni de Grande-Bretagne et d’Irlande du Nord de l’Union européenne et de la Communauté européenne de l’énergie atomique</w:t>
      </w:r>
    </w:p>
    <w:p>
      <w:pPr>
        <w:pStyle w:val="IntrtEEE"/>
        <w:rPr>
          <w:noProof/>
        </w:rPr>
      </w:pPr>
      <w:r>
        <w:rPr>
          <w:noProof/>
        </w:rPr>
        <w:t>(Texte présentant de l'intérêt pour l'EEE)</w:t>
      </w:r>
    </w:p>
    <w:p>
      <w:pPr>
        <w:pStyle w:val="Institutionquiagit"/>
        <w:rPr>
          <w:noProof/>
        </w:rPr>
      </w:pPr>
      <w:r>
        <w:rPr>
          <w:noProof/>
        </w:rPr>
        <w:t>LE CONSEIL DE L'UNION EUROPÉENNE,</w:t>
      </w:r>
    </w:p>
    <w:p>
      <w:pPr>
        <w:rPr>
          <w:noProof/>
        </w:rPr>
      </w:pPr>
      <w:r>
        <w:rPr>
          <w:noProof/>
        </w:rPr>
        <w:t>vu le traité sur l'Union européenne, et notamment son article 50,</w:t>
      </w:r>
    </w:p>
    <w:p>
      <w:pPr>
        <w:rPr>
          <w:noProof/>
        </w:rPr>
      </w:pPr>
      <w:r>
        <w:rPr>
          <w:noProof/>
        </w:rPr>
        <w:t>vu la proposition de la Commission européenne,</w:t>
      </w:r>
    </w:p>
    <w:p>
      <w:pPr>
        <w:rPr>
          <w:noProof/>
        </w:rPr>
      </w:pPr>
      <w:r>
        <w:rPr>
          <w:noProof/>
        </w:rPr>
        <w:t>considérant ce qui suit:</w:t>
      </w:r>
    </w:p>
    <w:p>
      <w:pPr>
        <w:pStyle w:val="ManualConsidrant"/>
        <w:rPr>
          <w:noProof/>
        </w:rPr>
      </w:pPr>
      <w:r>
        <w:t>(1)</w:t>
      </w:r>
      <w:r>
        <w:tab/>
      </w:r>
      <w:r>
        <w:rPr>
          <w:noProof/>
        </w:rPr>
        <w:t>Le 11 janvier 2019, le Conseil a adopté la décision (UE) 2019/274</w:t>
      </w:r>
      <w:r>
        <w:rPr>
          <w:rStyle w:val="FootnoteReference"/>
          <w:noProof/>
        </w:rPr>
        <w:footnoteReference w:id="7"/>
      </w:r>
      <w:r>
        <w:rPr>
          <w:noProof/>
        </w:rPr>
        <w:t xml:space="preserve"> relative à la signature de l'accord de retrait. </w:t>
      </w:r>
    </w:p>
    <w:p>
      <w:pPr>
        <w:pStyle w:val="ManualConsidrant"/>
        <w:rPr>
          <w:noProof/>
        </w:rPr>
      </w:pPr>
      <w:r>
        <w:t>(2)</w:t>
      </w:r>
      <w:r>
        <w:tab/>
      </w:r>
      <w:r>
        <w:rPr>
          <w:noProof/>
        </w:rPr>
        <w:t>Par sa décision (UE) 2019/476</w:t>
      </w:r>
      <w:r>
        <w:rPr>
          <w:rStyle w:val="FootnoteReference"/>
          <w:noProof/>
        </w:rPr>
        <w:footnoteReference w:id="8"/>
      </w:r>
      <w:r>
        <w:rPr>
          <w:noProof/>
        </w:rPr>
        <w:t>, le Conseil européen a prorogé une première fois, en accord avec le Royaume-Uni, le délai prévu à l'article 50, paragraphe 3, du TUE jusqu'au 12 avril 2019. Ce délai a ensuite été prorogé jusqu’au 31 octobre 2019 par la décision (UE) 2019/584 du Conseil européen</w:t>
      </w:r>
      <w:r>
        <w:rPr>
          <w:rStyle w:val="FootnoteReference"/>
          <w:noProof/>
        </w:rPr>
        <w:footnoteReference w:id="9"/>
      </w:r>
      <w:r>
        <w:rPr>
          <w:noProof/>
        </w:rPr>
        <w:t>, prise en accord avec le Royaume-Uni, puis jusqu’au 31 janvier 2020 par la décision (UE) 2019/1810 du Conseil européen</w:t>
      </w:r>
      <w:r>
        <w:rPr>
          <w:rStyle w:val="FootnoteReference"/>
          <w:noProof/>
        </w:rPr>
        <w:footnoteReference w:id="10"/>
      </w:r>
      <w:r>
        <w:rPr>
          <w:noProof/>
        </w:rPr>
        <w:t xml:space="preserve">, prise en accord avec le Royaume-Uni. </w:t>
      </w:r>
    </w:p>
    <w:p>
      <w:pPr>
        <w:pStyle w:val="ManualConsidrant"/>
        <w:rPr>
          <w:noProof/>
        </w:rPr>
      </w:pPr>
      <w:r>
        <w:t>(3)</w:t>
      </w:r>
      <w:r>
        <w:tab/>
      </w:r>
      <w:r>
        <w:rPr>
          <w:noProof/>
        </w:rPr>
        <w:t>L'article 185, troisième alinéa, de l'accord de retrait, tel qu'il a été adapté</w:t>
      </w:r>
      <w:r>
        <w:rPr>
          <w:rStyle w:val="FootnoteReference"/>
          <w:noProof/>
        </w:rPr>
        <w:footnoteReference w:id="11"/>
      </w:r>
      <w:r>
        <w:rPr>
          <w:noProof/>
        </w:rPr>
        <w:t xml:space="preserve">, prévoit que, lorsqu'elle procède à la notification écrite de l'achèvement de ses procédures internes nécessaires, l'Union peut, à l'égard de tout État membre ayant soulevé des raisons liées aux principes fondamentaux du droit national dudit État membre, déclarer que, pendant la période de transition, outre les motifs de non-exécution d'un mandat d'arrêt </w:t>
      </w:r>
      <w:r>
        <w:rPr>
          <w:noProof/>
        </w:rPr>
        <w:lastRenderedPageBreak/>
        <w:t>européen visés dans la décision-cadre 2002/584/JAI du Conseil</w:t>
      </w:r>
      <w:r>
        <w:rPr>
          <w:rStyle w:val="FootnoteReference"/>
          <w:noProof/>
        </w:rPr>
        <w:footnoteReference w:id="12"/>
      </w:r>
      <w:r>
        <w:rPr>
          <w:noProof/>
        </w:rPr>
        <w:t>, les autorités judiciaires d'exécution de cet État membre peuvent refuser de remettre ses ressortissants au Royaume-Uni en vertu d'un mandat d'arrêt européen. En application de l'article 4 de la décision (UE) 2019/274, les États membres qui ont l'intention de recourir à la possibilité prévue à l'article 185, troisième alinéa, de l'accord de retrait, doivent en informer la Commission et le secrétariat général du Conseil avant le 15 février 2019.</w:t>
      </w:r>
    </w:p>
    <w:p>
      <w:pPr>
        <w:pStyle w:val="ManualConsidrant"/>
        <w:rPr>
          <w:noProof/>
        </w:rPr>
      </w:pPr>
      <w:r>
        <w:t>(4)</w:t>
      </w:r>
      <w:r>
        <w:tab/>
      </w:r>
      <w:r>
        <w:rPr>
          <w:noProof/>
        </w:rPr>
        <w:t>Compte tenu des diverses prorogations du délai prévu à l’article 50, paragraphe 3, du TUE, il convient de modifier la décision (UE) 2019/274 afin de fixer un nouveau délai au cours duquel les États membres ayant l'intention de recourir à la possibilité prévue à l'article 185, troisième alinéa, devraient en informer la Commission et le secrétariat général du Conseil. Par la même occasion, il convient d’adapter la référence à l'alinéa concerné de l’article 185 de l’accord de retrait.</w:t>
      </w:r>
    </w:p>
    <w:p>
      <w:pPr>
        <w:pStyle w:val="ManualConsidrant"/>
        <w:rPr>
          <w:noProof/>
        </w:rPr>
      </w:pPr>
      <w:r>
        <w:t>(5)</w:t>
      </w:r>
      <w:r>
        <w:tab/>
      </w:r>
      <w:r>
        <w:rPr>
          <w:noProof/>
        </w:rPr>
        <w:t>Il convient donc de modifier la décision (UE) 2019/274 en conséquence.</w:t>
      </w:r>
    </w:p>
    <w:p>
      <w:pPr>
        <w:pStyle w:val="ManualConsidrant"/>
        <w:rPr>
          <w:noProof/>
        </w:rPr>
      </w:pPr>
      <w:r>
        <w:t>(6)</w:t>
      </w:r>
      <w:r>
        <w:tab/>
      </w:r>
      <w:r>
        <w:rPr>
          <w:noProof/>
        </w:rPr>
        <w:t>Ainsi que le prévoit l'article 50, paragraphe 4, du TUE, le Royaume-Uni n'a pas participé aux délibérations du Conseil concernant la présente décision, ni à son adoption,</w:t>
      </w:r>
    </w:p>
    <w:p>
      <w:pPr>
        <w:pStyle w:val="Formuledadoption"/>
        <w:rPr>
          <w:noProof/>
        </w:rPr>
      </w:pPr>
      <w:r>
        <w:rPr>
          <w:noProof/>
        </w:rPr>
        <w:t>A ADOPTÉ LA PRÉSENTE DÉCISION:</w:t>
      </w:r>
    </w:p>
    <w:p>
      <w:pPr>
        <w:pStyle w:val="Titrearticle"/>
        <w:rPr>
          <w:noProof/>
        </w:rPr>
      </w:pPr>
      <w:r>
        <w:rPr>
          <w:noProof/>
        </w:rPr>
        <w:t>Article premier</w:t>
      </w:r>
    </w:p>
    <w:p>
      <w:pPr>
        <w:rPr>
          <w:noProof/>
        </w:rPr>
      </w:pPr>
    </w:p>
    <w:p>
      <w:pPr>
        <w:rPr>
          <w:noProof/>
        </w:rPr>
      </w:pPr>
      <w:r>
        <w:rPr>
          <w:noProof/>
        </w:rPr>
        <w:t>L'article 4 de la décision (UE) 2019/274 est remplacé par le texte suivant:</w:t>
      </w:r>
    </w:p>
    <w:p>
      <w:pPr>
        <w:jc w:val="center"/>
        <w:rPr>
          <w:noProof/>
        </w:rPr>
      </w:pPr>
      <w:r>
        <w:rPr>
          <w:noProof/>
        </w:rPr>
        <w:t>«</w:t>
      </w:r>
      <w:r>
        <w:rPr>
          <w:i/>
          <w:noProof/>
        </w:rPr>
        <w:t>Article 4</w:t>
      </w:r>
    </w:p>
    <w:p>
      <w:pPr>
        <w:rPr>
          <w:noProof/>
        </w:rPr>
      </w:pPr>
      <w:r>
        <w:rPr>
          <w:noProof/>
        </w:rPr>
        <w:t>Les États membres qui ont l'intention de recourir à la possibilité prévue à l'article 185, troisième alinéa, de l'accord, en informent la Commission et le secrétariat général du Conseil avant le 28 janvier 2020.».</w:t>
      </w:r>
    </w:p>
    <w:p>
      <w:pPr>
        <w:rPr>
          <w:noProof/>
        </w:rPr>
      </w:pPr>
    </w:p>
    <w:p>
      <w:pPr>
        <w:pStyle w:val="Titrearticle"/>
        <w:rPr>
          <w:noProof/>
        </w:rPr>
      </w:pPr>
      <w:r>
        <w:rPr>
          <w:noProof/>
        </w:rPr>
        <w:lastRenderedPageBreak/>
        <w:t>Article 2</w:t>
      </w:r>
    </w:p>
    <w:p>
      <w:pPr>
        <w:pStyle w:val="Titrearticle"/>
        <w:jc w:val="both"/>
        <w:rPr>
          <w:noProof/>
        </w:rPr>
      </w:pPr>
    </w:p>
    <w:p>
      <w:pPr>
        <w:keepNext/>
        <w:keepLines/>
        <w:rPr>
          <w:noProof/>
        </w:rPr>
      </w:pPr>
      <w:r>
        <w:rPr>
          <w:noProof/>
        </w:rPr>
        <w:t xml:space="preserve">La présente décision entre en vigueur le jour de son adoption. </w:t>
      </w:r>
    </w:p>
    <w:p>
      <w:pPr>
        <w:pStyle w:val="Fait"/>
        <w:rPr>
          <w:noProof/>
        </w:rPr>
      </w:pPr>
      <w:r>
        <w:t>Fait à Bruxelles, le</w:t>
      </w:r>
    </w:p>
    <w:p>
      <w:pPr>
        <w:pStyle w:val="Institutionquisigne"/>
        <w:rPr>
          <w:noProof/>
        </w:rPr>
      </w:pPr>
      <w:r>
        <w:rPr>
          <w:noProof/>
        </w:rPr>
        <w:tab/>
        <w:t>Par le Conseil</w:t>
      </w:r>
    </w:p>
    <w:p>
      <w:pPr>
        <w:pStyle w:val="Personnequisigne"/>
        <w:rPr>
          <w:noProof/>
        </w:rPr>
      </w:pPr>
      <w:r>
        <w:rPr>
          <w:noProof/>
        </w:rPr>
        <w:tab/>
        <w:t>Le président</w:t>
      </w:r>
    </w:p>
    <w:sectPr>
      <w:footnotePr>
        <w:numRestart w:val="eachSect"/>
      </w:footnotePr>
      <w:pgSz w:w="11907" w:h="16840" w:code="9"/>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pPr>
        <w:spacing w:before="0" w:after="0"/>
      </w:pPr>
      <w:r>
        <w:separator/>
      </w:r>
    </w:p>
  </w:endnote>
  <w:endnote w:type="continuationSeparator" w:id="0">
    <w:p>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EUAlbertina">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FR</w:t>
    </w:r>
    <w:r>
      <w:rPr>
        <w:rFonts w:ascii="Arial" w:hAnsi="Arial" w:cs="Arial"/>
        <w:b/>
        <w:sz w:val="48"/>
      </w:rPr>
      <w:tab/>
    </w:r>
    <w:r>
      <w:rPr>
        <w:rFonts w:ascii="Arial" w:hAnsi="Arial" w:cs="Arial"/>
        <w:b/>
        <w:sz w:val="48"/>
      </w:rPr>
      <w:tab/>
    </w:r>
    <w:r>
      <w:tab/>
    </w:r>
    <w:r>
      <w:rPr>
        <w:rFonts w:ascii="Arial" w:hAnsi="Arial" w:cs="Arial"/>
        <w:b/>
        <w:sz w:val="48"/>
      </w:rPr>
      <w:t>FR</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FR</w:t>
    </w:r>
    <w:r>
      <w:rPr>
        <w:rFonts w:ascii="Arial" w:hAnsi="Arial" w:cs="Arial"/>
        <w:b/>
        <w:sz w:val="48"/>
      </w:rPr>
      <w:tab/>
    </w:r>
    <w:r>
      <w:fldChar w:fldCharType="begin"/>
    </w:r>
    <w:r>
      <w:instrText xml:space="preserve"> PAGE  \* MERGEFORMAT </w:instrText>
    </w:r>
    <w:r>
      <w:fldChar w:fldCharType="separate"/>
    </w:r>
    <w:r>
      <w:rPr>
        <w:noProof/>
      </w:rPr>
      <w:t>5</w:t>
    </w:r>
    <w:r>
      <w:fldChar w:fldCharType="end"/>
    </w:r>
    <w:r>
      <w:tab/>
    </w:r>
    <w:r>
      <w:tab/>
    </w:r>
    <w:r>
      <w:rPr>
        <w:rFonts w:ascii="Arial" w:hAnsi="Arial" w:cs="Arial"/>
        <w:b/>
        <w:sz w:val="48"/>
      </w:rPr>
      <w:t>FR</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pPr>
        <w:spacing w:before="0" w:after="0"/>
      </w:pPr>
      <w:r>
        <w:separator/>
      </w:r>
    </w:p>
  </w:footnote>
  <w:footnote w:type="continuationSeparator" w:id="0">
    <w:p>
      <w:pPr>
        <w:spacing w:before="0" w:after="0"/>
      </w:pPr>
      <w:r>
        <w:continuationSeparator/>
      </w:r>
    </w:p>
  </w:footnote>
  <w:footnote w:id="1">
    <w:p>
      <w:pPr>
        <w:pStyle w:val="FootnoteText"/>
        <w:rPr>
          <w:lang w:val="fr-BE"/>
        </w:rPr>
      </w:pPr>
      <w:r>
        <w:rPr>
          <w:rStyle w:val="FootnoteReference"/>
        </w:rPr>
        <w:footnoteRef/>
      </w:r>
      <w:r>
        <w:rPr>
          <w:lang w:val="fr-BE"/>
        </w:rPr>
        <w:tab/>
        <w:t>Décision (UE) 2019/274 du Conseil du 11 janvier 2019 relative à la signature, au nom de l'Union européenne et de la Communauté européenne de l'énergie atomique, de l'accord sur le retrait du Royaume-Uni de Grande-Bretagne et d'Irlande du Nord de l'Union européenne et de la Communauté européenne de l'énergie atomique (JO L 47 I du 19.2.2019, p. 1). Le texte de l’accord de retrait joint à la décision (UE) 2019/274 a été publié au JO C 66 I du 19.2.2019, p. 1.</w:t>
      </w:r>
    </w:p>
  </w:footnote>
  <w:footnote w:id="2">
    <w:p>
      <w:pPr>
        <w:pStyle w:val="FootnoteText"/>
        <w:rPr>
          <w:lang w:val="fr-BE"/>
        </w:rPr>
      </w:pPr>
      <w:r>
        <w:rPr>
          <w:rStyle w:val="FootnoteReference"/>
        </w:rPr>
        <w:footnoteRef/>
      </w:r>
      <w:r>
        <w:rPr>
          <w:lang w:val="fr-BE"/>
        </w:rPr>
        <w:tab/>
        <w:t>Décision (UE) 2019/476 du Conseil européen, prise en accord avec le Royaume-Uni, du 22 mars 2019 prorogeant le délai au titre de l'article 50, paragraphe 3, du TUE (JO L 80 I du 22.3.2019, p. 1).</w:t>
      </w:r>
    </w:p>
  </w:footnote>
  <w:footnote w:id="3">
    <w:p>
      <w:pPr>
        <w:pStyle w:val="FootnoteText"/>
        <w:rPr>
          <w:lang w:val="fr-BE"/>
        </w:rPr>
      </w:pPr>
      <w:r>
        <w:rPr>
          <w:rStyle w:val="FootnoteReference"/>
        </w:rPr>
        <w:footnoteRef/>
      </w:r>
      <w:r>
        <w:rPr>
          <w:lang w:val="fr-BE"/>
        </w:rPr>
        <w:tab/>
        <w:t>Décision (UE) 2019/584 du Conseil européen prise en accord avec le Royaume-Uni du 11 avril 2019 prorogeant le délai au titre de l'article 50, paragraphe 3, du TUE (JO L 101 du 11.4.2019, p. 1).</w:t>
      </w:r>
    </w:p>
  </w:footnote>
  <w:footnote w:id="4">
    <w:p>
      <w:pPr>
        <w:pStyle w:val="FootnoteText"/>
        <w:rPr>
          <w:lang w:val="fr-BE"/>
        </w:rPr>
      </w:pPr>
      <w:r>
        <w:rPr>
          <w:rStyle w:val="FootnoteReference"/>
        </w:rPr>
        <w:footnoteRef/>
      </w:r>
      <w:r>
        <w:rPr>
          <w:lang w:val="fr-BE"/>
        </w:rPr>
        <w:tab/>
        <w:t>Décision (UE) 2019/1810 du Conseil européen prise en accord avec le Royaume-Uni du 29 octobre 2019 prorogeant le délai au titre de l'article 50, paragraphe 3, du TUE (JO L 278 I du 30.10.2019, p. 1).</w:t>
      </w:r>
    </w:p>
  </w:footnote>
  <w:footnote w:id="5">
    <w:p>
      <w:pPr>
        <w:pStyle w:val="FootnoteText"/>
        <w:rPr>
          <w:lang w:val="fr-BE"/>
        </w:rPr>
      </w:pPr>
      <w:r>
        <w:rPr>
          <w:rStyle w:val="FootnoteReference"/>
        </w:rPr>
        <w:footnoteRef/>
      </w:r>
      <w:r>
        <w:rPr>
          <w:lang w:val="fr-BE"/>
        </w:rPr>
        <w:tab/>
        <w:t>Décision-cadre 2002/584/JAI du Conseil du 13 juin 2002 relative au mandat d'arrêt européen et aux procédures de remise entre États membres (JO L 190 du 18.7.2002, p. 1).</w:t>
      </w:r>
    </w:p>
  </w:footnote>
  <w:footnote w:id="6">
    <w:p>
      <w:pPr>
        <w:pStyle w:val="FootnoteText"/>
        <w:rPr>
          <w:lang w:val="fr-BE"/>
        </w:rPr>
      </w:pPr>
      <w:r>
        <w:rPr>
          <w:rStyle w:val="FootnoteReference"/>
        </w:rPr>
        <w:footnoteRef/>
      </w:r>
      <w:r>
        <w:rPr>
          <w:lang w:val="fr-BE"/>
        </w:rPr>
        <w:tab/>
        <w:t>La décision (UE) 2019/274 renvoie à l’article 185, deuxième alinéa, de l’accord de retrait tel que publié au JO C 66 I du 19.2.2019, p. 1. Toutefois, dans l’accord de retrait adapté, tel qu'il a été publié au JO C 384 I du 12.11.2019, p. 1, le deuxième alinéa est devenu le troisième alinéa.</w:t>
      </w:r>
    </w:p>
  </w:footnote>
  <w:footnote w:id="7">
    <w:p>
      <w:pPr>
        <w:pStyle w:val="FootnoteText"/>
        <w:rPr>
          <w:lang w:val="fr-BE"/>
        </w:rPr>
      </w:pPr>
      <w:r>
        <w:rPr>
          <w:rStyle w:val="FootnoteReference"/>
        </w:rPr>
        <w:footnoteRef/>
      </w:r>
      <w:r>
        <w:rPr>
          <w:lang w:val="fr-BE"/>
        </w:rPr>
        <w:tab/>
        <w:t xml:space="preserve">Décision (UE) 2019/274 du Conseil du 11 janvier 2019 relative à la signature, au nom de l'Union européenne et de la Communauté européenne de l'énergie atomique, de l'accord sur le retrait du Royaume-Uni de Grande-Bretagne et d'Irlande du Nord de l'Union européenne et de la Communauté européenne de l'énergie atomique (JO L 47 I du 19.2.2019, p. 1). </w:t>
      </w:r>
    </w:p>
  </w:footnote>
  <w:footnote w:id="8">
    <w:p>
      <w:pPr>
        <w:pStyle w:val="FootnoteText"/>
        <w:rPr>
          <w:lang w:val="fr-BE"/>
        </w:rPr>
      </w:pPr>
      <w:r>
        <w:rPr>
          <w:rStyle w:val="FootnoteReference"/>
        </w:rPr>
        <w:footnoteRef/>
      </w:r>
      <w:r>
        <w:rPr>
          <w:lang w:val="fr-BE"/>
        </w:rPr>
        <w:tab/>
        <w:t>Décision (UE) 2019/476 du Conseil européen, prise en accord avec le Royaume-Uni, du 22 mars 2019 prorogeant le délai au titre de l'article 50, paragraphe 3, du TUE (JO L 80 I du 22.3.2019, p. 1).</w:t>
      </w:r>
    </w:p>
  </w:footnote>
  <w:footnote w:id="9">
    <w:p>
      <w:pPr>
        <w:pStyle w:val="FootnoteText"/>
        <w:rPr>
          <w:lang w:val="fr-BE"/>
        </w:rPr>
      </w:pPr>
      <w:r>
        <w:rPr>
          <w:rStyle w:val="FootnoteReference"/>
        </w:rPr>
        <w:footnoteRef/>
      </w:r>
      <w:r>
        <w:rPr>
          <w:lang w:val="fr-BE"/>
        </w:rPr>
        <w:tab/>
        <w:t>Décision (UE) 2019/584 du Conseil européen prise en accord avec le Royaume-Uni du 11 avril 2019 prorogeant le délai au titre de l'article 50, paragraphe 3, du TUE (JO L 101 du 11.4.2019, p. 1).</w:t>
      </w:r>
    </w:p>
  </w:footnote>
  <w:footnote w:id="10">
    <w:p>
      <w:pPr>
        <w:pStyle w:val="FootnoteText"/>
        <w:rPr>
          <w:lang w:val="fr-BE"/>
        </w:rPr>
      </w:pPr>
      <w:r>
        <w:rPr>
          <w:rStyle w:val="FootnoteReference"/>
        </w:rPr>
        <w:footnoteRef/>
      </w:r>
      <w:r>
        <w:rPr>
          <w:lang w:val="fr-BE"/>
        </w:rPr>
        <w:tab/>
        <w:t>Décision (UE) 2019/1810 du Conseil européen, prise en accord avec le Royaume-Uni, du 29 octobre 2019 prorogeant le délai au titre de l'article 50, paragraphe 3, du TUE (JO L 278 I du 30.10.2019, p. 1).</w:t>
      </w:r>
    </w:p>
  </w:footnote>
  <w:footnote w:id="11">
    <w:p>
      <w:pPr>
        <w:pStyle w:val="FootnoteText"/>
        <w:rPr>
          <w:lang w:val="fr-BE"/>
        </w:rPr>
      </w:pPr>
      <w:r>
        <w:rPr>
          <w:rStyle w:val="FootnoteReference"/>
        </w:rPr>
        <w:footnoteRef/>
      </w:r>
      <w:r>
        <w:rPr>
          <w:lang w:val="fr-BE"/>
        </w:rPr>
        <w:tab/>
        <w:t>La version adaptée de l'accord de retrait a été publiée au JO C 384 I du 12.11.2019, p. 1.</w:t>
      </w:r>
    </w:p>
  </w:footnote>
  <w:footnote w:id="12">
    <w:p>
      <w:pPr>
        <w:pStyle w:val="FootnoteText"/>
        <w:rPr>
          <w:lang w:val="fr-BE"/>
        </w:rPr>
      </w:pPr>
      <w:r>
        <w:rPr>
          <w:rStyle w:val="FootnoteReference"/>
        </w:rPr>
        <w:footnoteRef/>
      </w:r>
      <w:r>
        <w:rPr>
          <w:lang w:val="fr-BE"/>
        </w:rPr>
        <w:tab/>
        <w:t>Décision-cadre 2002/584/JAI du Conseil du 13 juin 2002 relative au mandat d'arrêt européen et aux procédures de remise entre États membres (JO L 190 du 18.7.2002, p. 1).</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D"/>
    <w:multiLevelType w:val="singleLevel"/>
    <w:tmpl w:val="F9060242"/>
    <w:lvl w:ilvl="0">
      <w:start w:val="1"/>
      <w:numFmt w:val="decimal"/>
      <w:pStyle w:val="ListNumber4"/>
      <w:lvlText w:val="%1."/>
      <w:lvlJc w:val="left"/>
      <w:pPr>
        <w:tabs>
          <w:tab w:val="num" w:pos="1209"/>
        </w:tabs>
        <w:ind w:left="1209" w:hanging="360"/>
      </w:pPr>
    </w:lvl>
  </w:abstractNum>
  <w:abstractNum w:abstractNumId="1">
    <w:nsid w:val="FFFFFF7E"/>
    <w:multiLevelType w:val="singleLevel"/>
    <w:tmpl w:val="EE3C176E"/>
    <w:lvl w:ilvl="0">
      <w:start w:val="1"/>
      <w:numFmt w:val="decimal"/>
      <w:pStyle w:val="ListNumber3"/>
      <w:lvlText w:val="%1."/>
      <w:lvlJc w:val="left"/>
      <w:pPr>
        <w:tabs>
          <w:tab w:val="num" w:pos="926"/>
        </w:tabs>
        <w:ind w:left="926" w:hanging="360"/>
      </w:pPr>
    </w:lvl>
  </w:abstractNum>
  <w:abstractNum w:abstractNumId="2">
    <w:nsid w:val="FFFFFF7F"/>
    <w:multiLevelType w:val="singleLevel"/>
    <w:tmpl w:val="0C521130"/>
    <w:lvl w:ilvl="0">
      <w:start w:val="1"/>
      <w:numFmt w:val="decimal"/>
      <w:pStyle w:val="ListNumber2"/>
      <w:lvlText w:val="%1."/>
      <w:lvlJc w:val="left"/>
      <w:pPr>
        <w:tabs>
          <w:tab w:val="num" w:pos="643"/>
        </w:tabs>
        <w:ind w:left="643" w:hanging="360"/>
      </w:pPr>
    </w:lvl>
  </w:abstractNum>
  <w:abstractNum w:abstractNumId="3">
    <w:nsid w:val="FFFFFF81"/>
    <w:multiLevelType w:val="singleLevel"/>
    <w:tmpl w:val="6728FEB8"/>
    <w:lvl w:ilvl="0">
      <w:start w:val="1"/>
      <w:numFmt w:val="bullet"/>
      <w:pStyle w:val="ListBullet4"/>
      <w:lvlText w:val=""/>
      <w:lvlJc w:val="left"/>
      <w:pPr>
        <w:tabs>
          <w:tab w:val="num" w:pos="1209"/>
        </w:tabs>
        <w:ind w:left="1209" w:hanging="360"/>
      </w:pPr>
      <w:rPr>
        <w:rFonts w:ascii="Symbol" w:hAnsi="Symbol" w:hint="default"/>
      </w:rPr>
    </w:lvl>
  </w:abstractNum>
  <w:abstractNum w:abstractNumId="4">
    <w:nsid w:val="FFFFFF82"/>
    <w:multiLevelType w:val="singleLevel"/>
    <w:tmpl w:val="A3C2DCC0"/>
    <w:lvl w:ilvl="0">
      <w:start w:val="1"/>
      <w:numFmt w:val="bullet"/>
      <w:pStyle w:val="ListBullet3"/>
      <w:lvlText w:val=""/>
      <w:lvlJc w:val="left"/>
      <w:pPr>
        <w:tabs>
          <w:tab w:val="num" w:pos="926"/>
        </w:tabs>
        <w:ind w:left="926" w:hanging="360"/>
      </w:pPr>
      <w:rPr>
        <w:rFonts w:ascii="Symbol" w:hAnsi="Symbol" w:hint="default"/>
      </w:rPr>
    </w:lvl>
  </w:abstractNum>
  <w:abstractNum w:abstractNumId="5">
    <w:nsid w:val="FFFFFF83"/>
    <w:multiLevelType w:val="singleLevel"/>
    <w:tmpl w:val="E5D23680"/>
    <w:lvl w:ilvl="0">
      <w:start w:val="1"/>
      <w:numFmt w:val="bullet"/>
      <w:pStyle w:val="ListBullet2"/>
      <w:lvlText w:val=""/>
      <w:lvlJc w:val="left"/>
      <w:pPr>
        <w:tabs>
          <w:tab w:val="num" w:pos="643"/>
        </w:tabs>
        <w:ind w:left="643" w:hanging="360"/>
      </w:pPr>
      <w:rPr>
        <w:rFonts w:ascii="Symbol" w:hAnsi="Symbol" w:hint="default"/>
      </w:rPr>
    </w:lvl>
  </w:abstractNum>
  <w:abstractNum w:abstractNumId="6">
    <w:nsid w:val="FFFFFF88"/>
    <w:multiLevelType w:val="singleLevel"/>
    <w:tmpl w:val="3AA2EB52"/>
    <w:lvl w:ilvl="0">
      <w:start w:val="1"/>
      <w:numFmt w:val="decimal"/>
      <w:pStyle w:val="ListNumber"/>
      <w:lvlText w:val="%1."/>
      <w:lvlJc w:val="left"/>
      <w:pPr>
        <w:tabs>
          <w:tab w:val="num" w:pos="360"/>
        </w:tabs>
        <w:ind w:left="360" w:hanging="360"/>
      </w:pPr>
    </w:lvl>
  </w:abstractNum>
  <w:abstractNum w:abstractNumId="7">
    <w:nsid w:val="FFFFFF89"/>
    <w:multiLevelType w:val="singleLevel"/>
    <w:tmpl w:val="2EE20F88"/>
    <w:lvl w:ilvl="0">
      <w:start w:val="1"/>
      <w:numFmt w:val="bullet"/>
      <w:pStyle w:val="ListBullet"/>
      <w:lvlText w:val=""/>
      <w:lvlJc w:val="left"/>
      <w:pPr>
        <w:tabs>
          <w:tab w:val="num" w:pos="360"/>
        </w:tabs>
        <w:ind w:left="360" w:hanging="360"/>
      </w:pPr>
      <w:rPr>
        <w:rFonts w:ascii="Symbol" w:hAnsi="Symbol" w:hint="default"/>
      </w:rPr>
    </w:lvl>
  </w:abstractNum>
  <w:abstractNum w:abstractNumId="8">
    <w:nsid w:val="062C6A95"/>
    <w:multiLevelType w:val="singleLevel"/>
    <w:tmpl w:val="02BAFA82"/>
    <w:name w:val="List Bullet 1"/>
    <w:lvl w:ilvl="0">
      <w:start w:val="1"/>
      <w:numFmt w:val="bullet"/>
      <w:pStyle w:val="ListBullet1"/>
      <w:lvlText w:val=""/>
      <w:lvlJc w:val="left"/>
      <w:pPr>
        <w:tabs>
          <w:tab w:val="num" w:pos="1134"/>
        </w:tabs>
        <w:ind w:left="1134" w:hanging="283"/>
      </w:pPr>
      <w:rPr>
        <w:rFonts w:ascii="Symbol" w:hAnsi="Symbol" w:hint="default"/>
      </w:rPr>
    </w:lvl>
  </w:abstractNum>
  <w:abstractNum w:abstractNumId="9">
    <w:nsid w:val="128364B0"/>
    <w:multiLevelType w:val="singleLevel"/>
    <w:tmpl w:val="D084FB54"/>
    <w:lvl w:ilvl="0">
      <w:start w:val="1"/>
      <w:numFmt w:val="bullet"/>
      <w:pStyle w:val="ListDash3"/>
      <w:lvlText w:val="–"/>
      <w:lvlJc w:val="left"/>
      <w:pPr>
        <w:tabs>
          <w:tab w:val="num" w:pos="1134"/>
        </w:tabs>
        <w:ind w:left="1134" w:hanging="283"/>
      </w:pPr>
      <w:rPr>
        <w:rFonts w:ascii="Times New Roman" w:hAnsi="Times New Roman"/>
      </w:rPr>
    </w:lvl>
  </w:abstractNum>
  <w:abstractNum w:abstractNumId="10">
    <w:nsid w:val="13E4330B"/>
    <w:multiLevelType w:val="multilevel"/>
    <w:tmpl w:val="875C4416"/>
    <w:name w:val="List Dash 3"/>
    <w:lvl w:ilvl="0">
      <w:start w:val="1"/>
      <w:numFmt w:val="decimal"/>
      <w:pStyle w:val="ListNumber1"/>
      <w:lvlText w:val="(%1)"/>
      <w:lvlJc w:val="left"/>
      <w:pPr>
        <w:tabs>
          <w:tab w:val="num" w:pos="1560"/>
        </w:tabs>
        <w:ind w:left="1560" w:hanging="709"/>
      </w:pPr>
      <w:rPr>
        <w:rFonts w:cs="Times New Roman"/>
      </w:rPr>
    </w:lvl>
    <w:lvl w:ilvl="1">
      <w:start w:val="1"/>
      <w:numFmt w:val="lowerLetter"/>
      <w:pStyle w:val="ListNumber1Level2"/>
      <w:lvlText w:val="(%2)"/>
      <w:lvlJc w:val="left"/>
      <w:pPr>
        <w:tabs>
          <w:tab w:val="num" w:pos="2268"/>
        </w:tabs>
        <w:ind w:left="2268" w:hanging="708"/>
      </w:pPr>
      <w:rPr>
        <w:rFonts w:cs="Times New Roman"/>
      </w:rPr>
    </w:lvl>
    <w:lvl w:ilvl="2">
      <w:start w:val="1"/>
      <w:numFmt w:val="bullet"/>
      <w:pStyle w:val="ListNumber1Level3"/>
      <w:lvlText w:val="–"/>
      <w:lvlJc w:val="left"/>
      <w:pPr>
        <w:tabs>
          <w:tab w:val="num" w:pos="2977"/>
        </w:tabs>
        <w:ind w:left="2977" w:hanging="709"/>
      </w:pPr>
      <w:rPr>
        <w:rFonts w:ascii="Times New Roman" w:hAnsi="Times New Roman"/>
      </w:rPr>
    </w:lvl>
    <w:lvl w:ilvl="3">
      <w:start w:val="1"/>
      <w:numFmt w:val="bullet"/>
      <w:pStyle w:val="ListNumber1Level4"/>
      <w:lvlText w:val=""/>
      <w:lvlJc w:val="left"/>
      <w:pPr>
        <w:tabs>
          <w:tab w:val="num" w:pos="3686"/>
        </w:tabs>
        <w:ind w:left="3686" w:hanging="709"/>
      </w:pPr>
      <w:rPr>
        <w:rFonts w:ascii="Symbol" w:hAnsi="Symbol" w:hint="default"/>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1">
    <w:nsid w:val="1B3C78B8"/>
    <w:multiLevelType w:val="multilevel"/>
    <w:tmpl w:val="2ED4F4D0"/>
    <w:name w:val="Point"/>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12">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nsid w:val="2CB72C6E"/>
    <w:multiLevelType w:val="singleLevel"/>
    <w:tmpl w:val="10ACD464"/>
    <w:name w:val="Bullet 3"/>
    <w:lvl w:ilvl="0">
      <w:start w:val="1"/>
      <w:numFmt w:val="bullet"/>
      <w:lvlRestart w:val="0"/>
      <w:pStyle w:val="Bullet3"/>
      <w:lvlText w:val=""/>
      <w:lvlJc w:val="left"/>
      <w:pPr>
        <w:tabs>
          <w:tab w:val="num" w:pos="2551"/>
        </w:tabs>
        <w:ind w:left="2551" w:hanging="567"/>
      </w:pPr>
      <w:rPr>
        <w:rFonts w:ascii="Symbol" w:hAnsi="Symbol" w:hint="default"/>
      </w:rPr>
    </w:lvl>
  </w:abstractNum>
  <w:abstractNum w:abstractNumId="14">
    <w:nsid w:val="2CE9221F"/>
    <w:multiLevelType w:val="singleLevel"/>
    <w:tmpl w:val="9B4AFB48"/>
    <w:name w:val="Tiret 3"/>
    <w:lvl w:ilvl="0">
      <w:start w:val="1"/>
      <w:numFmt w:val="bullet"/>
      <w:lvlRestart w:val="0"/>
      <w:pStyle w:val="Tiret3"/>
      <w:lvlText w:val="–"/>
      <w:lvlJc w:val="left"/>
      <w:pPr>
        <w:tabs>
          <w:tab w:val="num" w:pos="2551"/>
        </w:tabs>
        <w:ind w:left="2551" w:hanging="567"/>
      </w:pPr>
    </w:lvl>
  </w:abstractNum>
  <w:abstractNum w:abstractNumId="15">
    <w:nsid w:val="2D820C1F"/>
    <w:multiLevelType w:val="singleLevel"/>
    <w:tmpl w:val="7896AADE"/>
    <w:name w:val="List Dash"/>
    <w:lvl w:ilvl="0">
      <w:start w:val="1"/>
      <w:numFmt w:val="bullet"/>
      <w:pStyle w:val="ListDash"/>
      <w:lvlText w:val="–"/>
      <w:lvlJc w:val="left"/>
      <w:pPr>
        <w:tabs>
          <w:tab w:val="num" w:pos="283"/>
        </w:tabs>
        <w:ind w:left="283" w:hanging="283"/>
      </w:pPr>
      <w:rPr>
        <w:rFonts w:ascii="Times New Roman" w:hAnsi="Times New Roman"/>
      </w:rPr>
    </w:lvl>
  </w:abstractNum>
  <w:abstractNum w:abstractNumId="16">
    <w:nsid w:val="31CD398A"/>
    <w:multiLevelType w:val="singleLevel"/>
    <w:tmpl w:val="0276BF00"/>
    <w:lvl w:ilvl="0">
      <w:start w:val="1"/>
      <w:numFmt w:val="bullet"/>
      <w:pStyle w:val="ListDash4"/>
      <w:lvlText w:val="–"/>
      <w:lvlJc w:val="left"/>
      <w:pPr>
        <w:tabs>
          <w:tab w:val="num" w:pos="1134"/>
        </w:tabs>
        <w:ind w:left="1134" w:hanging="283"/>
      </w:pPr>
      <w:rPr>
        <w:rFonts w:ascii="Times New Roman" w:hAnsi="Times New Roman"/>
      </w:rPr>
    </w:lvl>
  </w:abstractNum>
  <w:abstractNum w:abstractNumId="17">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18">
    <w:nsid w:val="42FC0772"/>
    <w:multiLevelType w:val="singleLevel"/>
    <w:tmpl w:val="4128FCF8"/>
    <w:name w:val="Tiret 4"/>
    <w:lvl w:ilvl="0">
      <w:start w:val="1"/>
      <w:numFmt w:val="bullet"/>
      <w:lvlRestart w:val="0"/>
      <w:pStyle w:val="Tiret4"/>
      <w:lvlText w:val="–"/>
      <w:lvlJc w:val="left"/>
      <w:pPr>
        <w:tabs>
          <w:tab w:val="num" w:pos="3118"/>
        </w:tabs>
        <w:ind w:left="3118" w:hanging="567"/>
      </w:pPr>
    </w:lvl>
  </w:abstractNum>
  <w:abstractNum w:abstractNumId="19">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20">
    <w:nsid w:val="489D74ED"/>
    <w:multiLevelType w:val="singleLevel"/>
    <w:tmpl w:val="C2E2F936"/>
    <w:name w:val="List Dash 2"/>
    <w:lvl w:ilvl="0">
      <w:start w:val="1"/>
      <w:numFmt w:val="bullet"/>
      <w:pStyle w:val="ListDash2"/>
      <w:lvlText w:val="–"/>
      <w:lvlJc w:val="left"/>
      <w:pPr>
        <w:tabs>
          <w:tab w:val="num" w:pos="1134"/>
        </w:tabs>
        <w:ind w:left="1134" w:hanging="283"/>
      </w:pPr>
      <w:rPr>
        <w:rFonts w:ascii="Times New Roman" w:hAnsi="Times New Roman"/>
      </w:rPr>
    </w:lvl>
  </w:abstractNum>
  <w:abstractNum w:abstractNumId="21">
    <w:nsid w:val="4D0C058A"/>
    <w:multiLevelType w:val="singleLevel"/>
    <w:tmpl w:val="BAE8D90E"/>
    <w:name w:val="List Dash 1"/>
    <w:lvl w:ilvl="0">
      <w:start w:val="1"/>
      <w:numFmt w:val="bullet"/>
      <w:pStyle w:val="ListDash1"/>
      <w:lvlText w:val="–"/>
      <w:lvlJc w:val="left"/>
      <w:pPr>
        <w:tabs>
          <w:tab w:val="num" w:pos="1134"/>
        </w:tabs>
        <w:ind w:left="1134" w:hanging="283"/>
      </w:pPr>
      <w:rPr>
        <w:rFonts w:ascii="Times New Roman" w:hAnsi="Times New Roman"/>
      </w:rPr>
    </w:lvl>
  </w:abstractNum>
  <w:abstractNum w:abstractNumId="22">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23">
    <w:nsid w:val="5B395AAA"/>
    <w:multiLevelType w:val="singleLevel"/>
    <w:tmpl w:val="96D02E8A"/>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24">
    <w:nsid w:val="5C056EE5"/>
    <w:multiLevelType w:val="singleLevel"/>
    <w:tmpl w:val="3378D27C"/>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25">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26">
    <w:nsid w:val="64A12FA4"/>
    <w:multiLevelType w:val="multilevel"/>
    <w:tmpl w:val="428ECF3E"/>
    <w:name w:val="Heading"/>
    <w:lvl w:ilvl="0">
      <w:start w:val="1"/>
      <w:numFmt w:val="decimal"/>
      <w:lvlRestart w:val="0"/>
      <w:pStyle w:val="Heading1"/>
      <w:lvlText w:val="%1."/>
      <w:lvlJc w:val="left"/>
      <w:pPr>
        <w:tabs>
          <w:tab w:val="num" w:pos="850"/>
        </w:tabs>
        <w:ind w:left="850" w:hanging="850"/>
      </w:pPr>
    </w:lvl>
    <w:lvl w:ilvl="1">
      <w:start w:val="1"/>
      <w:numFmt w:val="decimal"/>
      <w:pStyle w:val="Heading2"/>
      <w:lvlText w:val="%1.%2."/>
      <w:lvlJc w:val="left"/>
      <w:pPr>
        <w:tabs>
          <w:tab w:val="num" w:pos="850"/>
        </w:tabs>
        <w:ind w:left="850" w:hanging="850"/>
      </w:pPr>
    </w:lvl>
    <w:lvl w:ilvl="2">
      <w:start w:val="1"/>
      <w:numFmt w:val="decimal"/>
      <w:pStyle w:val="Heading3"/>
      <w:lvlText w:val="%1.%2.%3."/>
      <w:lvlJc w:val="left"/>
      <w:pPr>
        <w:tabs>
          <w:tab w:val="num" w:pos="850"/>
        </w:tabs>
        <w:ind w:left="850" w:hanging="850"/>
      </w:pPr>
    </w:lvl>
    <w:lvl w:ilvl="3">
      <w:start w:val="1"/>
      <w:numFmt w:val="decimal"/>
      <w:pStyle w:val="Heading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nsid w:val="67B856F6"/>
    <w:multiLevelType w:val="singleLevel"/>
    <w:tmpl w:val="0AB28E9C"/>
    <w:name w:val="Tiret 2"/>
    <w:lvl w:ilvl="0">
      <w:start w:val="1"/>
      <w:numFmt w:val="bullet"/>
      <w:lvlRestart w:val="0"/>
      <w:pStyle w:val="Tiret2"/>
      <w:lvlText w:val="–"/>
      <w:lvlJc w:val="left"/>
      <w:pPr>
        <w:tabs>
          <w:tab w:val="num" w:pos="1984"/>
        </w:tabs>
        <w:ind w:left="1984" w:hanging="567"/>
      </w:pPr>
    </w:lvl>
  </w:abstractNum>
  <w:abstractNum w:abstractNumId="28">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num w:numId="1">
    <w:abstractNumId w:val="7"/>
  </w:num>
  <w:num w:numId="2">
    <w:abstractNumId w:val="5"/>
  </w:num>
  <w:num w:numId="3">
    <w:abstractNumId w:val="4"/>
  </w:num>
  <w:num w:numId="4">
    <w:abstractNumId w:val="3"/>
  </w:num>
  <w:num w:numId="5">
    <w:abstractNumId w:val="6"/>
  </w:num>
  <w:num w:numId="6">
    <w:abstractNumId w:val="2"/>
  </w:num>
  <w:num w:numId="7">
    <w:abstractNumId w:val="1"/>
  </w:num>
  <w:num w:numId="8">
    <w:abstractNumId w:val="0"/>
  </w:num>
  <w:num w:numId="9">
    <w:abstractNumId w:val="8"/>
  </w:num>
  <w:num w:numId="10">
    <w:abstractNumId w:val="15"/>
  </w:num>
  <w:num w:numId="11">
    <w:abstractNumId w:val="21"/>
  </w:num>
  <w:num w:numId="12">
    <w:abstractNumId w:val="20"/>
  </w:num>
  <w:num w:numId="13">
    <w:abstractNumId w:val="9"/>
  </w:num>
  <w:num w:numId="14">
    <w:abstractNumId w:val="16"/>
  </w:num>
  <w:num w:numId="15">
    <w:abstractNumId w:val="10"/>
  </w:num>
  <w:num w:numId="16">
    <w:abstractNumId w:val="28"/>
    <w:lvlOverride w:ilvl="0">
      <w:startOverride w:val="1"/>
    </w:lvlOverride>
  </w:num>
  <w:num w:numId="17">
    <w:abstractNumId w:val="28"/>
  </w:num>
  <w:num w:numId="18">
    <w:abstractNumId w:val="25"/>
  </w:num>
  <w:num w:numId="19">
    <w:abstractNumId w:val="17"/>
  </w:num>
  <w:num w:numId="20">
    <w:abstractNumId w:val="27"/>
  </w:num>
  <w:num w:numId="21">
    <w:abstractNumId w:val="14"/>
  </w:num>
  <w:num w:numId="22">
    <w:abstractNumId w:val="18"/>
  </w:num>
  <w:num w:numId="23">
    <w:abstractNumId w:val="12"/>
  </w:num>
  <w:num w:numId="24">
    <w:abstractNumId w:val="26"/>
  </w:num>
  <w:num w:numId="25">
    <w:abstractNumId w:val="11"/>
  </w:num>
  <w:num w:numId="26">
    <w:abstractNumId w:val="19"/>
  </w:num>
  <w:num w:numId="27">
    <w:abstractNumId w:val="23"/>
  </w:num>
  <w:num w:numId="28">
    <w:abstractNumId w:val="24"/>
  </w:num>
  <w:num w:numId="29">
    <w:abstractNumId w:val="13"/>
  </w:num>
  <w:num w:numId="30">
    <w:abstractNumId w:val="22"/>
  </w:num>
  <w:num w:numId="31">
    <w:abstractNumId w:val="28"/>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attachedTemplate r:id="rId1"/>
  <w:revisionView w:markup="0"/>
  <w:defaultTabStop w:val="720"/>
  <w:hyphenationZone w:val="425"/>
  <w:characterSpacingControl w:val="doNotCompress"/>
  <w:hdrShapeDefaults>
    <o:shapedefaults v:ext="edit" spidmax="28673"/>
  </w:hdrShapeDefaults>
  <w:footnotePr>
    <w:footnote w:id="-1"/>
    <w:footnote w:id="0"/>
  </w:footnotePr>
  <w:endnotePr>
    <w:endnote w:id="-1"/>
    <w:endnote w:id="0"/>
  </w:endnotePr>
  <w:compat>
    <w:doNotExpandShiftReturn/>
    <w:doNotUseHTMLParagraphAutoSpacing/>
    <w:splitPgBreakAndParaMark/>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QCDateTime" w:val="2020-01-17 13:35:21"/>
    <w:docVar w:name="DQCResult_Distribution" w:val="0;0"/>
    <w:docVar w:name="DQCResult_DocumentContent" w:val="0;0"/>
    <w:docVar w:name="DQCResult_DocumentSize" w:val="0;0"/>
    <w:docVar w:name="DQCResult_DocumentVersions" w:val="0;0"/>
    <w:docVar w:name="DQCResult_InvalidFootnotes" w:val="0;0"/>
    <w:docVar w:name="DQCResult_LinkedStyles" w:val="0;0"/>
    <w:docVar w:name="DQCResult_ModifiedMargins" w:val="0;0"/>
    <w:docVar w:name="DQCResult_ModifiedMarkers" w:val="0;0"/>
    <w:docVar w:name="DQCResult_ModifiedNumbering" w:val="0;0"/>
    <w:docVar w:name="DQCResult_Objects" w:val="0;0"/>
    <w:docVar w:name="DQCResult_Sections" w:val="0;0"/>
    <w:docVar w:name="DQCResult_StructureCheck" w:val="0;0"/>
    <w:docVar w:name="DQCResult_SuperfluousWhitespace" w:val="0;4"/>
    <w:docVar w:name="DQCResult_UnknownFonts" w:val="0;0"/>
    <w:docVar w:name="DQCResult_UnknownStyles" w:val="0;0"/>
    <w:docVar w:name="DQCStatus" w:val="Green"/>
    <w:docVar w:name="DQCVersion" w:val="3"/>
    <w:docVar w:name="DQCWithWarnings" w:val="0"/>
    <w:docVar w:name="LW_CORRIGENDUM" w:val="&lt;UNUSED&gt;"/>
    <w:docVar w:name="LW_COVERPAGE_EXISTS" w:val="True"/>
    <w:docVar w:name="LW_COVERPAGE_GUID" w:val="D072ACD9-D9D0-442F-8558-3F9C5B4ACACB"/>
    <w:docVar w:name="LW_COVERPAGE_TYPE" w:val="1"/>
    <w:docVar w:name="LW_CROSSREFERENCE" w:val="&lt;UNUSED&gt;"/>
    <w:docVar w:name="LW_DocType" w:val="COM"/>
    <w:docVar w:name="LW_EMISSION" w:val="17.1.2020"/>
    <w:docVar w:name="LW_EMISSION_ISODATE" w:val="2020-01-17"/>
    <w:docVar w:name="LW_EMISSION_LOCATION" w:val="BRX"/>
    <w:docVar w:name="LW_EMISSION_PREFIX" w:val="Bruxelles, le "/>
    <w:docVar w:name="LW_EMISSION_SUFFIX" w:val="&lt;EMPTY&gt;"/>
    <w:docVar w:name="LW_ID_DOCMODEL" w:val="SJ-019"/>
    <w:docVar w:name="LW_ID_DOCSIGNATURE" w:val="SJ-019"/>
    <w:docVar w:name="LW_ID_DOCSTRUCTURE" w:val="COM/PL/ORG"/>
    <w:docVar w:name="LW_ID_DOCTYPE" w:val="SJ-019"/>
    <w:docVar w:name="LW_ID_EXP.MOTIFS.NEW" w:val="EM_PL_"/>
    <w:docVar w:name="LW_ID_STATUT" w:val="SJ-019"/>
    <w:docVar w:name="LW_INTERETEEE.CP" w:val="(Texte présentant de l'intérêt pour l'EEE)"/>
    <w:docVar w:name="LW_LANGUE" w:val="FR"/>
    <w:docVar w:name="LW_LEVEL_OF_SENSITIVITY" w:val="Standard treatment"/>
    <w:docVar w:name="LW_NOM.INST" w:val="COMMISSION EUROPÉENNE"/>
    <w:docVar w:name="LW_NOM.INST_JOINTDOC" w:val="&lt;EMPTY&gt;"/>
    <w:docVar w:name="LW_PART_NBR" w:val="1"/>
    <w:docVar w:name="LW_PART_NBR_TOTAL" w:val="1"/>
    <w:docVar w:name="LW_REF.II.NEW.CP" w:val="NLE"/>
    <w:docVar w:name="LW_REF.II.NEW.CP_NUMBER" w:val="0012"/>
    <w:docVar w:name="LW_REF.II.NEW.CP_YEAR" w:val="2020"/>
    <w:docVar w:name="LW_REF.INST.NEW" w:val="COM"/>
    <w:docVar w:name="LW_REF.INST.NEW_ADOPTED" w:val="final"/>
    <w:docVar w:name="LW_REF.INST.NEW_TEXT" w:val="(2020) 28"/>
    <w:docVar w:name="LW_REF.INTERNE" w:val="&lt;UNUSED&gt;"/>
    <w:docVar w:name="LW_SENSITIVITY" w:val="&lt;?xml version=&quot;1.0&quot; encoding=&quot;utf-8&quot;?&gt;_x000d__x000a_&lt;SensitivityLevel xmlns:xsi=&quot;http://www.w3.org/2001/XMLSchema-instance&quot; xmlns:xsd=&quot;http://www.w3.org/2001/XMLSchema&quot; id=&quot;standard&quot;&gt;_x000d__x000a_  &lt;nicename EN=&quot;Standard treatment&quot; FR=&quot;Traitement standard&quot; /&gt;_x000d__x000a_  &lt;documentProperty&gt;Standard treatment&lt;/documentProperty&gt;_x000d__x000a_  &lt;markingConfig isAvailable=&quot;false&quot; isMandatory=&quot;false&quot; sensitiveMarkingMandatory=&quot;false&quot; specialMarkingMandatory=&quot;true&quot; isOptionDisplayInHeaderAvailable=&quot;true&quot; sensitiveMarkingListSee=&quot;SensitiveMarkings&quot; specialMarkingListSee=&quot;SpecialMarkings&quot; sensitiveFootnoteTextSee=&quot;sensitiveFootnote&quot; specialFootnoteTextSee=&quot;specialFootnote&quot; /&gt;_x000d__x000a_  &lt;chosenMainMarking xsi:nil=&quot;true&quot; /&gt;_x000d__x000a_  &lt;dateMarking xsi:nil=&quot;true&quot; /&gt;_x000d__x000a_  &lt;releasableToConfig isAvailable=&quot;false&quot; institutionListSee=&quot;DefaultInstitutions&quot; /&gt;_x000d__x000a_  &lt;chosenReleasableTo xsi:nil=&quot;true&quot; /&gt;_x000d__x000a_  &lt;detached xsi:nil=&quot;true&quot; /&gt;_x000d__x000a_  &lt;declassify xsi:nil=&quot;true&quot; /&gt;_x000d__x000a_  &lt;headerTexts xsi:nil=&quot;true&quot; /&gt;_x000d__x000a_  &lt;footerTexts xsi:nil=&quot;true&quot; /&gt;_x000d__x000a_  &lt;isRestricted&gt;false&lt;/isRestricted&gt;_x000d__x000a_&lt;/SensitivityLevel&gt;"/>
    <w:docVar w:name="LW_STATUT.CP" w:val="Proposition de"/>
    <w:docVar w:name="LW_SUPERTITRE" w:val="&lt;UNUSED&gt;"/>
    <w:docVar w:name="LW_TITRE.OBJ.CP" w:val="portant modification de la décision (UE) 2019/274 relative à la signature, au nom de l\u8217?Union européenne et de la Communauté européenne de l\u8217?énergie atomique, de l\u8217?accord sur le retrait du Royaume-Uni de Grande-Bretagne et d\u8217?Irlande du Nord de l\u8217?Union européenne et de la Communauté européenne de l\u8217?énergie atomique"/>
    <w:docVar w:name="LW_TYPE.DOC.CP" w:val="DÉCISION DU CONSEIL"/>
  </w:docVar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0" w:qFormat="1"/>
    <w:lsdException w:name="table of figures" w:uiPriority="0"/>
    <w:lsdException w:name="annotation reference" w:uiPriority="0"/>
    <w:lsdException w:name="page number" w:uiPriority="0"/>
    <w:lsdException w:name="List Bullet" w:uiPriority="0"/>
    <w:lsdException w:name="List Number" w:uiPriority="0"/>
    <w:lsdException w:name="List Bullet 2" w:uiPriority="0"/>
    <w:lsdException w:name="List Bullet 3" w:uiPriority="0"/>
    <w:lsdException w:name="List Bullet 4" w:uiPriority="0"/>
    <w:lsdException w:name="List Number 2" w:uiPriority="0"/>
    <w:lsdException w:name="List Number 3" w:uiPriority="0"/>
    <w:lsdException w:name="List Number 4" w:uiPriority="0"/>
    <w:lsdException w:name="Title" w:semiHidden="0" w:uiPriority="10" w:unhideWhenUsed="0" w:qFormat="1"/>
    <w:lsdException w:name="Default Paragraph Font" w:uiPriority="1"/>
    <w:lsdException w:name="Subtitle" w:semiHidden="0" w:uiPriority="11" w:unhideWhenUsed="0" w:qFormat="1"/>
    <w:lsdException w:name="FollowedHyperlink" w:uiPriority="0"/>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before="120" w:after="120" w:line="240" w:lineRule="auto"/>
      <w:jc w:val="both"/>
    </w:pPr>
    <w:rPr>
      <w:rFonts w:ascii="Times New Roman" w:hAnsi="Times New Roman" w:cs="Times New Roman"/>
      <w:sz w:val="24"/>
      <w:lang w:val="fr-FR"/>
    </w:rPr>
  </w:style>
  <w:style w:type="paragraph" w:styleId="Heading1">
    <w:name w:val="heading 1"/>
    <w:basedOn w:val="Normal"/>
    <w:next w:val="Text1"/>
    <w:link w:val="Heading1Char"/>
    <w:uiPriority w:val="9"/>
    <w:qFormat/>
    <w:pPr>
      <w:keepNext/>
      <w:numPr>
        <w:numId w:val="24"/>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24"/>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24"/>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24"/>
      </w:numPr>
      <w:outlineLvl w:val="3"/>
    </w:pPr>
    <w:rPr>
      <w:rFonts w:eastAsiaTheme="majorEastAsia"/>
      <w:bCs/>
      <w:i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unhideWhenUsed/>
    <w:qFormat/>
    <w:pPr>
      <w:spacing w:before="0" w:after="200"/>
    </w:pPr>
    <w:rPr>
      <w:b/>
      <w:bCs/>
      <w:color w:val="4F81BD" w:themeColor="accent1"/>
      <w:sz w:val="18"/>
      <w:szCs w:val="18"/>
    </w:rPr>
  </w:style>
  <w:style w:type="paragraph" w:styleId="TableofFigures">
    <w:name w:val="table of figures"/>
    <w:basedOn w:val="Normal"/>
    <w:next w:val="Normal"/>
    <w:unhideWhenUsed/>
    <w:pPr>
      <w:spacing w:after="0"/>
    </w:pPr>
  </w:style>
  <w:style w:type="paragraph" w:styleId="ListBullet">
    <w:name w:val="List Bullet"/>
    <w:basedOn w:val="Normal"/>
    <w:unhideWhenUsed/>
    <w:pPr>
      <w:numPr>
        <w:numId w:val="1"/>
      </w:numPr>
      <w:contextualSpacing/>
    </w:pPr>
  </w:style>
  <w:style w:type="paragraph" w:styleId="ListBullet2">
    <w:name w:val="List Bullet 2"/>
    <w:basedOn w:val="Normal"/>
    <w:unhideWhenUsed/>
    <w:pPr>
      <w:numPr>
        <w:numId w:val="2"/>
      </w:numPr>
      <w:contextualSpacing/>
    </w:pPr>
  </w:style>
  <w:style w:type="paragraph" w:styleId="ListBullet3">
    <w:name w:val="List Bullet 3"/>
    <w:basedOn w:val="Normal"/>
    <w:unhideWhenUsed/>
    <w:pPr>
      <w:numPr>
        <w:numId w:val="3"/>
      </w:numPr>
      <w:contextualSpacing/>
    </w:pPr>
  </w:style>
  <w:style w:type="paragraph" w:styleId="ListBullet4">
    <w:name w:val="List Bullet 4"/>
    <w:basedOn w:val="Normal"/>
    <w:unhideWhenUsed/>
    <w:pPr>
      <w:numPr>
        <w:numId w:val="4"/>
      </w:numPr>
      <w:contextualSpacing/>
    </w:pPr>
  </w:style>
  <w:style w:type="paragraph" w:styleId="ListNumber">
    <w:name w:val="List Number"/>
    <w:basedOn w:val="Normal"/>
    <w:unhideWhenUsed/>
    <w:pPr>
      <w:numPr>
        <w:numId w:val="5"/>
      </w:numPr>
      <w:contextualSpacing/>
    </w:pPr>
  </w:style>
  <w:style w:type="paragraph" w:styleId="ListNumber2">
    <w:name w:val="List Number 2"/>
    <w:basedOn w:val="Normal"/>
    <w:unhideWhenUsed/>
    <w:pPr>
      <w:numPr>
        <w:numId w:val="6"/>
      </w:numPr>
      <w:contextualSpacing/>
    </w:pPr>
  </w:style>
  <w:style w:type="paragraph" w:styleId="ListNumber3">
    <w:name w:val="List Number 3"/>
    <w:basedOn w:val="Normal"/>
    <w:unhideWhenUsed/>
    <w:pPr>
      <w:numPr>
        <w:numId w:val="7"/>
      </w:numPr>
      <w:contextualSpacing/>
    </w:pPr>
  </w:style>
  <w:style w:type="paragraph" w:styleId="ListNumber4">
    <w:name w:val="List Number 4"/>
    <w:basedOn w:val="Normal"/>
    <w:unhideWhenUsed/>
    <w:pPr>
      <w:numPr>
        <w:numId w:val="8"/>
      </w:numPr>
      <w:contextualSpacing/>
    </w:pPr>
  </w:style>
  <w:style w:type="character" w:styleId="CommentReference">
    <w:name w:val="annotation reference"/>
    <w:basedOn w:val="DefaultParagraphFont"/>
    <w:unhideWhenUsed/>
    <w:rPr>
      <w:sz w:val="16"/>
      <w:szCs w:val="16"/>
    </w:rPr>
  </w:style>
  <w:style w:type="paragraph" w:styleId="CommentText">
    <w:name w:val="annotation text"/>
    <w:basedOn w:val="Normal"/>
    <w:link w:val="CommentTextChar"/>
    <w:unhideWhenUsed/>
    <w:rPr>
      <w:sz w:val="20"/>
      <w:szCs w:val="20"/>
    </w:rPr>
  </w:style>
  <w:style w:type="character" w:customStyle="1" w:styleId="CommentTextChar">
    <w:name w:val="Comment Text Char"/>
    <w:basedOn w:val="DefaultParagraphFont"/>
    <w:link w:val="CommentText"/>
    <w:rPr>
      <w:rFonts w:ascii="Times New Roman" w:hAnsi="Times New Roman" w:cs="Times New Roman"/>
      <w:sz w:val="20"/>
      <w:szCs w:val="20"/>
      <w:lang w:val="en-GB"/>
    </w:rPr>
  </w:style>
  <w:style w:type="paragraph" w:styleId="CommentSubject">
    <w:name w:val="annotation subject"/>
    <w:basedOn w:val="CommentText"/>
    <w:next w:val="CommentText"/>
    <w:link w:val="CommentSubjectChar"/>
    <w:unhideWhenUsed/>
    <w:rPr>
      <w:b/>
      <w:bCs/>
    </w:rPr>
  </w:style>
  <w:style w:type="character" w:customStyle="1" w:styleId="CommentSubjectChar">
    <w:name w:val="Comment Subject Char"/>
    <w:basedOn w:val="CommentTextChar"/>
    <w:link w:val="CommentSubject"/>
    <w:rPr>
      <w:rFonts w:ascii="Times New Roman" w:hAnsi="Times New Roman" w:cs="Times New Roman"/>
      <w:b/>
      <w:bCs/>
      <w:sz w:val="20"/>
      <w:szCs w:val="20"/>
      <w:lang w:val="en-GB"/>
    </w:rPr>
  </w:style>
  <w:style w:type="character" w:styleId="Hyperlink">
    <w:name w:val="Hyperlink"/>
    <w:basedOn w:val="DefaultParagraphFont"/>
    <w:uiPriority w:val="99"/>
    <w:unhideWhenUsed/>
    <w:rPr>
      <w:color w:val="0000FF" w:themeColor="hyperlink"/>
      <w:u w:val="single"/>
    </w:rPr>
  </w:style>
  <w:style w:type="paragraph" w:styleId="BalloonText">
    <w:name w:val="Balloon Text"/>
    <w:basedOn w:val="Normal"/>
    <w:link w:val="BalloonTextChar"/>
    <w:unhideWhenUsed/>
    <w:pPr>
      <w:spacing w:before="0" w:after="0"/>
    </w:pPr>
    <w:rPr>
      <w:rFonts w:ascii="Tahoma" w:hAnsi="Tahoma" w:cs="Tahoma"/>
      <w:sz w:val="16"/>
      <w:szCs w:val="16"/>
    </w:rPr>
  </w:style>
  <w:style w:type="character" w:customStyle="1" w:styleId="BalloonTextChar">
    <w:name w:val="Balloon Text Char"/>
    <w:basedOn w:val="DefaultParagraphFont"/>
    <w:link w:val="BalloonText"/>
    <w:rPr>
      <w:rFonts w:ascii="Tahoma" w:hAnsi="Tahoma" w:cs="Tahoma"/>
      <w:sz w:val="16"/>
      <w:szCs w:val="16"/>
      <w:lang w:val="en-GB"/>
    </w:rPr>
  </w:style>
  <w:style w:type="paragraph" w:styleId="ListParagraph">
    <w:name w:val="List Paragraph"/>
    <w:aliases w:val="Listaszerű bekezdés1,List Paragraph à moi,Colorful List - Accent 11,Medium Grid 1 - Accent 21,Listaszeru bekezdés1,Colorful List - Accent 111,Dot pt,F5 List Paragraph,List Paragraph1,No Spacing1,List Paragraph Char Char Char,Bullets"/>
    <w:basedOn w:val="Normal"/>
    <w:link w:val="ListParagraphChar"/>
    <w:uiPriority w:val="34"/>
    <w:qFormat/>
    <w:pPr>
      <w:spacing w:before="0" w:after="200" w:line="276" w:lineRule="auto"/>
      <w:ind w:left="720"/>
      <w:contextualSpacing/>
      <w:jc w:val="left"/>
    </w:pPr>
    <w:rPr>
      <w:rFonts w:asciiTheme="minorHAnsi" w:hAnsiTheme="minorHAnsi" w:cstheme="minorBidi"/>
      <w:sz w:val="22"/>
      <w:lang w:val="es-ES"/>
    </w:rPr>
  </w:style>
  <w:style w:type="paragraph" w:customStyle="1" w:styleId="ListBullet1">
    <w:name w:val="List Bullet 1"/>
    <w:basedOn w:val="Normal"/>
    <w:pPr>
      <w:numPr>
        <w:numId w:val="9"/>
      </w:numPr>
    </w:pPr>
    <w:rPr>
      <w:rFonts w:eastAsia="Times New Roman"/>
      <w:lang w:eastAsia="en-GB"/>
    </w:rPr>
  </w:style>
  <w:style w:type="paragraph" w:customStyle="1" w:styleId="ListDash">
    <w:name w:val="List Dash"/>
    <w:basedOn w:val="Normal"/>
    <w:pPr>
      <w:numPr>
        <w:numId w:val="10"/>
      </w:numPr>
    </w:pPr>
    <w:rPr>
      <w:rFonts w:eastAsia="Times New Roman"/>
      <w:lang w:eastAsia="en-GB"/>
    </w:rPr>
  </w:style>
  <w:style w:type="paragraph" w:customStyle="1" w:styleId="ListDash1">
    <w:name w:val="List Dash 1"/>
    <w:basedOn w:val="Normal"/>
    <w:pPr>
      <w:numPr>
        <w:numId w:val="11"/>
      </w:numPr>
    </w:pPr>
    <w:rPr>
      <w:rFonts w:eastAsia="Times New Roman"/>
      <w:lang w:eastAsia="en-GB"/>
    </w:rPr>
  </w:style>
  <w:style w:type="paragraph" w:customStyle="1" w:styleId="ListDash2">
    <w:name w:val="List Dash 2"/>
    <w:basedOn w:val="Normal"/>
    <w:pPr>
      <w:numPr>
        <w:numId w:val="12"/>
      </w:numPr>
    </w:pPr>
    <w:rPr>
      <w:rFonts w:eastAsia="Times New Roman"/>
      <w:lang w:eastAsia="en-GB"/>
    </w:rPr>
  </w:style>
  <w:style w:type="paragraph" w:customStyle="1" w:styleId="ListNumberLevel2">
    <w:name w:val="List Number (Level 2)"/>
    <w:basedOn w:val="Normal"/>
    <w:pPr>
      <w:tabs>
        <w:tab w:val="num" w:pos="1417"/>
      </w:tabs>
      <w:ind w:left="1417" w:hanging="708"/>
    </w:pPr>
    <w:rPr>
      <w:rFonts w:eastAsia="Times New Roman"/>
      <w:lang w:eastAsia="en-GB"/>
    </w:rPr>
  </w:style>
  <w:style w:type="paragraph" w:customStyle="1" w:styleId="ListNumberLevel3">
    <w:name w:val="List Number (Level 3)"/>
    <w:basedOn w:val="Normal"/>
    <w:pPr>
      <w:tabs>
        <w:tab w:val="num" w:pos="2126"/>
      </w:tabs>
      <w:ind w:left="2126" w:hanging="709"/>
    </w:pPr>
    <w:rPr>
      <w:rFonts w:eastAsia="Times New Roman"/>
      <w:lang w:eastAsia="en-GB"/>
    </w:rPr>
  </w:style>
  <w:style w:type="paragraph" w:customStyle="1" w:styleId="ListNumberLevel4">
    <w:name w:val="List Number (Level 4)"/>
    <w:basedOn w:val="Normal"/>
    <w:pPr>
      <w:tabs>
        <w:tab w:val="num" w:pos="2835"/>
      </w:tabs>
      <w:ind w:left="2835" w:hanging="709"/>
    </w:pPr>
    <w:rPr>
      <w:rFonts w:eastAsia="Times New Roman"/>
      <w:lang w:eastAsia="en-GB"/>
    </w:rPr>
  </w:style>
  <w:style w:type="paragraph" w:customStyle="1" w:styleId="Sous-titreobjet">
    <w:name w:val="Sous-titre objet"/>
    <w:basedOn w:val="Normal"/>
    <w:pPr>
      <w:spacing w:before="0" w:after="0"/>
      <w:jc w:val="center"/>
    </w:pPr>
    <w:rPr>
      <w:rFonts w:eastAsia="Times New Roman"/>
      <w:b/>
      <w:lang w:eastAsia="en-GB"/>
    </w:rPr>
  </w:style>
  <w:style w:type="paragraph" w:customStyle="1" w:styleId="Sous-titreobjetPagedecouverture">
    <w:name w:val="Sous-titre objet (Page de couverture)"/>
    <w:basedOn w:val="Sous-titreobjet"/>
  </w:style>
  <w:style w:type="character" w:styleId="FollowedHyperlink">
    <w:name w:val="FollowedHyperlink"/>
    <w:rPr>
      <w:color w:val="800080"/>
      <w:u w:val="single"/>
    </w:rPr>
  </w:style>
  <w:style w:type="character" w:customStyle="1" w:styleId="ListParagraphChar">
    <w:name w:val="List Paragraph Char"/>
    <w:aliases w:val="Listaszerű bekezdés1 Char,List Paragraph à moi Char,Colorful List - Accent 11 Char,Medium Grid 1 - Accent 21 Char,Listaszeru bekezdés1 Char,Colorful List - Accent 111 Char,Dot pt Char,F5 List Paragraph Char,List Paragraph1 Char"/>
    <w:basedOn w:val="DefaultParagraphFont"/>
    <w:link w:val="ListParagraph"/>
    <w:uiPriority w:val="34"/>
    <w:locked/>
    <w:rPr>
      <w:lang w:val="es-ES"/>
    </w:rPr>
  </w:style>
  <w:style w:type="paragraph" w:styleId="NormalWeb">
    <w:name w:val="Normal (Web)"/>
    <w:basedOn w:val="Normal"/>
    <w:uiPriority w:val="99"/>
    <w:semiHidden/>
    <w:unhideWhenUsed/>
    <w:pPr>
      <w:spacing w:before="100" w:beforeAutospacing="1" w:after="100" w:afterAutospacing="1"/>
      <w:jc w:val="left"/>
    </w:pPr>
    <w:rPr>
      <w:rFonts w:eastAsia="Times New Roman"/>
      <w:szCs w:val="24"/>
      <w:lang w:eastAsia="en-GB"/>
    </w:rPr>
  </w:style>
  <w:style w:type="character" w:styleId="Emphasis">
    <w:name w:val="Emphasis"/>
    <w:basedOn w:val="DefaultParagraphFont"/>
    <w:uiPriority w:val="20"/>
    <w:qFormat/>
    <w:rPr>
      <w:i/>
      <w:iCs/>
    </w:rPr>
  </w:style>
  <w:style w:type="paragraph" w:styleId="Revision">
    <w:name w:val="Revision"/>
    <w:hidden/>
    <w:uiPriority w:val="99"/>
    <w:semiHidden/>
    <w:pPr>
      <w:spacing w:after="0" w:line="240" w:lineRule="auto"/>
    </w:pPr>
    <w:rPr>
      <w:rFonts w:ascii="Times New Roman" w:hAnsi="Times New Roman" w:cs="Times New Roman"/>
      <w:sz w:val="24"/>
      <w:lang w:val="en-GB"/>
    </w:rPr>
  </w:style>
  <w:style w:type="paragraph" w:customStyle="1" w:styleId="FooterCoverPage">
    <w:name w:val="Footer Cover Page"/>
    <w:basedOn w:val="Normal"/>
    <w:link w:val="FooterCoverPageChar"/>
    <w:pPr>
      <w:tabs>
        <w:tab w:val="center" w:pos="4535"/>
        <w:tab w:val="right" w:pos="9071"/>
        <w:tab w:val="right" w:pos="9921"/>
      </w:tabs>
      <w:spacing w:before="360" w:after="0"/>
      <w:ind w:left="-850" w:right="-850"/>
      <w:jc w:val="left"/>
    </w:pPr>
  </w:style>
  <w:style w:type="character" w:customStyle="1" w:styleId="FooterCoverPageChar">
    <w:name w:val="Footer Cover Page Char"/>
    <w:basedOn w:val="DefaultParagraphFont"/>
    <w:link w:val="FooterCoverPage"/>
    <w:rPr>
      <w:rFonts w:ascii="Times New Roman" w:hAnsi="Times New Roman" w:cs="Times New Roman"/>
      <w:sz w:val="24"/>
      <w:lang w:val="en-GB"/>
    </w:rPr>
  </w:style>
  <w:style w:type="character" w:customStyle="1" w:styleId="FooterSensitivityChar">
    <w:name w:val="Footer Sensitivity Char"/>
    <w:basedOn w:val="DefaultParagraphFont"/>
    <w:rPr>
      <w:rFonts w:ascii="Times New Roman" w:hAnsi="Times New Roman" w:cs="Times New Roman"/>
      <w:b/>
      <w:sz w:val="32"/>
      <w:lang w:val="en-GB"/>
    </w:rPr>
  </w:style>
  <w:style w:type="paragraph" w:customStyle="1" w:styleId="HeaderCoverPage">
    <w:name w:val="Header Cover Page"/>
    <w:basedOn w:val="Normal"/>
    <w:link w:val="HeaderCoverPageChar"/>
    <w:pPr>
      <w:tabs>
        <w:tab w:val="center" w:pos="4535"/>
        <w:tab w:val="right" w:pos="9071"/>
      </w:tabs>
      <w:spacing w:before="0"/>
    </w:pPr>
  </w:style>
  <w:style w:type="character" w:customStyle="1" w:styleId="HeaderCoverPageChar">
    <w:name w:val="Header Cover Page Char"/>
    <w:basedOn w:val="DefaultParagraphFont"/>
    <w:link w:val="HeaderCoverPage"/>
    <w:rPr>
      <w:rFonts w:ascii="Times New Roman" w:hAnsi="Times New Roman" w:cs="Times New Roman"/>
      <w:sz w:val="24"/>
      <w:lang w:val="en-GB"/>
    </w:rPr>
  </w:style>
  <w:style w:type="character" w:customStyle="1" w:styleId="HeaderSensitivityChar">
    <w:name w:val="Header Sensitivity Char"/>
    <w:basedOn w:val="DefaultParagraphFont"/>
    <w:rPr>
      <w:rFonts w:ascii="Times New Roman" w:hAnsi="Times New Roman" w:cs="Times New Roman"/>
      <w:b/>
      <w:sz w:val="32"/>
      <w:lang w:val="en-GB"/>
    </w:rPr>
  </w:style>
  <w:style w:type="table" w:styleId="TableGrid">
    <w:name w:val="Table Grid"/>
    <w:basedOn w:val="TableNormal"/>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e">
    <w:name w:val="Paragraphe"/>
    <w:basedOn w:val="Titrearticle"/>
    <w:rPr>
      <w:lang w:val="en-US" w:eastAsia="fr-BE"/>
    </w:rPr>
  </w:style>
  <w:style w:type="paragraph" w:customStyle="1" w:styleId="ListDash3">
    <w:name w:val="List Dash 3"/>
    <w:basedOn w:val="Normal"/>
    <w:pPr>
      <w:numPr>
        <w:numId w:val="13"/>
      </w:numPr>
    </w:pPr>
    <w:rPr>
      <w:rFonts w:eastAsia="Times New Roman"/>
      <w:lang w:eastAsia="en-GB"/>
    </w:rPr>
  </w:style>
  <w:style w:type="paragraph" w:customStyle="1" w:styleId="ListDash4">
    <w:name w:val="List Dash 4"/>
    <w:basedOn w:val="Normal"/>
    <w:pPr>
      <w:numPr>
        <w:numId w:val="14"/>
      </w:numPr>
    </w:pPr>
    <w:rPr>
      <w:rFonts w:eastAsia="Times New Roman"/>
      <w:lang w:eastAsia="en-GB"/>
    </w:rPr>
  </w:style>
  <w:style w:type="paragraph" w:customStyle="1" w:styleId="ListNumber1">
    <w:name w:val="List Number 1"/>
    <w:basedOn w:val="Text1"/>
    <w:pPr>
      <w:numPr>
        <w:numId w:val="15"/>
      </w:numPr>
    </w:pPr>
    <w:rPr>
      <w:rFonts w:eastAsia="Times New Roman"/>
      <w:lang w:eastAsia="en-GB"/>
    </w:rPr>
  </w:style>
  <w:style w:type="paragraph" w:customStyle="1" w:styleId="ListNumber1Level2">
    <w:name w:val="List Number 1 (Level 2)"/>
    <w:basedOn w:val="Text1"/>
    <w:pPr>
      <w:numPr>
        <w:ilvl w:val="1"/>
        <w:numId w:val="15"/>
      </w:numPr>
    </w:pPr>
    <w:rPr>
      <w:rFonts w:eastAsia="Times New Roman"/>
      <w:lang w:eastAsia="en-GB"/>
    </w:rPr>
  </w:style>
  <w:style w:type="paragraph" w:customStyle="1" w:styleId="ListNumber2Level2">
    <w:name w:val="List Number 2 (Level 2)"/>
    <w:basedOn w:val="Text2"/>
    <w:pPr>
      <w:tabs>
        <w:tab w:val="num" w:pos="2268"/>
      </w:tabs>
      <w:ind w:left="2268" w:hanging="708"/>
    </w:pPr>
    <w:rPr>
      <w:rFonts w:eastAsia="Times New Roman"/>
      <w:lang w:eastAsia="en-GB"/>
    </w:rPr>
  </w:style>
  <w:style w:type="paragraph" w:customStyle="1" w:styleId="ListNumber3Level2">
    <w:name w:val="List Number 3 (Level 2)"/>
    <w:basedOn w:val="Text3"/>
    <w:pPr>
      <w:tabs>
        <w:tab w:val="num" w:pos="2268"/>
      </w:tabs>
      <w:ind w:left="2268" w:hanging="708"/>
    </w:pPr>
    <w:rPr>
      <w:rFonts w:eastAsia="Times New Roman"/>
      <w:lang w:eastAsia="en-GB"/>
    </w:rPr>
  </w:style>
  <w:style w:type="paragraph" w:customStyle="1" w:styleId="ListNumber4Level2">
    <w:name w:val="List Number 4 (Level 2)"/>
    <w:basedOn w:val="Text4"/>
    <w:pPr>
      <w:tabs>
        <w:tab w:val="num" w:pos="2268"/>
      </w:tabs>
      <w:ind w:left="2268" w:hanging="708"/>
    </w:pPr>
    <w:rPr>
      <w:rFonts w:eastAsia="Times New Roman"/>
      <w:lang w:eastAsia="en-GB"/>
    </w:rPr>
  </w:style>
  <w:style w:type="paragraph" w:customStyle="1" w:styleId="ListNumber1Level3">
    <w:name w:val="List Number 1 (Level 3)"/>
    <w:basedOn w:val="Text1"/>
    <w:pPr>
      <w:numPr>
        <w:ilvl w:val="2"/>
        <w:numId w:val="15"/>
      </w:numPr>
    </w:pPr>
    <w:rPr>
      <w:rFonts w:eastAsia="Times New Roman"/>
      <w:lang w:eastAsia="en-GB"/>
    </w:rPr>
  </w:style>
  <w:style w:type="paragraph" w:customStyle="1" w:styleId="ListNumber2Level3">
    <w:name w:val="List Number 2 (Level 3)"/>
    <w:basedOn w:val="Text2"/>
    <w:pPr>
      <w:tabs>
        <w:tab w:val="num" w:pos="2977"/>
      </w:tabs>
      <w:ind w:left="2977" w:hanging="709"/>
    </w:pPr>
    <w:rPr>
      <w:rFonts w:eastAsia="Times New Roman"/>
      <w:lang w:eastAsia="en-GB"/>
    </w:rPr>
  </w:style>
  <w:style w:type="paragraph" w:customStyle="1" w:styleId="ListNumber3Level3">
    <w:name w:val="List Number 3 (Level 3)"/>
    <w:basedOn w:val="Text3"/>
    <w:pPr>
      <w:tabs>
        <w:tab w:val="num" w:pos="2977"/>
      </w:tabs>
      <w:ind w:left="2977" w:hanging="709"/>
    </w:pPr>
    <w:rPr>
      <w:rFonts w:eastAsia="Times New Roman"/>
      <w:lang w:eastAsia="en-GB"/>
    </w:rPr>
  </w:style>
  <w:style w:type="paragraph" w:customStyle="1" w:styleId="ListNumber4Level3">
    <w:name w:val="List Number 4 (Level 3)"/>
    <w:basedOn w:val="Text4"/>
    <w:pPr>
      <w:tabs>
        <w:tab w:val="num" w:pos="2977"/>
      </w:tabs>
      <w:ind w:left="2977" w:hanging="709"/>
    </w:pPr>
    <w:rPr>
      <w:rFonts w:eastAsia="Times New Roman"/>
      <w:lang w:eastAsia="en-GB"/>
    </w:rPr>
  </w:style>
  <w:style w:type="paragraph" w:customStyle="1" w:styleId="ListNumber1Level4">
    <w:name w:val="List Number 1 (Level 4)"/>
    <w:basedOn w:val="Text1"/>
    <w:pPr>
      <w:numPr>
        <w:ilvl w:val="3"/>
        <w:numId w:val="15"/>
      </w:numPr>
    </w:pPr>
    <w:rPr>
      <w:rFonts w:eastAsia="Times New Roman"/>
      <w:lang w:eastAsia="en-GB"/>
    </w:rPr>
  </w:style>
  <w:style w:type="paragraph" w:customStyle="1" w:styleId="ListNumber2Level4">
    <w:name w:val="List Number 2 (Level 4)"/>
    <w:basedOn w:val="Text2"/>
    <w:pPr>
      <w:tabs>
        <w:tab w:val="num" w:pos="3686"/>
      </w:tabs>
      <w:ind w:left="3686" w:hanging="709"/>
    </w:pPr>
    <w:rPr>
      <w:rFonts w:eastAsia="Times New Roman"/>
      <w:lang w:eastAsia="en-GB"/>
    </w:rPr>
  </w:style>
  <w:style w:type="paragraph" w:customStyle="1" w:styleId="ListNumber3Level4">
    <w:name w:val="List Number 3 (Level 4)"/>
    <w:basedOn w:val="Text3"/>
    <w:pPr>
      <w:tabs>
        <w:tab w:val="num" w:pos="3686"/>
      </w:tabs>
      <w:ind w:left="3686" w:hanging="709"/>
    </w:pPr>
    <w:rPr>
      <w:rFonts w:eastAsia="Times New Roman"/>
      <w:lang w:eastAsia="en-GB"/>
    </w:rPr>
  </w:style>
  <w:style w:type="paragraph" w:customStyle="1" w:styleId="ListNumber4Level4">
    <w:name w:val="List Number 4 (Level 4)"/>
    <w:basedOn w:val="Text4"/>
    <w:pPr>
      <w:tabs>
        <w:tab w:val="num" w:pos="3686"/>
      </w:tabs>
      <w:ind w:left="3686" w:hanging="709"/>
    </w:pPr>
    <w:rPr>
      <w:rFonts w:eastAsia="Times New Roman"/>
      <w:lang w:eastAsia="en-GB"/>
    </w:rPr>
  </w:style>
  <w:style w:type="paragraph" w:customStyle="1" w:styleId="Annexetitreacte">
    <w:name w:val="Annexe titre (acte)"/>
    <w:basedOn w:val="Normal"/>
    <w:next w:val="Normal"/>
    <w:pPr>
      <w:jc w:val="center"/>
    </w:pPr>
    <w:rPr>
      <w:rFonts w:eastAsia="Times New Roman"/>
      <w:b/>
      <w:u w:val="single"/>
      <w:lang w:eastAsia="en-GB"/>
    </w:rPr>
  </w:style>
  <w:style w:type="paragraph" w:customStyle="1" w:styleId="Annexetitreexposglobal">
    <w:name w:val="Annexe titre (exposé global)"/>
    <w:basedOn w:val="Normal"/>
    <w:next w:val="Normal"/>
    <w:pPr>
      <w:jc w:val="center"/>
    </w:pPr>
    <w:rPr>
      <w:rFonts w:eastAsia="Times New Roman"/>
      <w:b/>
      <w:u w:val="single"/>
      <w:lang w:eastAsia="en-GB"/>
    </w:rPr>
  </w:style>
  <w:style w:type="paragraph" w:customStyle="1" w:styleId="Annexetitrefichefinacte">
    <w:name w:val="Annexe titre (fiche fin. acte)"/>
    <w:basedOn w:val="Normal"/>
    <w:next w:val="Normal"/>
    <w:pPr>
      <w:jc w:val="center"/>
    </w:pPr>
    <w:rPr>
      <w:rFonts w:eastAsia="Times New Roman"/>
      <w:b/>
      <w:u w:val="single"/>
      <w:lang w:eastAsia="en-GB"/>
    </w:rPr>
  </w:style>
  <w:style w:type="paragraph" w:customStyle="1" w:styleId="Annexetitrefichefinglobale">
    <w:name w:val="Annexe titre (fiche fin. globale)"/>
    <w:basedOn w:val="Normal"/>
    <w:next w:val="Normal"/>
    <w:pPr>
      <w:jc w:val="center"/>
    </w:pPr>
    <w:rPr>
      <w:rFonts w:eastAsia="Times New Roman"/>
      <w:b/>
      <w:u w:val="single"/>
      <w:lang w:eastAsia="en-GB"/>
    </w:rPr>
  </w:style>
  <w:style w:type="paragraph" w:customStyle="1" w:styleId="Annexetitreglobale">
    <w:name w:val="Annexe titre (globale)"/>
    <w:basedOn w:val="Normal"/>
    <w:next w:val="Normal"/>
    <w:pPr>
      <w:jc w:val="center"/>
    </w:pPr>
    <w:rPr>
      <w:rFonts w:eastAsia="Times New Roman"/>
      <w:b/>
      <w:u w:val="single"/>
      <w:lang w:eastAsia="en-GB"/>
    </w:rPr>
  </w:style>
  <w:style w:type="paragraph" w:customStyle="1" w:styleId="Exposdesmotifstitreglobal">
    <w:name w:val="Exposé des motifs titre (global)"/>
    <w:basedOn w:val="Normal"/>
    <w:next w:val="Normal"/>
    <w:pPr>
      <w:jc w:val="center"/>
    </w:pPr>
    <w:rPr>
      <w:rFonts w:eastAsia="Times New Roman"/>
      <w:b/>
      <w:u w:val="single"/>
      <w:lang w:eastAsia="en-GB"/>
    </w:rPr>
  </w:style>
  <w:style w:type="paragraph" w:customStyle="1" w:styleId="Langueoriginale">
    <w:name w:val="Langue originale"/>
    <w:basedOn w:val="Normal"/>
    <w:pPr>
      <w:spacing w:before="360"/>
      <w:jc w:val="center"/>
    </w:pPr>
    <w:rPr>
      <w:rFonts w:eastAsia="Times New Roman"/>
      <w:caps/>
      <w:lang w:eastAsia="en-GB"/>
    </w:rPr>
  </w:style>
  <w:style w:type="paragraph" w:customStyle="1" w:styleId="Phrasefinale">
    <w:name w:val="Phrase finale"/>
    <w:basedOn w:val="Normal"/>
    <w:next w:val="Normal"/>
    <w:pPr>
      <w:spacing w:before="360" w:after="0"/>
      <w:jc w:val="center"/>
    </w:pPr>
    <w:rPr>
      <w:rFonts w:eastAsia="Times New Roman"/>
      <w:lang w:eastAsia="en-GB"/>
    </w:rPr>
  </w:style>
  <w:style w:type="paragraph" w:customStyle="1" w:styleId="Prliminairetitre">
    <w:name w:val="Préliminaire titre"/>
    <w:basedOn w:val="Normal"/>
    <w:next w:val="Normal"/>
    <w:pPr>
      <w:spacing w:before="360" w:after="360"/>
      <w:jc w:val="center"/>
    </w:pPr>
    <w:rPr>
      <w:rFonts w:eastAsia="Times New Roman"/>
      <w:b/>
      <w:lang w:eastAsia="en-GB"/>
    </w:rPr>
  </w:style>
  <w:style w:type="paragraph" w:customStyle="1" w:styleId="Prliminairetype">
    <w:name w:val="Préliminaire type"/>
    <w:basedOn w:val="Normal"/>
    <w:next w:val="Normal"/>
    <w:pPr>
      <w:spacing w:before="360" w:after="0"/>
      <w:jc w:val="center"/>
    </w:pPr>
    <w:rPr>
      <w:rFonts w:eastAsia="Times New Roman"/>
      <w:b/>
      <w:lang w:eastAsia="en-GB"/>
    </w:rPr>
  </w:style>
  <w:style w:type="paragraph" w:customStyle="1" w:styleId="Rfrenceinstitutionelle">
    <w:name w:val="Référence institutionelle"/>
    <w:basedOn w:val="Normal"/>
    <w:next w:val="Statut"/>
    <w:pPr>
      <w:spacing w:before="0" w:after="240"/>
      <w:ind w:left="5103"/>
      <w:jc w:val="left"/>
    </w:pPr>
    <w:rPr>
      <w:rFonts w:eastAsia="Times New Roman"/>
      <w:lang w:eastAsia="en-GB"/>
    </w:rPr>
  </w:style>
  <w:style w:type="paragraph" w:customStyle="1" w:styleId="Rfrenceinterinstitutionelle">
    <w:name w:val="Référence interinstitutionelle"/>
    <w:basedOn w:val="Normal"/>
    <w:next w:val="Statut"/>
    <w:pPr>
      <w:spacing w:before="0" w:after="0"/>
      <w:ind w:left="5103"/>
      <w:jc w:val="left"/>
    </w:pPr>
    <w:rPr>
      <w:rFonts w:eastAsia="Times New Roman"/>
      <w:lang w:eastAsia="en-GB"/>
    </w:rPr>
  </w:style>
  <w:style w:type="paragraph" w:customStyle="1" w:styleId="Rfrenceinterinstitutionelleprliminaire">
    <w:name w:val="Référence interinstitutionelle (préliminaire)"/>
    <w:basedOn w:val="Normal"/>
    <w:next w:val="Normal"/>
    <w:pPr>
      <w:spacing w:before="0" w:after="0"/>
      <w:ind w:left="5103"/>
      <w:jc w:val="left"/>
    </w:pPr>
    <w:rPr>
      <w:rFonts w:eastAsia="Times New Roman"/>
      <w:lang w:eastAsia="en-GB"/>
    </w:rPr>
  </w:style>
  <w:style w:type="paragraph" w:customStyle="1" w:styleId="Sous-titreobjetprliminaire">
    <w:name w:val="Sous-titre objet (préliminaire)"/>
    <w:basedOn w:val="Normal"/>
    <w:pPr>
      <w:spacing w:before="0" w:after="0"/>
      <w:jc w:val="center"/>
    </w:pPr>
    <w:rPr>
      <w:rFonts w:eastAsia="Times New Roman"/>
      <w:b/>
      <w:lang w:eastAsia="en-GB"/>
    </w:rPr>
  </w:style>
  <w:style w:type="paragraph" w:customStyle="1" w:styleId="Statutprliminaire">
    <w:name w:val="Statut (préliminaire)"/>
    <w:basedOn w:val="Normal"/>
    <w:next w:val="Normal"/>
    <w:pPr>
      <w:spacing w:before="360" w:after="0"/>
      <w:jc w:val="center"/>
    </w:pPr>
    <w:rPr>
      <w:rFonts w:eastAsia="Times New Roman"/>
      <w:lang w:eastAsia="en-GB"/>
    </w:rPr>
  </w:style>
  <w:style w:type="paragraph" w:customStyle="1" w:styleId="Titreobjetprliminaire">
    <w:name w:val="Titre objet (préliminaire)"/>
    <w:basedOn w:val="Normal"/>
    <w:next w:val="Normal"/>
    <w:pPr>
      <w:spacing w:before="360" w:after="360"/>
      <w:jc w:val="center"/>
    </w:pPr>
    <w:rPr>
      <w:rFonts w:eastAsia="Times New Roman"/>
      <w:b/>
      <w:lang w:eastAsia="en-GB"/>
    </w:rPr>
  </w:style>
  <w:style w:type="paragraph" w:customStyle="1" w:styleId="Typedudocumentprliminaire">
    <w:name w:val="Type du document (préliminaire)"/>
    <w:basedOn w:val="Normal"/>
    <w:next w:val="Normal"/>
    <w:pPr>
      <w:spacing w:before="360" w:after="0"/>
      <w:jc w:val="center"/>
    </w:pPr>
    <w:rPr>
      <w:rFonts w:eastAsia="Times New Roman"/>
      <w:b/>
      <w:lang w:eastAsia="en-GB"/>
    </w:rPr>
  </w:style>
  <w:style w:type="paragraph" w:customStyle="1" w:styleId="Fichefinancirestandardtitre">
    <w:name w:val="Fiche financière (standard) titre"/>
    <w:basedOn w:val="Normal"/>
    <w:next w:val="Normal"/>
    <w:pPr>
      <w:jc w:val="center"/>
    </w:pPr>
    <w:rPr>
      <w:rFonts w:eastAsia="Times New Roman"/>
      <w:b/>
      <w:u w:val="single"/>
      <w:lang w:eastAsia="en-GB"/>
    </w:rPr>
  </w:style>
  <w:style w:type="paragraph" w:customStyle="1" w:styleId="Fichefinancirestandardtitreacte">
    <w:name w:val="Fiche financière (standard) titre (acte)"/>
    <w:basedOn w:val="Normal"/>
    <w:next w:val="Normal"/>
    <w:pPr>
      <w:jc w:val="center"/>
    </w:pPr>
    <w:rPr>
      <w:rFonts w:eastAsia="Times New Roman"/>
      <w:b/>
      <w:u w:val="single"/>
      <w:lang w:eastAsia="en-GB"/>
    </w:rPr>
  </w:style>
  <w:style w:type="paragraph" w:customStyle="1" w:styleId="Fichefinanciretravailtitre">
    <w:name w:val="Fiche financière (travail) titre"/>
    <w:basedOn w:val="Normal"/>
    <w:next w:val="Normal"/>
    <w:pPr>
      <w:jc w:val="center"/>
    </w:pPr>
    <w:rPr>
      <w:rFonts w:eastAsia="Times New Roman"/>
      <w:b/>
      <w:u w:val="single"/>
      <w:lang w:eastAsia="en-GB"/>
    </w:rPr>
  </w:style>
  <w:style w:type="paragraph" w:customStyle="1" w:styleId="Fichefinanciretravailtitreacte">
    <w:name w:val="Fiche financière (travail) titre (acte)"/>
    <w:basedOn w:val="Normal"/>
    <w:next w:val="Normal"/>
    <w:pPr>
      <w:jc w:val="center"/>
    </w:pPr>
    <w:rPr>
      <w:rFonts w:eastAsia="Times New Roman"/>
      <w:b/>
      <w:u w:val="single"/>
      <w:lang w:eastAsia="en-GB"/>
    </w:rPr>
  </w:style>
  <w:style w:type="paragraph" w:customStyle="1" w:styleId="Fichefinancireattributiontitre">
    <w:name w:val="Fiche financière (attribution) titre"/>
    <w:basedOn w:val="Normal"/>
    <w:next w:val="Normal"/>
    <w:pPr>
      <w:jc w:val="center"/>
    </w:pPr>
    <w:rPr>
      <w:rFonts w:eastAsia="Times New Roman"/>
      <w:b/>
      <w:u w:val="single"/>
      <w:lang w:eastAsia="en-GB"/>
    </w:rPr>
  </w:style>
  <w:style w:type="paragraph" w:customStyle="1" w:styleId="Fichefinancireattributiontitreacte">
    <w:name w:val="Fiche financière (attribution) titre (acte)"/>
    <w:basedOn w:val="Normal"/>
    <w:next w:val="Normal"/>
    <w:pPr>
      <w:jc w:val="center"/>
    </w:pPr>
    <w:rPr>
      <w:rFonts w:eastAsia="Times New Roman"/>
      <w:b/>
      <w:u w:val="single"/>
      <w:lang w:eastAsia="en-GB"/>
    </w:rPr>
  </w:style>
  <w:style w:type="character" w:styleId="PageNumber">
    <w:name w:val="page number"/>
  </w:style>
  <w:style w:type="character" w:customStyle="1" w:styleId="tw4winMark">
    <w:name w:val="tw4winMark"/>
    <w:rPr>
      <w:vanish/>
      <w:color w:val="800080"/>
      <w:vertAlign w:val="subscript"/>
    </w:rPr>
  </w:style>
  <w:style w:type="character" w:customStyle="1" w:styleId="TOCHeadingChar">
    <w:name w:val="TOC Heading Char"/>
    <w:uiPriority w:val="39"/>
    <w:rPr>
      <w:rFonts w:ascii="Times New Roman" w:hAnsi="Times New Roman" w:cs="Times New Roman"/>
      <w:b/>
      <w:sz w:val="28"/>
      <w:lang w:val="en-GB"/>
    </w:rPr>
  </w:style>
  <w:style w:type="paragraph" w:customStyle="1" w:styleId="Lignefinal">
    <w:name w:val="Ligne final"/>
    <w:basedOn w:val="Normal"/>
    <w:next w:val="Normal"/>
    <w:pPr>
      <w:pBdr>
        <w:bottom w:val="single" w:sz="4" w:space="0" w:color="000000"/>
      </w:pBdr>
      <w:spacing w:before="360" w:line="360" w:lineRule="auto"/>
      <w:ind w:left="3400" w:right="3400"/>
      <w:jc w:val="center"/>
    </w:pPr>
    <w:rPr>
      <w:b/>
    </w:rPr>
  </w:style>
  <w:style w:type="paragraph" w:customStyle="1" w:styleId="Default">
    <w:name w:val="Default"/>
    <w:pPr>
      <w:autoSpaceDE w:val="0"/>
      <w:autoSpaceDN w:val="0"/>
      <w:adjustRightInd w:val="0"/>
      <w:spacing w:after="0" w:line="240" w:lineRule="auto"/>
    </w:pPr>
    <w:rPr>
      <w:rFonts w:ascii="EUAlbertina" w:hAnsi="EUAlbertina" w:cs="EUAlbertina"/>
      <w:color w:val="000000"/>
      <w:sz w:val="24"/>
      <w:szCs w:val="24"/>
      <w:lang w:val="en-GB"/>
    </w:rPr>
  </w:style>
  <w:style w:type="paragraph" w:customStyle="1" w:styleId="Body">
    <w:name w:val="Body"/>
    <w:pPr>
      <w:pBdr>
        <w:top w:val="nil"/>
        <w:left w:val="nil"/>
        <w:bottom w:val="nil"/>
        <w:right w:val="nil"/>
        <w:between w:val="nil"/>
        <w:bar w:val="nil"/>
      </w:pBdr>
    </w:pPr>
    <w:rPr>
      <w:rFonts w:ascii="Calibri" w:eastAsia="Calibri" w:hAnsi="Calibri" w:cs="Calibri"/>
      <w:color w:val="000000"/>
      <w:u w:color="000000"/>
      <w:bdr w:val="nil"/>
      <w:lang w:val="en-GB" w:eastAsia="en-GB"/>
    </w:rPr>
  </w:style>
  <w:style w:type="paragraph" w:customStyle="1" w:styleId="Normal1">
    <w:name w:val="Normal1"/>
    <w:basedOn w:val="Normal"/>
    <w:pPr>
      <w:spacing w:before="100" w:beforeAutospacing="1" w:after="100" w:afterAutospacing="1"/>
      <w:jc w:val="left"/>
    </w:pPr>
    <w:rPr>
      <w:rFonts w:eastAsia="Times New Roman"/>
      <w:szCs w:val="24"/>
      <w:lang w:eastAsia="en-GB"/>
    </w:rPr>
  </w:style>
  <w:style w:type="character" w:customStyle="1" w:styleId="super">
    <w:name w:val="super"/>
    <w:basedOn w:val="DefaultParagraphFont"/>
  </w:style>
  <w:style w:type="paragraph" w:styleId="Header">
    <w:name w:val="header"/>
    <w:basedOn w:val="Normal"/>
    <w:link w:val="HeaderChar"/>
    <w:uiPriority w:val="99"/>
    <w:unhideWhenUsed/>
    <w:pPr>
      <w:tabs>
        <w:tab w:val="center" w:pos="4535"/>
        <w:tab w:val="right" w:pos="9071"/>
      </w:tabs>
      <w:spacing w:before="0"/>
    </w:pPr>
  </w:style>
  <w:style w:type="character" w:customStyle="1" w:styleId="HeaderChar">
    <w:name w:val="Header Char"/>
    <w:basedOn w:val="DefaultParagraphFont"/>
    <w:link w:val="Header"/>
    <w:uiPriority w:val="99"/>
    <w:rPr>
      <w:rFonts w:ascii="Times New Roman" w:hAnsi="Times New Roman" w:cs="Times New Roman"/>
      <w:sz w:val="24"/>
      <w:lang w:val="fr-FR"/>
    </w:rPr>
  </w:style>
  <w:style w:type="paragraph" w:styleId="Footer">
    <w:name w:val="footer"/>
    <w:basedOn w:val="Normal"/>
    <w:link w:val="FooterChar"/>
    <w:uiPriority w:val="99"/>
    <w:unhideWhenUsed/>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Pr>
      <w:rFonts w:ascii="Times New Roman" w:hAnsi="Times New Roman" w:cs="Times New Roman"/>
      <w:sz w:val="24"/>
      <w:lang w:val="fr-FR"/>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pPr>
  </w:style>
  <w:style w:type="paragraph" w:customStyle="1" w:styleId="HeaderLandscape">
    <w:name w:val="HeaderLandscape"/>
    <w:basedOn w:val="Normal"/>
    <w:pPr>
      <w:tabs>
        <w:tab w:val="center" w:pos="7285"/>
        <w:tab w:val="right" w:pos="14003"/>
      </w:tabs>
      <w:spacing w:before="0"/>
    </w:pPr>
  </w:style>
  <w:style w:type="paragraph" w:customStyle="1" w:styleId="FooterLandscape">
    <w:name w:val="FooterLandscape"/>
    <w:basedOn w:val="Normal"/>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HeaderSensitivity">
    <w:name w:val="Header Sensitivity"/>
    <w:basedOn w:val="Normal"/>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HeaderSensitivityRight">
    <w:name w:val="Header Sensitivity Right"/>
    <w:basedOn w:val="Normal"/>
    <w:pPr>
      <w:spacing w:before="0"/>
      <w:jc w:val="right"/>
    </w:pPr>
    <w:rPr>
      <w:sz w:val="28"/>
    </w:rPr>
  </w:style>
  <w:style w:type="paragraph" w:customStyle="1" w:styleId="FooterSensitivity">
    <w:name w:val="Footer Sensitivity"/>
    <w:basedOn w:val="Normal"/>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Tiret0">
    <w:name w:val="Tiret 0"/>
    <w:basedOn w:val="Point0"/>
    <w:pPr>
      <w:numPr>
        <w:numId w:val="18"/>
      </w:numPr>
    </w:pPr>
  </w:style>
  <w:style w:type="paragraph" w:customStyle="1" w:styleId="Tiret1">
    <w:name w:val="Tiret 1"/>
    <w:basedOn w:val="Point1"/>
    <w:pPr>
      <w:numPr>
        <w:numId w:val="19"/>
      </w:numPr>
    </w:pPr>
  </w:style>
  <w:style w:type="paragraph" w:customStyle="1" w:styleId="Tiret2">
    <w:name w:val="Tiret 2"/>
    <w:basedOn w:val="Point2"/>
    <w:pPr>
      <w:numPr>
        <w:numId w:val="20"/>
      </w:numPr>
    </w:pPr>
  </w:style>
  <w:style w:type="paragraph" w:customStyle="1" w:styleId="Tiret3">
    <w:name w:val="Tiret 3"/>
    <w:basedOn w:val="Point3"/>
    <w:pPr>
      <w:numPr>
        <w:numId w:val="21"/>
      </w:numPr>
    </w:pPr>
  </w:style>
  <w:style w:type="paragraph" w:customStyle="1" w:styleId="Tiret4">
    <w:name w:val="Tiret 4"/>
    <w:basedOn w:val="Point4"/>
    <w:pPr>
      <w:numPr>
        <w:numId w:val="22"/>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23"/>
      </w:numPr>
    </w:pPr>
  </w:style>
  <w:style w:type="paragraph" w:customStyle="1" w:styleId="NumPar2">
    <w:name w:val="NumPar 2"/>
    <w:basedOn w:val="Normal"/>
    <w:next w:val="Text1"/>
    <w:pPr>
      <w:numPr>
        <w:ilvl w:val="1"/>
        <w:numId w:val="23"/>
      </w:numPr>
    </w:pPr>
  </w:style>
  <w:style w:type="paragraph" w:customStyle="1" w:styleId="NumPar3">
    <w:name w:val="NumPar 3"/>
    <w:basedOn w:val="Normal"/>
    <w:next w:val="Text1"/>
    <w:pPr>
      <w:numPr>
        <w:ilvl w:val="2"/>
        <w:numId w:val="23"/>
      </w:numPr>
    </w:pPr>
  </w:style>
  <w:style w:type="paragraph" w:customStyle="1" w:styleId="NumPar4">
    <w:name w:val="NumPar 4"/>
    <w:basedOn w:val="Normal"/>
    <w:next w:val="Text1"/>
    <w:pPr>
      <w:numPr>
        <w:ilvl w:val="3"/>
        <w:numId w:val="23"/>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25"/>
      </w:numPr>
    </w:pPr>
  </w:style>
  <w:style w:type="paragraph" w:customStyle="1" w:styleId="Point1number">
    <w:name w:val="Point 1 (number)"/>
    <w:basedOn w:val="Normal"/>
    <w:pPr>
      <w:numPr>
        <w:ilvl w:val="2"/>
        <w:numId w:val="25"/>
      </w:numPr>
    </w:pPr>
  </w:style>
  <w:style w:type="paragraph" w:customStyle="1" w:styleId="Point2number">
    <w:name w:val="Point 2 (number)"/>
    <w:basedOn w:val="Normal"/>
    <w:pPr>
      <w:numPr>
        <w:ilvl w:val="4"/>
        <w:numId w:val="25"/>
      </w:numPr>
    </w:pPr>
  </w:style>
  <w:style w:type="paragraph" w:customStyle="1" w:styleId="Point3number">
    <w:name w:val="Point 3 (number)"/>
    <w:basedOn w:val="Normal"/>
    <w:pPr>
      <w:numPr>
        <w:ilvl w:val="6"/>
        <w:numId w:val="25"/>
      </w:numPr>
    </w:pPr>
  </w:style>
  <w:style w:type="paragraph" w:customStyle="1" w:styleId="Point0letter">
    <w:name w:val="Point 0 (letter)"/>
    <w:basedOn w:val="Normal"/>
    <w:pPr>
      <w:numPr>
        <w:ilvl w:val="1"/>
        <w:numId w:val="25"/>
      </w:numPr>
    </w:pPr>
  </w:style>
  <w:style w:type="paragraph" w:customStyle="1" w:styleId="Point1letter">
    <w:name w:val="Point 1 (letter)"/>
    <w:basedOn w:val="Normal"/>
    <w:pPr>
      <w:numPr>
        <w:ilvl w:val="3"/>
        <w:numId w:val="25"/>
      </w:numPr>
    </w:pPr>
  </w:style>
  <w:style w:type="paragraph" w:customStyle="1" w:styleId="Point2letter">
    <w:name w:val="Point 2 (letter)"/>
    <w:basedOn w:val="Normal"/>
    <w:pPr>
      <w:numPr>
        <w:ilvl w:val="5"/>
        <w:numId w:val="25"/>
      </w:numPr>
    </w:pPr>
  </w:style>
  <w:style w:type="paragraph" w:customStyle="1" w:styleId="Point3letter">
    <w:name w:val="Point 3 (letter)"/>
    <w:basedOn w:val="Normal"/>
    <w:pPr>
      <w:numPr>
        <w:ilvl w:val="7"/>
        <w:numId w:val="25"/>
      </w:numPr>
    </w:pPr>
  </w:style>
  <w:style w:type="paragraph" w:customStyle="1" w:styleId="Point4letter">
    <w:name w:val="Point 4 (letter)"/>
    <w:basedOn w:val="Normal"/>
    <w:pPr>
      <w:numPr>
        <w:ilvl w:val="8"/>
        <w:numId w:val="25"/>
      </w:numPr>
    </w:pPr>
  </w:style>
  <w:style w:type="paragraph" w:customStyle="1" w:styleId="Bullet0">
    <w:name w:val="Bullet 0"/>
    <w:basedOn w:val="Normal"/>
    <w:pPr>
      <w:numPr>
        <w:numId w:val="26"/>
      </w:numPr>
    </w:pPr>
  </w:style>
  <w:style w:type="paragraph" w:customStyle="1" w:styleId="Bullet1">
    <w:name w:val="Bullet 1"/>
    <w:basedOn w:val="Normal"/>
    <w:pPr>
      <w:numPr>
        <w:numId w:val="27"/>
      </w:numPr>
    </w:pPr>
  </w:style>
  <w:style w:type="paragraph" w:customStyle="1" w:styleId="Bullet2">
    <w:name w:val="Bullet 2"/>
    <w:basedOn w:val="Normal"/>
    <w:pPr>
      <w:numPr>
        <w:numId w:val="28"/>
      </w:numPr>
    </w:pPr>
  </w:style>
  <w:style w:type="paragraph" w:customStyle="1" w:styleId="Bullet3">
    <w:name w:val="Bullet 3"/>
    <w:basedOn w:val="Normal"/>
    <w:pPr>
      <w:numPr>
        <w:numId w:val="29"/>
      </w:numPr>
    </w:pPr>
  </w:style>
  <w:style w:type="paragraph" w:customStyle="1" w:styleId="Bullet4">
    <w:name w:val="Bullet 4"/>
    <w:basedOn w:val="Normal"/>
    <w:pPr>
      <w:numPr>
        <w:numId w:val="30"/>
      </w:numPr>
    </w:p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Emission">
    <w:name w:val="Emission"/>
    <w:basedOn w:val="Normal"/>
    <w:next w:val="Rfrenceinstitutionnelle"/>
    <w:pPr>
      <w:spacing w:before="0" w:after="0"/>
      <w:ind w:left="5103"/>
      <w:jc w:val="left"/>
    </w:pPr>
  </w:style>
  <w:style w:type="paragraph" w:customStyle="1" w:styleId="Rfrenceinstitutionnelle">
    <w:name w:val="Référence institutionnelle"/>
    <w:basedOn w:val="Normal"/>
    <w:next w:val="Confidentialit"/>
    <w:pPr>
      <w:spacing w:before="0" w:after="240"/>
      <w:ind w:left="5103"/>
      <w:jc w:val="left"/>
    </w:pPr>
  </w:style>
  <w:style w:type="paragraph" w:customStyle="1" w:styleId="Pagedecouverture">
    <w:name w:val="Page de couverture"/>
    <w:basedOn w:val="Normal"/>
    <w:next w:val="Normal"/>
    <w:pPr>
      <w:spacing w:before="0" w:after="0"/>
    </w:pPr>
  </w:style>
  <w:style w:type="paragraph" w:customStyle="1" w:styleId="Declassification">
    <w:name w:val="Declassification"/>
    <w:basedOn w:val="Normal"/>
    <w:next w:val="Normal"/>
    <w:pPr>
      <w:spacing w:before="0" w:after="0"/>
    </w:pPr>
  </w:style>
  <w:style w:type="paragraph" w:customStyle="1" w:styleId="Disclaimer">
    <w:name w:val="Disclaimer"/>
    <w:basedOn w:val="Normal"/>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SecurityMarking">
    <w:name w:val="SecurityMarking"/>
    <w:basedOn w:val="Normal"/>
    <w:pPr>
      <w:spacing w:before="0" w:after="0" w:line="276" w:lineRule="auto"/>
      <w:ind w:left="5103"/>
      <w:jc w:val="left"/>
    </w:pPr>
    <w:rPr>
      <w:sz w:val="28"/>
    </w:rPr>
  </w:style>
  <w:style w:type="paragraph" w:customStyle="1" w:styleId="DateMarking">
    <w:name w:val="DateMarking"/>
    <w:basedOn w:val="Normal"/>
    <w:pPr>
      <w:spacing w:before="0" w:after="0" w:line="276" w:lineRule="auto"/>
      <w:ind w:left="5103"/>
      <w:jc w:val="left"/>
    </w:pPr>
    <w:rPr>
      <w:i/>
      <w:sz w:val="28"/>
    </w:rPr>
  </w:style>
  <w:style w:type="paragraph" w:customStyle="1" w:styleId="ReleasableTo">
    <w:name w:val="ReleasableTo"/>
    <w:basedOn w:val="Normal"/>
    <w:pPr>
      <w:spacing w:before="0" w:after="0" w:line="276" w:lineRule="auto"/>
      <w:ind w:left="5103"/>
      <w:jc w:val="left"/>
    </w:pPr>
    <w:rPr>
      <w:i/>
      <w:sz w:val="28"/>
    </w:r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31"/>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Titreobjet"/>
    <w:pPr>
      <w:spacing w:before="360" w:after="0"/>
      <w:jc w:val="center"/>
    </w:pPr>
    <w:rPr>
      <w:b/>
    </w:r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ManualConsidrant">
    <w:name w:val="Manual Considérant"/>
    <w:basedOn w:val="Normal"/>
    <w:pPr>
      <w:ind w:left="709" w:hanging="709"/>
    </w:p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tatut">
    <w:name w:val="Statut"/>
    <w:basedOn w:val="Normal"/>
    <w:next w:val="Typedudocument"/>
    <w:pPr>
      <w:spacing w:before="360" w:after="0"/>
      <w:jc w:val="center"/>
    </w:pPr>
  </w:style>
  <w:style w:type="paragraph" w:customStyle="1" w:styleId="Titrearticle">
    <w:name w:val="Titre article"/>
    <w:basedOn w:val="Normal"/>
    <w:next w:val="Normal"/>
    <w:pPr>
      <w:keepNext/>
      <w:spacing w:before="360"/>
      <w:jc w:val="center"/>
    </w:pPr>
    <w:rPr>
      <w:i/>
    </w:rPr>
  </w:style>
  <w:style w:type="paragraph" w:customStyle="1" w:styleId="Titreobjet">
    <w:name w:val="Titre objet"/>
    <w:basedOn w:val="Normal"/>
    <w:next w:val="IntrtEEE"/>
    <w:pPr>
      <w:spacing w:before="360" w:after="360"/>
      <w:jc w:val="center"/>
    </w:pPr>
    <w:rPr>
      <w:b/>
    </w:rPr>
  </w:style>
  <w:style w:type="paragraph" w:customStyle="1" w:styleId="Typedudocument">
    <w:name w:val="Type du document"/>
    <w:basedOn w:val="Normal"/>
    <w:next w:val="Titreobjet"/>
    <w:pPr>
      <w:spacing w:before="360" w:after="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Titreobjet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itreobjetPagedecouverture">
    <w:name w:val="Titre objet (Page de couverture)"/>
    <w:basedOn w:val="Titreobjet"/>
    <w:next w:val="IntrtEEEPagedecouverture"/>
  </w:style>
  <w:style w:type="paragraph" w:customStyle="1" w:styleId="TypedudocumentPagedecouverture">
    <w:name w:val="Type du document (Page de couverture)"/>
    <w:basedOn w:val="Typedudocument"/>
    <w:next w:val="Titreobje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0" w:after="240"/>
      <w:jc w:val="center"/>
    </w:pPr>
    <w:rPr>
      <w:b/>
      <w:i/>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0" w:qFormat="1"/>
    <w:lsdException w:name="table of figures" w:uiPriority="0"/>
    <w:lsdException w:name="annotation reference" w:uiPriority="0"/>
    <w:lsdException w:name="page number" w:uiPriority="0"/>
    <w:lsdException w:name="List Bullet" w:uiPriority="0"/>
    <w:lsdException w:name="List Number" w:uiPriority="0"/>
    <w:lsdException w:name="List Bullet 2" w:uiPriority="0"/>
    <w:lsdException w:name="List Bullet 3" w:uiPriority="0"/>
    <w:lsdException w:name="List Bullet 4" w:uiPriority="0"/>
    <w:lsdException w:name="List Number 2" w:uiPriority="0"/>
    <w:lsdException w:name="List Number 3" w:uiPriority="0"/>
    <w:lsdException w:name="List Number 4" w:uiPriority="0"/>
    <w:lsdException w:name="Title" w:semiHidden="0" w:uiPriority="10" w:unhideWhenUsed="0" w:qFormat="1"/>
    <w:lsdException w:name="Default Paragraph Font" w:uiPriority="1"/>
    <w:lsdException w:name="Subtitle" w:semiHidden="0" w:uiPriority="11" w:unhideWhenUsed="0" w:qFormat="1"/>
    <w:lsdException w:name="FollowedHyperlink" w:uiPriority="0"/>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before="120" w:after="120" w:line="240" w:lineRule="auto"/>
      <w:jc w:val="both"/>
    </w:pPr>
    <w:rPr>
      <w:rFonts w:ascii="Times New Roman" w:hAnsi="Times New Roman" w:cs="Times New Roman"/>
      <w:sz w:val="24"/>
      <w:lang w:val="fr-FR"/>
    </w:rPr>
  </w:style>
  <w:style w:type="paragraph" w:styleId="Heading1">
    <w:name w:val="heading 1"/>
    <w:basedOn w:val="Normal"/>
    <w:next w:val="Text1"/>
    <w:link w:val="Heading1Char"/>
    <w:uiPriority w:val="9"/>
    <w:qFormat/>
    <w:pPr>
      <w:keepNext/>
      <w:numPr>
        <w:numId w:val="24"/>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24"/>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24"/>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24"/>
      </w:numPr>
      <w:outlineLvl w:val="3"/>
    </w:pPr>
    <w:rPr>
      <w:rFonts w:eastAsiaTheme="majorEastAsia"/>
      <w:bCs/>
      <w:i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unhideWhenUsed/>
    <w:qFormat/>
    <w:pPr>
      <w:spacing w:before="0" w:after="200"/>
    </w:pPr>
    <w:rPr>
      <w:b/>
      <w:bCs/>
      <w:color w:val="4F81BD" w:themeColor="accent1"/>
      <w:sz w:val="18"/>
      <w:szCs w:val="18"/>
    </w:rPr>
  </w:style>
  <w:style w:type="paragraph" w:styleId="TableofFigures">
    <w:name w:val="table of figures"/>
    <w:basedOn w:val="Normal"/>
    <w:next w:val="Normal"/>
    <w:unhideWhenUsed/>
    <w:pPr>
      <w:spacing w:after="0"/>
    </w:pPr>
  </w:style>
  <w:style w:type="paragraph" w:styleId="ListBullet">
    <w:name w:val="List Bullet"/>
    <w:basedOn w:val="Normal"/>
    <w:unhideWhenUsed/>
    <w:pPr>
      <w:numPr>
        <w:numId w:val="1"/>
      </w:numPr>
      <w:contextualSpacing/>
    </w:pPr>
  </w:style>
  <w:style w:type="paragraph" w:styleId="ListBullet2">
    <w:name w:val="List Bullet 2"/>
    <w:basedOn w:val="Normal"/>
    <w:unhideWhenUsed/>
    <w:pPr>
      <w:numPr>
        <w:numId w:val="2"/>
      </w:numPr>
      <w:contextualSpacing/>
    </w:pPr>
  </w:style>
  <w:style w:type="paragraph" w:styleId="ListBullet3">
    <w:name w:val="List Bullet 3"/>
    <w:basedOn w:val="Normal"/>
    <w:unhideWhenUsed/>
    <w:pPr>
      <w:numPr>
        <w:numId w:val="3"/>
      </w:numPr>
      <w:contextualSpacing/>
    </w:pPr>
  </w:style>
  <w:style w:type="paragraph" w:styleId="ListBullet4">
    <w:name w:val="List Bullet 4"/>
    <w:basedOn w:val="Normal"/>
    <w:unhideWhenUsed/>
    <w:pPr>
      <w:numPr>
        <w:numId w:val="4"/>
      </w:numPr>
      <w:contextualSpacing/>
    </w:pPr>
  </w:style>
  <w:style w:type="paragraph" w:styleId="ListNumber">
    <w:name w:val="List Number"/>
    <w:basedOn w:val="Normal"/>
    <w:unhideWhenUsed/>
    <w:pPr>
      <w:numPr>
        <w:numId w:val="5"/>
      </w:numPr>
      <w:contextualSpacing/>
    </w:pPr>
  </w:style>
  <w:style w:type="paragraph" w:styleId="ListNumber2">
    <w:name w:val="List Number 2"/>
    <w:basedOn w:val="Normal"/>
    <w:unhideWhenUsed/>
    <w:pPr>
      <w:numPr>
        <w:numId w:val="6"/>
      </w:numPr>
      <w:contextualSpacing/>
    </w:pPr>
  </w:style>
  <w:style w:type="paragraph" w:styleId="ListNumber3">
    <w:name w:val="List Number 3"/>
    <w:basedOn w:val="Normal"/>
    <w:unhideWhenUsed/>
    <w:pPr>
      <w:numPr>
        <w:numId w:val="7"/>
      </w:numPr>
      <w:contextualSpacing/>
    </w:pPr>
  </w:style>
  <w:style w:type="paragraph" w:styleId="ListNumber4">
    <w:name w:val="List Number 4"/>
    <w:basedOn w:val="Normal"/>
    <w:unhideWhenUsed/>
    <w:pPr>
      <w:numPr>
        <w:numId w:val="8"/>
      </w:numPr>
      <w:contextualSpacing/>
    </w:pPr>
  </w:style>
  <w:style w:type="character" w:styleId="CommentReference">
    <w:name w:val="annotation reference"/>
    <w:basedOn w:val="DefaultParagraphFont"/>
    <w:unhideWhenUsed/>
    <w:rPr>
      <w:sz w:val="16"/>
      <w:szCs w:val="16"/>
    </w:rPr>
  </w:style>
  <w:style w:type="paragraph" w:styleId="CommentText">
    <w:name w:val="annotation text"/>
    <w:basedOn w:val="Normal"/>
    <w:link w:val="CommentTextChar"/>
    <w:unhideWhenUsed/>
    <w:rPr>
      <w:sz w:val="20"/>
      <w:szCs w:val="20"/>
    </w:rPr>
  </w:style>
  <w:style w:type="character" w:customStyle="1" w:styleId="CommentTextChar">
    <w:name w:val="Comment Text Char"/>
    <w:basedOn w:val="DefaultParagraphFont"/>
    <w:link w:val="CommentText"/>
    <w:rPr>
      <w:rFonts w:ascii="Times New Roman" w:hAnsi="Times New Roman" w:cs="Times New Roman"/>
      <w:sz w:val="20"/>
      <w:szCs w:val="20"/>
      <w:lang w:val="en-GB"/>
    </w:rPr>
  </w:style>
  <w:style w:type="paragraph" w:styleId="CommentSubject">
    <w:name w:val="annotation subject"/>
    <w:basedOn w:val="CommentText"/>
    <w:next w:val="CommentText"/>
    <w:link w:val="CommentSubjectChar"/>
    <w:unhideWhenUsed/>
    <w:rPr>
      <w:b/>
      <w:bCs/>
    </w:rPr>
  </w:style>
  <w:style w:type="character" w:customStyle="1" w:styleId="CommentSubjectChar">
    <w:name w:val="Comment Subject Char"/>
    <w:basedOn w:val="CommentTextChar"/>
    <w:link w:val="CommentSubject"/>
    <w:rPr>
      <w:rFonts w:ascii="Times New Roman" w:hAnsi="Times New Roman" w:cs="Times New Roman"/>
      <w:b/>
      <w:bCs/>
      <w:sz w:val="20"/>
      <w:szCs w:val="20"/>
      <w:lang w:val="en-GB"/>
    </w:rPr>
  </w:style>
  <w:style w:type="character" w:styleId="Hyperlink">
    <w:name w:val="Hyperlink"/>
    <w:basedOn w:val="DefaultParagraphFont"/>
    <w:uiPriority w:val="99"/>
    <w:unhideWhenUsed/>
    <w:rPr>
      <w:color w:val="0000FF" w:themeColor="hyperlink"/>
      <w:u w:val="single"/>
    </w:rPr>
  </w:style>
  <w:style w:type="paragraph" w:styleId="BalloonText">
    <w:name w:val="Balloon Text"/>
    <w:basedOn w:val="Normal"/>
    <w:link w:val="BalloonTextChar"/>
    <w:unhideWhenUsed/>
    <w:pPr>
      <w:spacing w:before="0" w:after="0"/>
    </w:pPr>
    <w:rPr>
      <w:rFonts w:ascii="Tahoma" w:hAnsi="Tahoma" w:cs="Tahoma"/>
      <w:sz w:val="16"/>
      <w:szCs w:val="16"/>
    </w:rPr>
  </w:style>
  <w:style w:type="character" w:customStyle="1" w:styleId="BalloonTextChar">
    <w:name w:val="Balloon Text Char"/>
    <w:basedOn w:val="DefaultParagraphFont"/>
    <w:link w:val="BalloonText"/>
    <w:rPr>
      <w:rFonts w:ascii="Tahoma" w:hAnsi="Tahoma" w:cs="Tahoma"/>
      <w:sz w:val="16"/>
      <w:szCs w:val="16"/>
      <w:lang w:val="en-GB"/>
    </w:rPr>
  </w:style>
  <w:style w:type="paragraph" w:styleId="ListParagraph">
    <w:name w:val="List Paragraph"/>
    <w:aliases w:val="Listaszerű bekezdés1,List Paragraph à moi,Colorful List - Accent 11,Medium Grid 1 - Accent 21,Listaszeru bekezdés1,Colorful List - Accent 111,Dot pt,F5 List Paragraph,List Paragraph1,No Spacing1,List Paragraph Char Char Char,Bullets"/>
    <w:basedOn w:val="Normal"/>
    <w:link w:val="ListParagraphChar"/>
    <w:uiPriority w:val="34"/>
    <w:qFormat/>
    <w:pPr>
      <w:spacing w:before="0" w:after="200" w:line="276" w:lineRule="auto"/>
      <w:ind w:left="720"/>
      <w:contextualSpacing/>
      <w:jc w:val="left"/>
    </w:pPr>
    <w:rPr>
      <w:rFonts w:asciiTheme="minorHAnsi" w:hAnsiTheme="minorHAnsi" w:cstheme="minorBidi"/>
      <w:sz w:val="22"/>
      <w:lang w:val="es-ES"/>
    </w:rPr>
  </w:style>
  <w:style w:type="paragraph" w:customStyle="1" w:styleId="ListBullet1">
    <w:name w:val="List Bullet 1"/>
    <w:basedOn w:val="Normal"/>
    <w:pPr>
      <w:numPr>
        <w:numId w:val="9"/>
      </w:numPr>
    </w:pPr>
    <w:rPr>
      <w:rFonts w:eastAsia="Times New Roman"/>
      <w:lang w:eastAsia="en-GB"/>
    </w:rPr>
  </w:style>
  <w:style w:type="paragraph" w:customStyle="1" w:styleId="ListDash">
    <w:name w:val="List Dash"/>
    <w:basedOn w:val="Normal"/>
    <w:pPr>
      <w:numPr>
        <w:numId w:val="10"/>
      </w:numPr>
    </w:pPr>
    <w:rPr>
      <w:rFonts w:eastAsia="Times New Roman"/>
      <w:lang w:eastAsia="en-GB"/>
    </w:rPr>
  </w:style>
  <w:style w:type="paragraph" w:customStyle="1" w:styleId="ListDash1">
    <w:name w:val="List Dash 1"/>
    <w:basedOn w:val="Normal"/>
    <w:pPr>
      <w:numPr>
        <w:numId w:val="11"/>
      </w:numPr>
    </w:pPr>
    <w:rPr>
      <w:rFonts w:eastAsia="Times New Roman"/>
      <w:lang w:eastAsia="en-GB"/>
    </w:rPr>
  </w:style>
  <w:style w:type="paragraph" w:customStyle="1" w:styleId="ListDash2">
    <w:name w:val="List Dash 2"/>
    <w:basedOn w:val="Normal"/>
    <w:pPr>
      <w:numPr>
        <w:numId w:val="12"/>
      </w:numPr>
    </w:pPr>
    <w:rPr>
      <w:rFonts w:eastAsia="Times New Roman"/>
      <w:lang w:eastAsia="en-GB"/>
    </w:rPr>
  </w:style>
  <w:style w:type="paragraph" w:customStyle="1" w:styleId="ListNumberLevel2">
    <w:name w:val="List Number (Level 2)"/>
    <w:basedOn w:val="Normal"/>
    <w:pPr>
      <w:tabs>
        <w:tab w:val="num" w:pos="1417"/>
      </w:tabs>
      <w:ind w:left="1417" w:hanging="708"/>
    </w:pPr>
    <w:rPr>
      <w:rFonts w:eastAsia="Times New Roman"/>
      <w:lang w:eastAsia="en-GB"/>
    </w:rPr>
  </w:style>
  <w:style w:type="paragraph" w:customStyle="1" w:styleId="ListNumberLevel3">
    <w:name w:val="List Number (Level 3)"/>
    <w:basedOn w:val="Normal"/>
    <w:pPr>
      <w:tabs>
        <w:tab w:val="num" w:pos="2126"/>
      </w:tabs>
      <w:ind w:left="2126" w:hanging="709"/>
    </w:pPr>
    <w:rPr>
      <w:rFonts w:eastAsia="Times New Roman"/>
      <w:lang w:eastAsia="en-GB"/>
    </w:rPr>
  </w:style>
  <w:style w:type="paragraph" w:customStyle="1" w:styleId="ListNumberLevel4">
    <w:name w:val="List Number (Level 4)"/>
    <w:basedOn w:val="Normal"/>
    <w:pPr>
      <w:tabs>
        <w:tab w:val="num" w:pos="2835"/>
      </w:tabs>
      <w:ind w:left="2835" w:hanging="709"/>
    </w:pPr>
    <w:rPr>
      <w:rFonts w:eastAsia="Times New Roman"/>
      <w:lang w:eastAsia="en-GB"/>
    </w:rPr>
  </w:style>
  <w:style w:type="paragraph" w:customStyle="1" w:styleId="Sous-titreobjet">
    <w:name w:val="Sous-titre objet"/>
    <w:basedOn w:val="Normal"/>
    <w:pPr>
      <w:spacing w:before="0" w:after="0"/>
      <w:jc w:val="center"/>
    </w:pPr>
    <w:rPr>
      <w:rFonts w:eastAsia="Times New Roman"/>
      <w:b/>
      <w:lang w:eastAsia="en-GB"/>
    </w:rPr>
  </w:style>
  <w:style w:type="paragraph" w:customStyle="1" w:styleId="Sous-titreobjetPagedecouverture">
    <w:name w:val="Sous-titre objet (Page de couverture)"/>
    <w:basedOn w:val="Sous-titreobjet"/>
  </w:style>
  <w:style w:type="character" w:styleId="FollowedHyperlink">
    <w:name w:val="FollowedHyperlink"/>
    <w:rPr>
      <w:color w:val="800080"/>
      <w:u w:val="single"/>
    </w:rPr>
  </w:style>
  <w:style w:type="character" w:customStyle="1" w:styleId="ListParagraphChar">
    <w:name w:val="List Paragraph Char"/>
    <w:aliases w:val="Listaszerű bekezdés1 Char,List Paragraph à moi Char,Colorful List - Accent 11 Char,Medium Grid 1 - Accent 21 Char,Listaszeru bekezdés1 Char,Colorful List - Accent 111 Char,Dot pt Char,F5 List Paragraph Char,List Paragraph1 Char"/>
    <w:basedOn w:val="DefaultParagraphFont"/>
    <w:link w:val="ListParagraph"/>
    <w:uiPriority w:val="34"/>
    <w:locked/>
    <w:rPr>
      <w:lang w:val="es-ES"/>
    </w:rPr>
  </w:style>
  <w:style w:type="paragraph" w:styleId="NormalWeb">
    <w:name w:val="Normal (Web)"/>
    <w:basedOn w:val="Normal"/>
    <w:uiPriority w:val="99"/>
    <w:semiHidden/>
    <w:unhideWhenUsed/>
    <w:pPr>
      <w:spacing w:before="100" w:beforeAutospacing="1" w:after="100" w:afterAutospacing="1"/>
      <w:jc w:val="left"/>
    </w:pPr>
    <w:rPr>
      <w:rFonts w:eastAsia="Times New Roman"/>
      <w:szCs w:val="24"/>
      <w:lang w:eastAsia="en-GB"/>
    </w:rPr>
  </w:style>
  <w:style w:type="character" w:styleId="Emphasis">
    <w:name w:val="Emphasis"/>
    <w:basedOn w:val="DefaultParagraphFont"/>
    <w:uiPriority w:val="20"/>
    <w:qFormat/>
    <w:rPr>
      <w:i/>
      <w:iCs/>
    </w:rPr>
  </w:style>
  <w:style w:type="paragraph" w:styleId="Revision">
    <w:name w:val="Revision"/>
    <w:hidden/>
    <w:uiPriority w:val="99"/>
    <w:semiHidden/>
    <w:pPr>
      <w:spacing w:after="0" w:line="240" w:lineRule="auto"/>
    </w:pPr>
    <w:rPr>
      <w:rFonts w:ascii="Times New Roman" w:hAnsi="Times New Roman" w:cs="Times New Roman"/>
      <w:sz w:val="24"/>
      <w:lang w:val="en-GB"/>
    </w:rPr>
  </w:style>
  <w:style w:type="paragraph" w:customStyle="1" w:styleId="FooterCoverPage">
    <w:name w:val="Footer Cover Page"/>
    <w:basedOn w:val="Normal"/>
    <w:link w:val="FooterCoverPageChar"/>
    <w:pPr>
      <w:tabs>
        <w:tab w:val="center" w:pos="4535"/>
        <w:tab w:val="right" w:pos="9071"/>
        <w:tab w:val="right" w:pos="9921"/>
      </w:tabs>
      <w:spacing w:before="360" w:after="0"/>
      <w:ind w:left="-850" w:right="-850"/>
      <w:jc w:val="left"/>
    </w:pPr>
  </w:style>
  <w:style w:type="character" w:customStyle="1" w:styleId="FooterCoverPageChar">
    <w:name w:val="Footer Cover Page Char"/>
    <w:basedOn w:val="DefaultParagraphFont"/>
    <w:link w:val="FooterCoverPage"/>
    <w:rPr>
      <w:rFonts w:ascii="Times New Roman" w:hAnsi="Times New Roman" w:cs="Times New Roman"/>
      <w:sz w:val="24"/>
      <w:lang w:val="en-GB"/>
    </w:rPr>
  </w:style>
  <w:style w:type="character" w:customStyle="1" w:styleId="FooterSensitivityChar">
    <w:name w:val="Footer Sensitivity Char"/>
    <w:basedOn w:val="DefaultParagraphFont"/>
    <w:rPr>
      <w:rFonts w:ascii="Times New Roman" w:hAnsi="Times New Roman" w:cs="Times New Roman"/>
      <w:b/>
      <w:sz w:val="32"/>
      <w:lang w:val="en-GB"/>
    </w:rPr>
  </w:style>
  <w:style w:type="paragraph" w:customStyle="1" w:styleId="HeaderCoverPage">
    <w:name w:val="Header Cover Page"/>
    <w:basedOn w:val="Normal"/>
    <w:link w:val="HeaderCoverPageChar"/>
    <w:pPr>
      <w:tabs>
        <w:tab w:val="center" w:pos="4535"/>
        <w:tab w:val="right" w:pos="9071"/>
      </w:tabs>
      <w:spacing w:before="0"/>
    </w:pPr>
  </w:style>
  <w:style w:type="character" w:customStyle="1" w:styleId="HeaderCoverPageChar">
    <w:name w:val="Header Cover Page Char"/>
    <w:basedOn w:val="DefaultParagraphFont"/>
    <w:link w:val="HeaderCoverPage"/>
    <w:rPr>
      <w:rFonts w:ascii="Times New Roman" w:hAnsi="Times New Roman" w:cs="Times New Roman"/>
      <w:sz w:val="24"/>
      <w:lang w:val="en-GB"/>
    </w:rPr>
  </w:style>
  <w:style w:type="character" w:customStyle="1" w:styleId="HeaderSensitivityChar">
    <w:name w:val="Header Sensitivity Char"/>
    <w:basedOn w:val="DefaultParagraphFont"/>
    <w:rPr>
      <w:rFonts w:ascii="Times New Roman" w:hAnsi="Times New Roman" w:cs="Times New Roman"/>
      <w:b/>
      <w:sz w:val="32"/>
      <w:lang w:val="en-GB"/>
    </w:rPr>
  </w:style>
  <w:style w:type="table" w:styleId="TableGrid">
    <w:name w:val="Table Grid"/>
    <w:basedOn w:val="TableNormal"/>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e">
    <w:name w:val="Paragraphe"/>
    <w:basedOn w:val="Titrearticle"/>
    <w:rPr>
      <w:lang w:val="en-US" w:eastAsia="fr-BE"/>
    </w:rPr>
  </w:style>
  <w:style w:type="paragraph" w:customStyle="1" w:styleId="ListDash3">
    <w:name w:val="List Dash 3"/>
    <w:basedOn w:val="Normal"/>
    <w:pPr>
      <w:numPr>
        <w:numId w:val="13"/>
      </w:numPr>
    </w:pPr>
    <w:rPr>
      <w:rFonts w:eastAsia="Times New Roman"/>
      <w:lang w:eastAsia="en-GB"/>
    </w:rPr>
  </w:style>
  <w:style w:type="paragraph" w:customStyle="1" w:styleId="ListDash4">
    <w:name w:val="List Dash 4"/>
    <w:basedOn w:val="Normal"/>
    <w:pPr>
      <w:numPr>
        <w:numId w:val="14"/>
      </w:numPr>
    </w:pPr>
    <w:rPr>
      <w:rFonts w:eastAsia="Times New Roman"/>
      <w:lang w:eastAsia="en-GB"/>
    </w:rPr>
  </w:style>
  <w:style w:type="paragraph" w:customStyle="1" w:styleId="ListNumber1">
    <w:name w:val="List Number 1"/>
    <w:basedOn w:val="Text1"/>
    <w:pPr>
      <w:numPr>
        <w:numId w:val="15"/>
      </w:numPr>
    </w:pPr>
    <w:rPr>
      <w:rFonts w:eastAsia="Times New Roman"/>
      <w:lang w:eastAsia="en-GB"/>
    </w:rPr>
  </w:style>
  <w:style w:type="paragraph" w:customStyle="1" w:styleId="ListNumber1Level2">
    <w:name w:val="List Number 1 (Level 2)"/>
    <w:basedOn w:val="Text1"/>
    <w:pPr>
      <w:numPr>
        <w:ilvl w:val="1"/>
        <w:numId w:val="15"/>
      </w:numPr>
    </w:pPr>
    <w:rPr>
      <w:rFonts w:eastAsia="Times New Roman"/>
      <w:lang w:eastAsia="en-GB"/>
    </w:rPr>
  </w:style>
  <w:style w:type="paragraph" w:customStyle="1" w:styleId="ListNumber2Level2">
    <w:name w:val="List Number 2 (Level 2)"/>
    <w:basedOn w:val="Text2"/>
    <w:pPr>
      <w:tabs>
        <w:tab w:val="num" w:pos="2268"/>
      </w:tabs>
      <w:ind w:left="2268" w:hanging="708"/>
    </w:pPr>
    <w:rPr>
      <w:rFonts w:eastAsia="Times New Roman"/>
      <w:lang w:eastAsia="en-GB"/>
    </w:rPr>
  </w:style>
  <w:style w:type="paragraph" w:customStyle="1" w:styleId="ListNumber3Level2">
    <w:name w:val="List Number 3 (Level 2)"/>
    <w:basedOn w:val="Text3"/>
    <w:pPr>
      <w:tabs>
        <w:tab w:val="num" w:pos="2268"/>
      </w:tabs>
      <w:ind w:left="2268" w:hanging="708"/>
    </w:pPr>
    <w:rPr>
      <w:rFonts w:eastAsia="Times New Roman"/>
      <w:lang w:eastAsia="en-GB"/>
    </w:rPr>
  </w:style>
  <w:style w:type="paragraph" w:customStyle="1" w:styleId="ListNumber4Level2">
    <w:name w:val="List Number 4 (Level 2)"/>
    <w:basedOn w:val="Text4"/>
    <w:pPr>
      <w:tabs>
        <w:tab w:val="num" w:pos="2268"/>
      </w:tabs>
      <w:ind w:left="2268" w:hanging="708"/>
    </w:pPr>
    <w:rPr>
      <w:rFonts w:eastAsia="Times New Roman"/>
      <w:lang w:eastAsia="en-GB"/>
    </w:rPr>
  </w:style>
  <w:style w:type="paragraph" w:customStyle="1" w:styleId="ListNumber1Level3">
    <w:name w:val="List Number 1 (Level 3)"/>
    <w:basedOn w:val="Text1"/>
    <w:pPr>
      <w:numPr>
        <w:ilvl w:val="2"/>
        <w:numId w:val="15"/>
      </w:numPr>
    </w:pPr>
    <w:rPr>
      <w:rFonts w:eastAsia="Times New Roman"/>
      <w:lang w:eastAsia="en-GB"/>
    </w:rPr>
  </w:style>
  <w:style w:type="paragraph" w:customStyle="1" w:styleId="ListNumber2Level3">
    <w:name w:val="List Number 2 (Level 3)"/>
    <w:basedOn w:val="Text2"/>
    <w:pPr>
      <w:tabs>
        <w:tab w:val="num" w:pos="2977"/>
      </w:tabs>
      <w:ind w:left="2977" w:hanging="709"/>
    </w:pPr>
    <w:rPr>
      <w:rFonts w:eastAsia="Times New Roman"/>
      <w:lang w:eastAsia="en-GB"/>
    </w:rPr>
  </w:style>
  <w:style w:type="paragraph" w:customStyle="1" w:styleId="ListNumber3Level3">
    <w:name w:val="List Number 3 (Level 3)"/>
    <w:basedOn w:val="Text3"/>
    <w:pPr>
      <w:tabs>
        <w:tab w:val="num" w:pos="2977"/>
      </w:tabs>
      <w:ind w:left="2977" w:hanging="709"/>
    </w:pPr>
    <w:rPr>
      <w:rFonts w:eastAsia="Times New Roman"/>
      <w:lang w:eastAsia="en-GB"/>
    </w:rPr>
  </w:style>
  <w:style w:type="paragraph" w:customStyle="1" w:styleId="ListNumber4Level3">
    <w:name w:val="List Number 4 (Level 3)"/>
    <w:basedOn w:val="Text4"/>
    <w:pPr>
      <w:tabs>
        <w:tab w:val="num" w:pos="2977"/>
      </w:tabs>
      <w:ind w:left="2977" w:hanging="709"/>
    </w:pPr>
    <w:rPr>
      <w:rFonts w:eastAsia="Times New Roman"/>
      <w:lang w:eastAsia="en-GB"/>
    </w:rPr>
  </w:style>
  <w:style w:type="paragraph" w:customStyle="1" w:styleId="ListNumber1Level4">
    <w:name w:val="List Number 1 (Level 4)"/>
    <w:basedOn w:val="Text1"/>
    <w:pPr>
      <w:numPr>
        <w:ilvl w:val="3"/>
        <w:numId w:val="15"/>
      </w:numPr>
    </w:pPr>
    <w:rPr>
      <w:rFonts w:eastAsia="Times New Roman"/>
      <w:lang w:eastAsia="en-GB"/>
    </w:rPr>
  </w:style>
  <w:style w:type="paragraph" w:customStyle="1" w:styleId="ListNumber2Level4">
    <w:name w:val="List Number 2 (Level 4)"/>
    <w:basedOn w:val="Text2"/>
    <w:pPr>
      <w:tabs>
        <w:tab w:val="num" w:pos="3686"/>
      </w:tabs>
      <w:ind w:left="3686" w:hanging="709"/>
    </w:pPr>
    <w:rPr>
      <w:rFonts w:eastAsia="Times New Roman"/>
      <w:lang w:eastAsia="en-GB"/>
    </w:rPr>
  </w:style>
  <w:style w:type="paragraph" w:customStyle="1" w:styleId="ListNumber3Level4">
    <w:name w:val="List Number 3 (Level 4)"/>
    <w:basedOn w:val="Text3"/>
    <w:pPr>
      <w:tabs>
        <w:tab w:val="num" w:pos="3686"/>
      </w:tabs>
      <w:ind w:left="3686" w:hanging="709"/>
    </w:pPr>
    <w:rPr>
      <w:rFonts w:eastAsia="Times New Roman"/>
      <w:lang w:eastAsia="en-GB"/>
    </w:rPr>
  </w:style>
  <w:style w:type="paragraph" w:customStyle="1" w:styleId="ListNumber4Level4">
    <w:name w:val="List Number 4 (Level 4)"/>
    <w:basedOn w:val="Text4"/>
    <w:pPr>
      <w:tabs>
        <w:tab w:val="num" w:pos="3686"/>
      </w:tabs>
      <w:ind w:left="3686" w:hanging="709"/>
    </w:pPr>
    <w:rPr>
      <w:rFonts w:eastAsia="Times New Roman"/>
      <w:lang w:eastAsia="en-GB"/>
    </w:rPr>
  </w:style>
  <w:style w:type="paragraph" w:customStyle="1" w:styleId="Annexetitreacte">
    <w:name w:val="Annexe titre (acte)"/>
    <w:basedOn w:val="Normal"/>
    <w:next w:val="Normal"/>
    <w:pPr>
      <w:jc w:val="center"/>
    </w:pPr>
    <w:rPr>
      <w:rFonts w:eastAsia="Times New Roman"/>
      <w:b/>
      <w:u w:val="single"/>
      <w:lang w:eastAsia="en-GB"/>
    </w:rPr>
  </w:style>
  <w:style w:type="paragraph" w:customStyle="1" w:styleId="Annexetitreexposglobal">
    <w:name w:val="Annexe titre (exposé global)"/>
    <w:basedOn w:val="Normal"/>
    <w:next w:val="Normal"/>
    <w:pPr>
      <w:jc w:val="center"/>
    </w:pPr>
    <w:rPr>
      <w:rFonts w:eastAsia="Times New Roman"/>
      <w:b/>
      <w:u w:val="single"/>
      <w:lang w:eastAsia="en-GB"/>
    </w:rPr>
  </w:style>
  <w:style w:type="paragraph" w:customStyle="1" w:styleId="Annexetitrefichefinacte">
    <w:name w:val="Annexe titre (fiche fin. acte)"/>
    <w:basedOn w:val="Normal"/>
    <w:next w:val="Normal"/>
    <w:pPr>
      <w:jc w:val="center"/>
    </w:pPr>
    <w:rPr>
      <w:rFonts w:eastAsia="Times New Roman"/>
      <w:b/>
      <w:u w:val="single"/>
      <w:lang w:eastAsia="en-GB"/>
    </w:rPr>
  </w:style>
  <w:style w:type="paragraph" w:customStyle="1" w:styleId="Annexetitrefichefinglobale">
    <w:name w:val="Annexe titre (fiche fin. globale)"/>
    <w:basedOn w:val="Normal"/>
    <w:next w:val="Normal"/>
    <w:pPr>
      <w:jc w:val="center"/>
    </w:pPr>
    <w:rPr>
      <w:rFonts w:eastAsia="Times New Roman"/>
      <w:b/>
      <w:u w:val="single"/>
      <w:lang w:eastAsia="en-GB"/>
    </w:rPr>
  </w:style>
  <w:style w:type="paragraph" w:customStyle="1" w:styleId="Annexetitreglobale">
    <w:name w:val="Annexe titre (globale)"/>
    <w:basedOn w:val="Normal"/>
    <w:next w:val="Normal"/>
    <w:pPr>
      <w:jc w:val="center"/>
    </w:pPr>
    <w:rPr>
      <w:rFonts w:eastAsia="Times New Roman"/>
      <w:b/>
      <w:u w:val="single"/>
      <w:lang w:eastAsia="en-GB"/>
    </w:rPr>
  </w:style>
  <w:style w:type="paragraph" w:customStyle="1" w:styleId="Exposdesmotifstitreglobal">
    <w:name w:val="Exposé des motifs titre (global)"/>
    <w:basedOn w:val="Normal"/>
    <w:next w:val="Normal"/>
    <w:pPr>
      <w:jc w:val="center"/>
    </w:pPr>
    <w:rPr>
      <w:rFonts w:eastAsia="Times New Roman"/>
      <w:b/>
      <w:u w:val="single"/>
      <w:lang w:eastAsia="en-GB"/>
    </w:rPr>
  </w:style>
  <w:style w:type="paragraph" w:customStyle="1" w:styleId="Langueoriginale">
    <w:name w:val="Langue originale"/>
    <w:basedOn w:val="Normal"/>
    <w:pPr>
      <w:spacing w:before="360"/>
      <w:jc w:val="center"/>
    </w:pPr>
    <w:rPr>
      <w:rFonts w:eastAsia="Times New Roman"/>
      <w:caps/>
      <w:lang w:eastAsia="en-GB"/>
    </w:rPr>
  </w:style>
  <w:style w:type="paragraph" w:customStyle="1" w:styleId="Phrasefinale">
    <w:name w:val="Phrase finale"/>
    <w:basedOn w:val="Normal"/>
    <w:next w:val="Normal"/>
    <w:pPr>
      <w:spacing w:before="360" w:after="0"/>
      <w:jc w:val="center"/>
    </w:pPr>
    <w:rPr>
      <w:rFonts w:eastAsia="Times New Roman"/>
      <w:lang w:eastAsia="en-GB"/>
    </w:rPr>
  </w:style>
  <w:style w:type="paragraph" w:customStyle="1" w:styleId="Prliminairetitre">
    <w:name w:val="Préliminaire titre"/>
    <w:basedOn w:val="Normal"/>
    <w:next w:val="Normal"/>
    <w:pPr>
      <w:spacing w:before="360" w:after="360"/>
      <w:jc w:val="center"/>
    </w:pPr>
    <w:rPr>
      <w:rFonts w:eastAsia="Times New Roman"/>
      <w:b/>
      <w:lang w:eastAsia="en-GB"/>
    </w:rPr>
  </w:style>
  <w:style w:type="paragraph" w:customStyle="1" w:styleId="Prliminairetype">
    <w:name w:val="Préliminaire type"/>
    <w:basedOn w:val="Normal"/>
    <w:next w:val="Normal"/>
    <w:pPr>
      <w:spacing w:before="360" w:after="0"/>
      <w:jc w:val="center"/>
    </w:pPr>
    <w:rPr>
      <w:rFonts w:eastAsia="Times New Roman"/>
      <w:b/>
      <w:lang w:eastAsia="en-GB"/>
    </w:rPr>
  </w:style>
  <w:style w:type="paragraph" w:customStyle="1" w:styleId="Rfrenceinstitutionelle">
    <w:name w:val="Référence institutionelle"/>
    <w:basedOn w:val="Normal"/>
    <w:next w:val="Statut"/>
    <w:pPr>
      <w:spacing w:before="0" w:after="240"/>
      <w:ind w:left="5103"/>
      <w:jc w:val="left"/>
    </w:pPr>
    <w:rPr>
      <w:rFonts w:eastAsia="Times New Roman"/>
      <w:lang w:eastAsia="en-GB"/>
    </w:rPr>
  </w:style>
  <w:style w:type="paragraph" w:customStyle="1" w:styleId="Rfrenceinterinstitutionelle">
    <w:name w:val="Référence interinstitutionelle"/>
    <w:basedOn w:val="Normal"/>
    <w:next w:val="Statut"/>
    <w:pPr>
      <w:spacing w:before="0" w:after="0"/>
      <w:ind w:left="5103"/>
      <w:jc w:val="left"/>
    </w:pPr>
    <w:rPr>
      <w:rFonts w:eastAsia="Times New Roman"/>
      <w:lang w:eastAsia="en-GB"/>
    </w:rPr>
  </w:style>
  <w:style w:type="paragraph" w:customStyle="1" w:styleId="Rfrenceinterinstitutionelleprliminaire">
    <w:name w:val="Référence interinstitutionelle (préliminaire)"/>
    <w:basedOn w:val="Normal"/>
    <w:next w:val="Normal"/>
    <w:pPr>
      <w:spacing w:before="0" w:after="0"/>
      <w:ind w:left="5103"/>
      <w:jc w:val="left"/>
    </w:pPr>
    <w:rPr>
      <w:rFonts w:eastAsia="Times New Roman"/>
      <w:lang w:eastAsia="en-GB"/>
    </w:rPr>
  </w:style>
  <w:style w:type="paragraph" w:customStyle="1" w:styleId="Sous-titreobjetprliminaire">
    <w:name w:val="Sous-titre objet (préliminaire)"/>
    <w:basedOn w:val="Normal"/>
    <w:pPr>
      <w:spacing w:before="0" w:after="0"/>
      <w:jc w:val="center"/>
    </w:pPr>
    <w:rPr>
      <w:rFonts w:eastAsia="Times New Roman"/>
      <w:b/>
      <w:lang w:eastAsia="en-GB"/>
    </w:rPr>
  </w:style>
  <w:style w:type="paragraph" w:customStyle="1" w:styleId="Statutprliminaire">
    <w:name w:val="Statut (préliminaire)"/>
    <w:basedOn w:val="Normal"/>
    <w:next w:val="Normal"/>
    <w:pPr>
      <w:spacing w:before="360" w:after="0"/>
      <w:jc w:val="center"/>
    </w:pPr>
    <w:rPr>
      <w:rFonts w:eastAsia="Times New Roman"/>
      <w:lang w:eastAsia="en-GB"/>
    </w:rPr>
  </w:style>
  <w:style w:type="paragraph" w:customStyle="1" w:styleId="Titreobjetprliminaire">
    <w:name w:val="Titre objet (préliminaire)"/>
    <w:basedOn w:val="Normal"/>
    <w:next w:val="Normal"/>
    <w:pPr>
      <w:spacing w:before="360" w:after="360"/>
      <w:jc w:val="center"/>
    </w:pPr>
    <w:rPr>
      <w:rFonts w:eastAsia="Times New Roman"/>
      <w:b/>
      <w:lang w:eastAsia="en-GB"/>
    </w:rPr>
  </w:style>
  <w:style w:type="paragraph" w:customStyle="1" w:styleId="Typedudocumentprliminaire">
    <w:name w:val="Type du document (préliminaire)"/>
    <w:basedOn w:val="Normal"/>
    <w:next w:val="Normal"/>
    <w:pPr>
      <w:spacing w:before="360" w:after="0"/>
      <w:jc w:val="center"/>
    </w:pPr>
    <w:rPr>
      <w:rFonts w:eastAsia="Times New Roman"/>
      <w:b/>
      <w:lang w:eastAsia="en-GB"/>
    </w:rPr>
  </w:style>
  <w:style w:type="paragraph" w:customStyle="1" w:styleId="Fichefinancirestandardtitre">
    <w:name w:val="Fiche financière (standard) titre"/>
    <w:basedOn w:val="Normal"/>
    <w:next w:val="Normal"/>
    <w:pPr>
      <w:jc w:val="center"/>
    </w:pPr>
    <w:rPr>
      <w:rFonts w:eastAsia="Times New Roman"/>
      <w:b/>
      <w:u w:val="single"/>
      <w:lang w:eastAsia="en-GB"/>
    </w:rPr>
  </w:style>
  <w:style w:type="paragraph" w:customStyle="1" w:styleId="Fichefinancirestandardtitreacte">
    <w:name w:val="Fiche financière (standard) titre (acte)"/>
    <w:basedOn w:val="Normal"/>
    <w:next w:val="Normal"/>
    <w:pPr>
      <w:jc w:val="center"/>
    </w:pPr>
    <w:rPr>
      <w:rFonts w:eastAsia="Times New Roman"/>
      <w:b/>
      <w:u w:val="single"/>
      <w:lang w:eastAsia="en-GB"/>
    </w:rPr>
  </w:style>
  <w:style w:type="paragraph" w:customStyle="1" w:styleId="Fichefinanciretravailtitre">
    <w:name w:val="Fiche financière (travail) titre"/>
    <w:basedOn w:val="Normal"/>
    <w:next w:val="Normal"/>
    <w:pPr>
      <w:jc w:val="center"/>
    </w:pPr>
    <w:rPr>
      <w:rFonts w:eastAsia="Times New Roman"/>
      <w:b/>
      <w:u w:val="single"/>
      <w:lang w:eastAsia="en-GB"/>
    </w:rPr>
  </w:style>
  <w:style w:type="paragraph" w:customStyle="1" w:styleId="Fichefinanciretravailtitreacte">
    <w:name w:val="Fiche financière (travail) titre (acte)"/>
    <w:basedOn w:val="Normal"/>
    <w:next w:val="Normal"/>
    <w:pPr>
      <w:jc w:val="center"/>
    </w:pPr>
    <w:rPr>
      <w:rFonts w:eastAsia="Times New Roman"/>
      <w:b/>
      <w:u w:val="single"/>
      <w:lang w:eastAsia="en-GB"/>
    </w:rPr>
  </w:style>
  <w:style w:type="paragraph" w:customStyle="1" w:styleId="Fichefinancireattributiontitre">
    <w:name w:val="Fiche financière (attribution) titre"/>
    <w:basedOn w:val="Normal"/>
    <w:next w:val="Normal"/>
    <w:pPr>
      <w:jc w:val="center"/>
    </w:pPr>
    <w:rPr>
      <w:rFonts w:eastAsia="Times New Roman"/>
      <w:b/>
      <w:u w:val="single"/>
      <w:lang w:eastAsia="en-GB"/>
    </w:rPr>
  </w:style>
  <w:style w:type="paragraph" w:customStyle="1" w:styleId="Fichefinancireattributiontitreacte">
    <w:name w:val="Fiche financière (attribution) titre (acte)"/>
    <w:basedOn w:val="Normal"/>
    <w:next w:val="Normal"/>
    <w:pPr>
      <w:jc w:val="center"/>
    </w:pPr>
    <w:rPr>
      <w:rFonts w:eastAsia="Times New Roman"/>
      <w:b/>
      <w:u w:val="single"/>
      <w:lang w:eastAsia="en-GB"/>
    </w:rPr>
  </w:style>
  <w:style w:type="character" w:styleId="PageNumber">
    <w:name w:val="page number"/>
  </w:style>
  <w:style w:type="character" w:customStyle="1" w:styleId="tw4winMark">
    <w:name w:val="tw4winMark"/>
    <w:rPr>
      <w:vanish/>
      <w:color w:val="800080"/>
      <w:vertAlign w:val="subscript"/>
    </w:rPr>
  </w:style>
  <w:style w:type="character" w:customStyle="1" w:styleId="TOCHeadingChar">
    <w:name w:val="TOC Heading Char"/>
    <w:uiPriority w:val="39"/>
    <w:rPr>
      <w:rFonts w:ascii="Times New Roman" w:hAnsi="Times New Roman" w:cs="Times New Roman"/>
      <w:b/>
      <w:sz w:val="28"/>
      <w:lang w:val="en-GB"/>
    </w:rPr>
  </w:style>
  <w:style w:type="paragraph" w:customStyle="1" w:styleId="Lignefinal">
    <w:name w:val="Ligne final"/>
    <w:basedOn w:val="Normal"/>
    <w:next w:val="Normal"/>
    <w:pPr>
      <w:pBdr>
        <w:bottom w:val="single" w:sz="4" w:space="0" w:color="000000"/>
      </w:pBdr>
      <w:spacing w:before="360" w:line="360" w:lineRule="auto"/>
      <w:ind w:left="3400" w:right="3400"/>
      <w:jc w:val="center"/>
    </w:pPr>
    <w:rPr>
      <w:b/>
    </w:rPr>
  </w:style>
  <w:style w:type="paragraph" w:customStyle="1" w:styleId="Default">
    <w:name w:val="Default"/>
    <w:pPr>
      <w:autoSpaceDE w:val="0"/>
      <w:autoSpaceDN w:val="0"/>
      <w:adjustRightInd w:val="0"/>
      <w:spacing w:after="0" w:line="240" w:lineRule="auto"/>
    </w:pPr>
    <w:rPr>
      <w:rFonts w:ascii="EUAlbertina" w:hAnsi="EUAlbertina" w:cs="EUAlbertina"/>
      <w:color w:val="000000"/>
      <w:sz w:val="24"/>
      <w:szCs w:val="24"/>
      <w:lang w:val="en-GB"/>
    </w:rPr>
  </w:style>
  <w:style w:type="paragraph" w:customStyle="1" w:styleId="Body">
    <w:name w:val="Body"/>
    <w:pPr>
      <w:pBdr>
        <w:top w:val="nil"/>
        <w:left w:val="nil"/>
        <w:bottom w:val="nil"/>
        <w:right w:val="nil"/>
        <w:between w:val="nil"/>
        <w:bar w:val="nil"/>
      </w:pBdr>
    </w:pPr>
    <w:rPr>
      <w:rFonts w:ascii="Calibri" w:eastAsia="Calibri" w:hAnsi="Calibri" w:cs="Calibri"/>
      <w:color w:val="000000"/>
      <w:u w:color="000000"/>
      <w:bdr w:val="nil"/>
      <w:lang w:val="en-GB" w:eastAsia="en-GB"/>
    </w:rPr>
  </w:style>
  <w:style w:type="paragraph" w:customStyle="1" w:styleId="Normal1">
    <w:name w:val="Normal1"/>
    <w:basedOn w:val="Normal"/>
    <w:pPr>
      <w:spacing w:before="100" w:beforeAutospacing="1" w:after="100" w:afterAutospacing="1"/>
      <w:jc w:val="left"/>
    </w:pPr>
    <w:rPr>
      <w:rFonts w:eastAsia="Times New Roman"/>
      <w:szCs w:val="24"/>
      <w:lang w:eastAsia="en-GB"/>
    </w:rPr>
  </w:style>
  <w:style w:type="character" w:customStyle="1" w:styleId="super">
    <w:name w:val="super"/>
    <w:basedOn w:val="DefaultParagraphFont"/>
  </w:style>
  <w:style w:type="paragraph" w:styleId="Header">
    <w:name w:val="header"/>
    <w:basedOn w:val="Normal"/>
    <w:link w:val="HeaderChar"/>
    <w:uiPriority w:val="99"/>
    <w:unhideWhenUsed/>
    <w:pPr>
      <w:tabs>
        <w:tab w:val="center" w:pos="4535"/>
        <w:tab w:val="right" w:pos="9071"/>
      </w:tabs>
      <w:spacing w:before="0"/>
    </w:pPr>
  </w:style>
  <w:style w:type="character" w:customStyle="1" w:styleId="HeaderChar">
    <w:name w:val="Header Char"/>
    <w:basedOn w:val="DefaultParagraphFont"/>
    <w:link w:val="Header"/>
    <w:uiPriority w:val="99"/>
    <w:rPr>
      <w:rFonts w:ascii="Times New Roman" w:hAnsi="Times New Roman" w:cs="Times New Roman"/>
      <w:sz w:val="24"/>
      <w:lang w:val="fr-FR"/>
    </w:rPr>
  </w:style>
  <w:style w:type="paragraph" w:styleId="Footer">
    <w:name w:val="footer"/>
    <w:basedOn w:val="Normal"/>
    <w:link w:val="FooterChar"/>
    <w:uiPriority w:val="99"/>
    <w:unhideWhenUsed/>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Pr>
      <w:rFonts w:ascii="Times New Roman" w:hAnsi="Times New Roman" w:cs="Times New Roman"/>
      <w:sz w:val="24"/>
      <w:lang w:val="fr-FR"/>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pPr>
  </w:style>
  <w:style w:type="paragraph" w:customStyle="1" w:styleId="HeaderLandscape">
    <w:name w:val="HeaderLandscape"/>
    <w:basedOn w:val="Normal"/>
    <w:pPr>
      <w:tabs>
        <w:tab w:val="center" w:pos="7285"/>
        <w:tab w:val="right" w:pos="14003"/>
      </w:tabs>
      <w:spacing w:before="0"/>
    </w:pPr>
  </w:style>
  <w:style w:type="paragraph" w:customStyle="1" w:styleId="FooterLandscape">
    <w:name w:val="FooterLandscape"/>
    <w:basedOn w:val="Normal"/>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HeaderSensitivity">
    <w:name w:val="Header Sensitivity"/>
    <w:basedOn w:val="Normal"/>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HeaderSensitivityRight">
    <w:name w:val="Header Sensitivity Right"/>
    <w:basedOn w:val="Normal"/>
    <w:pPr>
      <w:spacing w:before="0"/>
      <w:jc w:val="right"/>
    </w:pPr>
    <w:rPr>
      <w:sz w:val="28"/>
    </w:rPr>
  </w:style>
  <w:style w:type="paragraph" w:customStyle="1" w:styleId="FooterSensitivity">
    <w:name w:val="Footer Sensitivity"/>
    <w:basedOn w:val="Normal"/>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Tiret0">
    <w:name w:val="Tiret 0"/>
    <w:basedOn w:val="Point0"/>
    <w:pPr>
      <w:numPr>
        <w:numId w:val="18"/>
      </w:numPr>
    </w:pPr>
  </w:style>
  <w:style w:type="paragraph" w:customStyle="1" w:styleId="Tiret1">
    <w:name w:val="Tiret 1"/>
    <w:basedOn w:val="Point1"/>
    <w:pPr>
      <w:numPr>
        <w:numId w:val="19"/>
      </w:numPr>
    </w:pPr>
  </w:style>
  <w:style w:type="paragraph" w:customStyle="1" w:styleId="Tiret2">
    <w:name w:val="Tiret 2"/>
    <w:basedOn w:val="Point2"/>
    <w:pPr>
      <w:numPr>
        <w:numId w:val="20"/>
      </w:numPr>
    </w:pPr>
  </w:style>
  <w:style w:type="paragraph" w:customStyle="1" w:styleId="Tiret3">
    <w:name w:val="Tiret 3"/>
    <w:basedOn w:val="Point3"/>
    <w:pPr>
      <w:numPr>
        <w:numId w:val="21"/>
      </w:numPr>
    </w:pPr>
  </w:style>
  <w:style w:type="paragraph" w:customStyle="1" w:styleId="Tiret4">
    <w:name w:val="Tiret 4"/>
    <w:basedOn w:val="Point4"/>
    <w:pPr>
      <w:numPr>
        <w:numId w:val="22"/>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23"/>
      </w:numPr>
    </w:pPr>
  </w:style>
  <w:style w:type="paragraph" w:customStyle="1" w:styleId="NumPar2">
    <w:name w:val="NumPar 2"/>
    <w:basedOn w:val="Normal"/>
    <w:next w:val="Text1"/>
    <w:pPr>
      <w:numPr>
        <w:ilvl w:val="1"/>
        <w:numId w:val="23"/>
      </w:numPr>
    </w:pPr>
  </w:style>
  <w:style w:type="paragraph" w:customStyle="1" w:styleId="NumPar3">
    <w:name w:val="NumPar 3"/>
    <w:basedOn w:val="Normal"/>
    <w:next w:val="Text1"/>
    <w:pPr>
      <w:numPr>
        <w:ilvl w:val="2"/>
        <w:numId w:val="23"/>
      </w:numPr>
    </w:pPr>
  </w:style>
  <w:style w:type="paragraph" w:customStyle="1" w:styleId="NumPar4">
    <w:name w:val="NumPar 4"/>
    <w:basedOn w:val="Normal"/>
    <w:next w:val="Text1"/>
    <w:pPr>
      <w:numPr>
        <w:ilvl w:val="3"/>
        <w:numId w:val="23"/>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25"/>
      </w:numPr>
    </w:pPr>
  </w:style>
  <w:style w:type="paragraph" w:customStyle="1" w:styleId="Point1number">
    <w:name w:val="Point 1 (number)"/>
    <w:basedOn w:val="Normal"/>
    <w:pPr>
      <w:numPr>
        <w:ilvl w:val="2"/>
        <w:numId w:val="25"/>
      </w:numPr>
    </w:pPr>
  </w:style>
  <w:style w:type="paragraph" w:customStyle="1" w:styleId="Point2number">
    <w:name w:val="Point 2 (number)"/>
    <w:basedOn w:val="Normal"/>
    <w:pPr>
      <w:numPr>
        <w:ilvl w:val="4"/>
        <w:numId w:val="25"/>
      </w:numPr>
    </w:pPr>
  </w:style>
  <w:style w:type="paragraph" w:customStyle="1" w:styleId="Point3number">
    <w:name w:val="Point 3 (number)"/>
    <w:basedOn w:val="Normal"/>
    <w:pPr>
      <w:numPr>
        <w:ilvl w:val="6"/>
        <w:numId w:val="25"/>
      </w:numPr>
    </w:pPr>
  </w:style>
  <w:style w:type="paragraph" w:customStyle="1" w:styleId="Point0letter">
    <w:name w:val="Point 0 (letter)"/>
    <w:basedOn w:val="Normal"/>
    <w:pPr>
      <w:numPr>
        <w:ilvl w:val="1"/>
        <w:numId w:val="25"/>
      </w:numPr>
    </w:pPr>
  </w:style>
  <w:style w:type="paragraph" w:customStyle="1" w:styleId="Point1letter">
    <w:name w:val="Point 1 (letter)"/>
    <w:basedOn w:val="Normal"/>
    <w:pPr>
      <w:numPr>
        <w:ilvl w:val="3"/>
        <w:numId w:val="25"/>
      </w:numPr>
    </w:pPr>
  </w:style>
  <w:style w:type="paragraph" w:customStyle="1" w:styleId="Point2letter">
    <w:name w:val="Point 2 (letter)"/>
    <w:basedOn w:val="Normal"/>
    <w:pPr>
      <w:numPr>
        <w:ilvl w:val="5"/>
        <w:numId w:val="25"/>
      </w:numPr>
    </w:pPr>
  </w:style>
  <w:style w:type="paragraph" w:customStyle="1" w:styleId="Point3letter">
    <w:name w:val="Point 3 (letter)"/>
    <w:basedOn w:val="Normal"/>
    <w:pPr>
      <w:numPr>
        <w:ilvl w:val="7"/>
        <w:numId w:val="25"/>
      </w:numPr>
    </w:pPr>
  </w:style>
  <w:style w:type="paragraph" w:customStyle="1" w:styleId="Point4letter">
    <w:name w:val="Point 4 (letter)"/>
    <w:basedOn w:val="Normal"/>
    <w:pPr>
      <w:numPr>
        <w:ilvl w:val="8"/>
        <w:numId w:val="25"/>
      </w:numPr>
    </w:pPr>
  </w:style>
  <w:style w:type="paragraph" w:customStyle="1" w:styleId="Bullet0">
    <w:name w:val="Bullet 0"/>
    <w:basedOn w:val="Normal"/>
    <w:pPr>
      <w:numPr>
        <w:numId w:val="26"/>
      </w:numPr>
    </w:pPr>
  </w:style>
  <w:style w:type="paragraph" w:customStyle="1" w:styleId="Bullet1">
    <w:name w:val="Bullet 1"/>
    <w:basedOn w:val="Normal"/>
    <w:pPr>
      <w:numPr>
        <w:numId w:val="27"/>
      </w:numPr>
    </w:pPr>
  </w:style>
  <w:style w:type="paragraph" w:customStyle="1" w:styleId="Bullet2">
    <w:name w:val="Bullet 2"/>
    <w:basedOn w:val="Normal"/>
    <w:pPr>
      <w:numPr>
        <w:numId w:val="28"/>
      </w:numPr>
    </w:pPr>
  </w:style>
  <w:style w:type="paragraph" w:customStyle="1" w:styleId="Bullet3">
    <w:name w:val="Bullet 3"/>
    <w:basedOn w:val="Normal"/>
    <w:pPr>
      <w:numPr>
        <w:numId w:val="29"/>
      </w:numPr>
    </w:pPr>
  </w:style>
  <w:style w:type="paragraph" w:customStyle="1" w:styleId="Bullet4">
    <w:name w:val="Bullet 4"/>
    <w:basedOn w:val="Normal"/>
    <w:pPr>
      <w:numPr>
        <w:numId w:val="30"/>
      </w:numPr>
    </w:p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Emission">
    <w:name w:val="Emission"/>
    <w:basedOn w:val="Normal"/>
    <w:next w:val="Rfrenceinstitutionnelle"/>
    <w:pPr>
      <w:spacing w:before="0" w:after="0"/>
      <w:ind w:left="5103"/>
      <w:jc w:val="left"/>
    </w:pPr>
  </w:style>
  <w:style w:type="paragraph" w:customStyle="1" w:styleId="Rfrenceinstitutionnelle">
    <w:name w:val="Référence institutionnelle"/>
    <w:basedOn w:val="Normal"/>
    <w:next w:val="Confidentialit"/>
    <w:pPr>
      <w:spacing w:before="0" w:after="240"/>
      <w:ind w:left="5103"/>
      <w:jc w:val="left"/>
    </w:pPr>
  </w:style>
  <w:style w:type="paragraph" w:customStyle="1" w:styleId="Pagedecouverture">
    <w:name w:val="Page de couverture"/>
    <w:basedOn w:val="Normal"/>
    <w:next w:val="Normal"/>
    <w:pPr>
      <w:spacing w:before="0" w:after="0"/>
    </w:pPr>
  </w:style>
  <w:style w:type="paragraph" w:customStyle="1" w:styleId="Declassification">
    <w:name w:val="Declassification"/>
    <w:basedOn w:val="Normal"/>
    <w:next w:val="Normal"/>
    <w:pPr>
      <w:spacing w:before="0" w:after="0"/>
    </w:pPr>
  </w:style>
  <w:style w:type="paragraph" w:customStyle="1" w:styleId="Disclaimer">
    <w:name w:val="Disclaimer"/>
    <w:basedOn w:val="Normal"/>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SecurityMarking">
    <w:name w:val="SecurityMarking"/>
    <w:basedOn w:val="Normal"/>
    <w:pPr>
      <w:spacing w:before="0" w:after="0" w:line="276" w:lineRule="auto"/>
      <w:ind w:left="5103"/>
      <w:jc w:val="left"/>
    </w:pPr>
    <w:rPr>
      <w:sz w:val="28"/>
    </w:rPr>
  </w:style>
  <w:style w:type="paragraph" w:customStyle="1" w:styleId="DateMarking">
    <w:name w:val="DateMarking"/>
    <w:basedOn w:val="Normal"/>
    <w:pPr>
      <w:spacing w:before="0" w:after="0" w:line="276" w:lineRule="auto"/>
      <w:ind w:left="5103"/>
      <w:jc w:val="left"/>
    </w:pPr>
    <w:rPr>
      <w:i/>
      <w:sz w:val="28"/>
    </w:rPr>
  </w:style>
  <w:style w:type="paragraph" w:customStyle="1" w:styleId="ReleasableTo">
    <w:name w:val="ReleasableTo"/>
    <w:basedOn w:val="Normal"/>
    <w:pPr>
      <w:spacing w:before="0" w:after="0" w:line="276" w:lineRule="auto"/>
      <w:ind w:left="5103"/>
      <w:jc w:val="left"/>
    </w:pPr>
    <w:rPr>
      <w:i/>
      <w:sz w:val="28"/>
    </w:r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31"/>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Titreobjet"/>
    <w:pPr>
      <w:spacing w:before="360" w:after="0"/>
      <w:jc w:val="center"/>
    </w:pPr>
    <w:rPr>
      <w:b/>
    </w:r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ManualConsidrant">
    <w:name w:val="Manual Considérant"/>
    <w:basedOn w:val="Normal"/>
    <w:pPr>
      <w:ind w:left="709" w:hanging="709"/>
    </w:p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tatut">
    <w:name w:val="Statut"/>
    <w:basedOn w:val="Normal"/>
    <w:next w:val="Typedudocument"/>
    <w:pPr>
      <w:spacing w:before="360" w:after="0"/>
      <w:jc w:val="center"/>
    </w:pPr>
  </w:style>
  <w:style w:type="paragraph" w:customStyle="1" w:styleId="Titrearticle">
    <w:name w:val="Titre article"/>
    <w:basedOn w:val="Normal"/>
    <w:next w:val="Normal"/>
    <w:pPr>
      <w:keepNext/>
      <w:spacing w:before="360"/>
      <w:jc w:val="center"/>
    </w:pPr>
    <w:rPr>
      <w:i/>
    </w:rPr>
  </w:style>
  <w:style w:type="paragraph" w:customStyle="1" w:styleId="Titreobjet">
    <w:name w:val="Titre objet"/>
    <w:basedOn w:val="Normal"/>
    <w:next w:val="IntrtEEE"/>
    <w:pPr>
      <w:spacing w:before="360" w:after="360"/>
      <w:jc w:val="center"/>
    </w:pPr>
    <w:rPr>
      <w:b/>
    </w:rPr>
  </w:style>
  <w:style w:type="paragraph" w:customStyle="1" w:styleId="Typedudocument">
    <w:name w:val="Type du document"/>
    <w:basedOn w:val="Normal"/>
    <w:next w:val="Titreobjet"/>
    <w:pPr>
      <w:spacing w:before="360" w:after="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Titreobjet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itreobjetPagedecouverture">
    <w:name w:val="Titre objet (Page de couverture)"/>
    <w:basedOn w:val="Titreobjet"/>
    <w:next w:val="IntrtEEEPagedecouverture"/>
  </w:style>
  <w:style w:type="paragraph" w:customStyle="1" w:styleId="TypedudocumentPagedecouverture">
    <w:name w:val="Type du document (Page de couverture)"/>
    <w:basedOn w:val="Typedudocument"/>
    <w:next w:val="Titreobje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0" w:after="240"/>
      <w:jc w:val="center"/>
    </w:pPr>
    <w:rPr>
      <w:b/>
      <w:i/>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2581621">
      <w:bodyDiv w:val="1"/>
      <w:marLeft w:val="0"/>
      <w:marRight w:val="0"/>
      <w:marTop w:val="0"/>
      <w:marBottom w:val="0"/>
      <w:divBdr>
        <w:top w:val="none" w:sz="0" w:space="0" w:color="auto"/>
        <w:left w:val="none" w:sz="0" w:space="0" w:color="auto"/>
        <w:bottom w:val="none" w:sz="0" w:space="0" w:color="auto"/>
        <w:right w:val="none" w:sz="0" w:space="0" w:color="auto"/>
      </w:divBdr>
    </w:div>
    <w:div w:id="521551201">
      <w:bodyDiv w:val="1"/>
      <w:marLeft w:val="0"/>
      <w:marRight w:val="0"/>
      <w:marTop w:val="0"/>
      <w:marBottom w:val="0"/>
      <w:divBdr>
        <w:top w:val="none" w:sz="0" w:space="0" w:color="auto"/>
        <w:left w:val="none" w:sz="0" w:space="0" w:color="auto"/>
        <w:bottom w:val="none" w:sz="0" w:space="0" w:color="auto"/>
        <w:right w:val="none" w:sz="0" w:space="0" w:color="auto"/>
      </w:divBdr>
    </w:div>
    <w:div w:id="606234461">
      <w:bodyDiv w:val="1"/>
      <w:marLeft w:val="0"/>
      <w:marRight w:val="0"/>
      <w:marTop w:val="0"/>
      <w:marBottom w:val="0"/>
      <w:divBdr>
        <w:top w:val="none" w:sz="0" w:space="0" w:color="auto"/>
        <w:left w:val="none" w:sz="0" w:space="0" w:color="auto"/>
        <w:bottom w:val="none" w:sz="0" w:space="0" w:color="auto"/>
        <w:right w:val="none" w:sz="0" w:space="0" w:color="auto"/>
      </w:divBdr>
      <w:divsChild>
        <w:div w:id="2086487229">
          <w:marLeft w:val="0"/>
          <w:marRight w:val="0"/>
          <w:marTop w:val="0"/>
          <w:marBottom w:val="0"/>
          <w:divBdr>
            <w:top w:val="none" w:sz="0" w:space="0" w:color="auto"/>
            <w:left w:val="none" w:sz="0" w:space="0" w:color="auto"/>
            <w:bottom w:val="none" w:sz="0" w:space="0" w:color="auto"/>
            <w:right w:val="none" w:sz="0" w:space="0" w:color="auto"/>
          </w:divBdr>
          <w:divsChild>
            <w:div w:id="747460571">
              <w:marLeft w:val="0"/>
              <w:marRight w:val="0"/>
              <w:marTop w:val="0"/>
              <w:marBottom w:val="150"/>
              <w:divBdr>
                <w:top w:val="none" w:sz="0" w:space="0" w:color="auto"/>
                <w:left w:val="none" w:sz="0" w:space="0" w:color="auto"/>
                <w:bottom w:val="none" w:sz="0" w:space="0" w:color="auto"/>
                <w:right w:val="none" w:sz="0" w:space="0" w:color="auto"/>
              </w:divBdr>
              <w:divsChild>
                <w:div w:id="1711567601">
                  <w:marLeft w:val="0"/>
                  <w:marRight w:val="0"/>
                  <w:marTop w:val="0"/>
                  <w:marBottom w:val="0"/>
                  <w:divBdr>
                    <w:top w:val="none" w:sz="0" w:space="0" w:color="auto"/>
                    <w:left w:val="none" w:sz="0" w:space="0" w:color="auto"/>
                    <w:bottom w:val="none" w:sz="0" w:space="0" w:color="auto"/>
                    <w:right w:val="none" w:sz="0" w:space="0" w:color="auto"/>
                  </w:divBdr>
                  <w:divsChild>
                    <w:div w:id="57364378">
                      <w:marLeft w:val="0"/>
                      <w:marRight w:val="0"/>
                      <w:marTop w:val="0"/>
                      <w:marBottom w:val="0"/>
                      <w:divBdr>
                        <w:top w:val="none" w:sz="0" w:space="0" w:color="auto"/>
                        <w:left w:val="none" w:sz="0" w:space="0" w:color="auto"/>
                        <w:bottom w:val="none" w:sz="0" w:space="0" w:color="auto"/>
                        <w:right w:val="none" w:sz="0" w:space="0" w:color="auto"/>
                      </w:divBdr>
                      <w:divsChild>
                        <w:div w:id="138155627">
                          <w:marLeft w:val="0"/>
                          <w:marRight w:val="0"/>
                          <w:marTop w:val="0"/>
                          <w:marBottom w:val="0"/>
                          <w:divBdr>
                            <w:top w:val="none" w:sz="0" w:space="0" w:color="auto"/>
                            <w:left w:val="none" w:sz="0" w:space="0" w:color="auto"/>
                            <w:bottom w:val="none" w:sz="0" w:space="0" w:color="auto"/>
                            <w:right w:val="none" w:sz="0" w:space="0" w:color="auto"/>
                          </w:divBdr>
                          <w:divsChild>
                            <w:div w:id="1966964128">
                              <w:marLeft w:val="0"/>
                              <w:marRight w:val="0"/>
                              <w:marTop w:val="0"/>
                              <w:marBottom w:val="0"/>
                              <w:divBdr>
                                <w:top w:val="none" w:sz="0" w:space="0" w:color="auto"/>
                                <w:left w:val="none" w:sz="0" w:space="0" w:color="auto"/>
                                <w:bottom w:val="none" w:sz="0" w:space="0" w:color="auto"/>
                                <w:right w:val="none" w:sz="0" w:space="0" w:color="auto"/>
                              </w:divBdr>
                              <w:divsChild>
                                <w:div w:id="1299384063">
                                  <w:marLeft w:val="0"/>
                                  <w:marRight w:val="-3600"/>
                                  <w:marTop w:val="150"/>
                                  <w:marBottom w:val="0"/>
                                  <w:divBdr>
                                    <w:top w:val="none" w:sz="0" w:space="0" w:color="auto"/>
                                    <w:left w:val="none" w:sz="0" w:space="0" w:color="auto"/>
                                    <w:bottom w:val="none" w:sz="0" w:space="0" w:color="auto"/>
                                    <w:right w:val="none" w:sz="0" w:space="0" w:color="auto"/>
                                  </w:divBdr>
                                  <w:divsChild>
                                    <w:div w:id="1145390697">
                                      <w:marLeft w:val="0"/>
                                      <w:marRight w:val="3600"/>
                                      <w:marTop w:val="0"/>
                                      <w:marBottom w:val="0"/>
                                      <w:divBdr>
                                        <w:top w:val="none" w:sz="0" w:space="0" w:color="auto"/>
                                        <w:left w:val="none" w:sz="0" w:space="0" w:color="auto"/>
                                        <w:bottom w:val="none" w:sz="0" w:space="0" w:color="auto"/>
                                        <w:right w:val="none" w:sz="0" w:space="0" w:color="auto"/>
                                      </w:divBdr>
                                      <w:divsChild>
                                        <w:div w:id="1797487616">
                                          <w:marLeft w:val="0"/>
                                          <w:marRight w:val="0"/>
                                          <w:marTop w:val="0"/>
                                          <w:marBottom w:val="0"/>
                                          <w:divBdr>
                                            <w:top w:val="none" w:sz="0" w:space="0" w:color="auto"/>
                                            <w:left w:val="none" w:sz="0" w:space="0" w:color="auto"/>
                                            <w:bottom w:val="none" w:sz="0" w:space="0" w:color="auto"/>
                                            <w:right w:val="none" w:sz="0" w:space="0" w:color="auto"/>
                                          </w:divBdr>
                                          <w:divsChild>
                                            <w:div w:id="1923291387">
                                              <w:marLeft w:val="0"/>
                                              <w:marRight w:val="0"/>
                                              <w:marTop w:val="0"/>
                                              <w:marBottom w:val="0"/>
                                              <w:divBdr>
                                                <w:top w:val="none" w:sz="0" w:space="0" w:color="auto"/>
                                                <w:left w:val="none" w:sz="0" w:space="0" w:color="auto"/>
                                                <w:bottom w:val="none" w:sz="0" w:space="0" w:color="auto"/>
                                                <w:right w:val="none" w:sz="0" w:space="0" w:color="auto"/>
                                              </w:divBdr>
                                              <w:divsChild>
                                                <w:div w:id="1201359413">
                                                  <w:marLeft w:val="0"/>
                                                  <w:marRight w:val="0"/>
                                                  <w:marTop w:val="0"/>
                                                  <w:marBottom w:val="0"/>
                                                  <w:divBdr>
                                                    <w:top w:val="none" w:sz="0" w:space="0" w:color="auto"/>
                                                    <w:left w:val="none" w:sz="0" w:space="0" w:color="auto"/>
                                                    <w:bottom w:val="none" w:sz="0" w:space="0" w:color="auto"/>
                                                    <w:right w:val="none" w:sz="0" w:space="0" w:color="auto"/>
                                                  </w:divBdr>
                                                  <w:divsChild>
                                                    <w:div w:id="2021588997">
                                                      <w:marLeft w:val="0"/>
                                                      <w:marRight w:val="0"/>
                                                      <w:marTop w:val="0"/>
                                                      <w:marBottom w:val="0"/>
                                                      <w:divBdr>
                                                        <w:top w:val="none" w:sz="0" w:space="0" w:color="auto"/>
                                                        <w:left w:val="none" w:sz="0" w:space="0" w:color="auto"/>
                                                        <w:bottom w:val="none" w:sz="0" w:space="0" w:color="auto"/>
                                                        <w:right w:val="none" w:sz="0" w:space="0" w:color="auto"/>
                                                      </w:divBdr>
                                                      <w:divsChild>
                                                        <w:div w:id="42217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12116869">
      <w:bodyDiv w:val="1"/>
      <w:marLeft w:val="0"/>
      <w:marRight w:val="0"/>
      <w:marTop w:val="0"/>
      <w:marBottom w:val="0"/>
      <w:divBdr>
        <w:top w:val="none" w:sz="0" w:space="0" w:color="auto"/>
        <w:left w:val="none" w:sz="0" w:space="0" w:color="auto"/>
        <w:bottom w:val="none" w:sz="0" w:space="0" w:color="auto"/>
        <w:right w:val="none" w:sz="0" w:space="0" w:color="auto"/>
      </w:divBdr>
    </w:div>
    <w:div w:id="1061635231">
      <w:bodyDiv w:val="1"/>
      <w:marLeft w:val="0"/>
      <w:marRight w:val="0"/>
      <w:marTop w:val="0"/>
      <w:marBottom w:val="0"/>
      <w:divBdr>
        <w:top w:val="none" w:sz="0" w:space="0" w:color="auto"/>
        <w:left w:val="none" w:sz="0" w:space="0" w:color="auto"/>
        <w:bottom w:val="none" w:sz="0" w:space="0" w:color="auto"/>
        <w:right w:val="none" w:sz="0" w:space="0" w:color="auto"/>
      </w:divBdr>
      <w:divsChild>
        <w:div w:id="1732465468">
          <w:marLeft w:val="0"/>
          <w:marRight w:val="0"/>
          <w:marTop w:val="0"/>
          <w:marBottom w:val="0"/>
          <w:divBdr>
            <w:top w:val="none" w:sz="0" w:space="0" w:color="auto"/>
            <w:left w:val="none" w:sz="0" w:space="0" w:color="auto"/>
            <w:bottom w:val="none" w:sz="0" w:space="0" w:color="auto"/>
            <w:right w:val="none" w:sz="0" w:space="0" w:color="auto"/>
          </w:divBdr>
          <w:divsChild>
            <w:div w:id="1634410217">
              <w:marLeft w:val="0"/>
              <w:marRight w:val="0"/>
              <w:marTop w:val="0"/>
              <w:marBottom w:val="150"/>
              <w:divBdr>
                <w:top w:val="none" w:sz="0" w:space="0" w:color="auto"/>
                <w:left w:val="none" w:sz="0" w:space="0" w:color="auto"/>
                <w:bottom w:val="none" w:sz="0" w:space="0" w:color="auto"/>
                <w:right w:val="none" w:sz="0" w:space="0" w:color="auto"/>
              </w:divBdr>
              <w:divsChild>
                <w:div w:id="1598365430">
                  <w:marLeft w:val="0"/>
                  <w:marRight w:val="0"/>
                  <w:marTop w:val="0"/>
                  <w:marBottom w:val="0"/>
                  <w:divBdr>
                    <w:top w:val="none" w:sz="0" w:space="0" w:color="auto"/>
                    <w:left w:val="none" w:sz="0" w:space="0" w:color="auto"/>
                    <w:bottom w:val="none" w:sz="0" w:space="0" w:color="auto"/>
                    <w:right w:val="none" w:sz="0" w:space="0" w:color="auto"/>
                  </w:divBdr>
                  <w:divsChild>
                    <w:div w:id="422336400">
                      <w:marLeft w:val="0"/>
                      <w:marRight w:val="0"/>
                      <w:marTop w:val="0"/>
                      <w:marBottom w:val="0"/>
                      <w:divBdr>
                        <w:top w:val="none" w:sz="0" w:space="0" w:color="auto"/>
                        <w:left w:val="none" w:sz="0" w:space="0" w:color="auto"/>
                        <w:bottom w:val="none" w:sz="0" w:space="0" w:color="auto"/>
                        <w:right w:val="none" w:sz="0" w:space="0" w:color="auto"/>
                      </w:divBdr>
                      <w:divsChild>
                        <w:div w:id="1392537955">
                          <w:marLeft w:val="0"/>
                          <w:marRight w:val="0"/>
                          <w:marTop w:val="0"/>
                          <w:marBottom w:val="0"/>
                          <w:divBdr>
                            <w:top w:val="none" w:sz="0" w:space="0" w:color="auto"/>
                            <w:left w:val="none" w:sz="0" w:space="0" w:color="auto"/>
                            <w:bottom w:val="none" w:sz="0" w:space="0" w:color="auto"/>
                            <w:right w:val="none" w:sz="0" w:space="0" w:color="auto"/>
                          </w:divBdr>
                          <w:divsChild>
                            <w:div w:id="1583878954">
                              <w:marLeft w:val="0"/>
                              <w:marRight w:val="0"/>
                              <w:marTop w:val="0"/>
                              <w:marBottom w:val="0"/>
                              <w:divBdr>
                                <w:top w:val="none" w:sz="0" w:space="0" w:color="auto"/>
                                <w:left w:val="none" w:sz="0" w:space="0" w:color="auto"/>
                                <w:bottom w:val="none" w:sz="0" w:space="0" w:color="auto"/>
                                <w:right w:val="none" w:sz="0" w:space="0" w:color="auto"/>
                              </w:divBdr>
                              <w:divsChild>
                                <w:div w:id="651253905">
                                  <w:marLeft w:val="0"/>
                                  <w:marRight w:val="-3600"/>
                                  <w:marTop w:val="150"/>
                                  <w:marBottom w:val="0"/>
                                  <w:divBdr>
                                    <w:top w:val="none" w:sz="0" w:space="0" w:color="auto"/>
                                    <w:left w:val="none" w:sz="0" w:space="0" w:color="auto"/>
                                    <w:bottom w:val="none" w:sz="0" w:space="0" w:color="auto"/>
                                    <w:right w:val="none" w:sz="0" w:space="0" w:color="auto"/>
                                  </w:divBdr>
                                  <w:divsChild>
                                    <w:div w:id="970481595">
                                      <w:marLeft w:val="0"/>
                                      <w:marRight w:val="3600"/>
                                      <w:marTop w:val="0"/>
                                      <w:marBottom w:val="0"/>
                                      <w:divBdr>
                                        <w:top w:val="none" w:sz="0" w:space="0" w:color="auto"/>
                                        <w:left w:val="none" w:sz="0" w:space="0" w:color="auto"/>
                                        <w:bottom w:val="none" w:sz="0" w:space="0" w:color="auto"/>
                                        <w:right w:val="none" w:sz="0" w:space="0" w:color="auto"/>
                                      </w:divBdr>
                                      <w:divsChild>
                                        <w:div w:id="1921014592">
                                          <w:marLeft w:val="0"/>
                                          <w:marRight w:val="0"/>
                                          <w:marTop w:val="0"/>
                                          <w:marBottom w:val="0"/>
                                          <w:divBdr>
                                            <w:top w:val="none" w:sz="0" w:space="0" w:color="auto"/>
                                            <w:left w:val="none" w:sz="0" w:space="0" w:color="auto"/>
                                            <w:bottom w:val="none" w:sz="0" w:space="0" w:color="auto"/>
                                            <w:right w:val="none" w:sz="0" w:space="0" w:color="auto"/>
                                          </w:divBdr>
                                          <w:divsChild>
                                            <w:div w:id="1668357989">
                                              <w:marLeft w:val="0"/>
                                              <w:marRight w:val="0"/>
                                              <w:marTop w:val="0"/>
                                              <w:marBottom w:val="0"/>
                                              <w:divBdr>
                                                <w:top w:val="none" w:sz="0" w:space="0" w:color="auto"/>
                                                <w:left w:val="none" w:sz="0" w:space="0" w:color="auto"/>
                                                <w:bottom w:val="none" w:sz="0" w:space="0" w:color="auto"/>
                                                <w:right w:val="none" w:sz="0" w:space="0" w:color="auto"/>
                                              </w:divBdr>
                                              <w:divsChild>
                                                <w:div w:id="1432236735">
                                                  <w:marLeft w:val="0"/>
                                                  <w:marRight w:val="0"/>
                                                  <w:marTop w:val="0"/>
                                                  <w:marBottom w:val="0"/>
                                                  <w:divBdr>
                                                    <w:top w:val="none" w:sz="0" w:space="0" w:color="auto"/>
                                                    <w:left w:val="none" w:sz="0" w:space="0" w:color="auto"/>
                                                    <w:bottom w:val="none" w:sz="0" w:space="0" w:color="auto"/>
                                                    <w:right w:val="none" w:sz="0" w:space="0" w:color="auto"/>
                                                  </w:divBdr>
                                                  <w:divsChild>
                                                    <w:div w:id="1701011168">
                                                      <w:marLeft w:val="0"/>
                                                      <w:marRight w:val="0"/>
                                                      <w:marTop w:val="0"/>
                                                      <w:marBottom w:val="0"/>
                                                      <w:divBdr>
                                                        <w:top w:val="none" w:sz="0" w:space="0" w:color="auto"/>
                                                        <w:left w:val="none" w:sz="0" w:space="0" w:color="auto"/>
                                                        <w:bottom w:val="none" w:sz="0" w:space="0" w:color="auto"/>
                                                        <w:right w:val="none" w:sz="0" w:space="0" w:color="auto"/>
                                                      </w:divBdr>
                                                      <w:divsChild>
                                                        <w:div w:id="1682079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38874568">
      <w:bodyDiv w:val="1"/>
      <w:marLeft w:val="0"/>
      <w:marRight w:val="0"/>
      <w:marTop w:val="0"/>
      <w:marBottom w:val="0"/>
      <w:divBdr>
        <w:top w:val="none" w:sz="0" w:space="0" w:color="auto"/>
        <w:left w:val="none" w:sz="0" w:space="0" w:color="auto"/>
        <w:bottom w:val="none" w:sz="0" w:space="0" w:color="auto"/>
        <w:right w:val="none" w:sz="0" w:space="0" w:color="auto"/>
      </w:divBdr>
    </w:div>
    <w:div w:id="1886019672">
      <w:bodyDiv w:val="1"/>
      <w:marLeft w:val="0"/>
      <w:marRight w:val="0"/>
      <w:marTop w:val="0"/>
      <w:marBottom w:val="0"/>
      <w:divBdr>
        <w:top w:val="none" w:sz="0" w:space="0" w:color="auto"/>
        <w:left w:val="none" w:sz="0" w:space="0" w:color="auto"/>
        <w:bottom w:val="none" w:sz="0" w:space="0" w:color="auto"/>
        <w:right w:val="none" w:sz="0" w:space="0" w:color="auto"/>
      </w:divBdr>
    </w:div>
    <w:div w:id="2074545182">
      <w:bodyDiv w:val="1"/>
      <w:marLeft w:val="0"/>
      <w:marRight w:val="0"/>
      <w:marTop w:val="0"/>
      <w:marBottom w:val="0"/>
      <w:divBdr>
        <w:top w:val="none" w:sz="0" w:space="0" w:color="auto"/>
        <w:left w:val="none" w:sz="0" w:space="0" w:color="auto"/>
        <w:bottom w:val="none" w:sz="0" w:space="0" w:color="auto"/>
        <w:right w:val="none" w:sz="0" w:space="0" w:color="auto"/>
      </w:divBdr>
    </w:div>
    <w:div w:id="2093233368">
      <w:bodyDiv w:val="1"/>
      <w:marLeft w:val="0"/>
      <w:marRight w:val="0"/>
      <w:marTop w:val="0"/>
      <w:marBottom w:val="0"/>
      <w:divBdr>
        <w:top w:val="none" w:sz="0" w:space="0" w:color="auto"/>
        <w:left w:val="none" w:sz="0" w:space="0" w:color="auto"/>
        <w:bottom w:val="none" w:sz="0" w:space="0" w:color="auto"/>
        <w:right w:val="none" w:sz="0" w:space="0" w:color="auto"/>
      </w:divBdr>
    </w:div>
    <w:div w:id="2105877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COM.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A456B56E-2664-4055-8321-97527FD85A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COM.dotm</Template>
  <TotalTime>3</TotalTime>
  <Pages>6</Pages>
  <Words>921</Words>
  <Characters>4901</Characters>
  <Application>Microsoft Office Word</Application>
  <DocSecurity>0</DocSecurity>
  <Lines>92</Lines>
  <Paragraphs>37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5785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WES PDFC Administrator</cp:lastModifiedBy>
  <cp:revision>19</cp:revision>
  <cp:lastPrinted>2019-10-17T11:12:00Z</cp:lastPrinted>
  <dcterms:created xsi:type="dcterms:W3CDTF">2020-01-17T09:23:00Z</dcterms:created>
  <dcterms:modified xsi:type="dcterms:W3CDTF">2020-01-17T12:35:00Z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ategory">
    <vt:lpwstr>COM/PL/ORG</vt:lpwstr>
  </property>
  <property fmtid="{D5CDD505-2E9C-101B-9397-08002B2CF9AE}" pid="3" name="Version">
    <vt:lpwstr>6.0.1.0</vt:lpwstr>
  </property>
  <property fmtid="{D5CDD505-2E9C-101B-9397-08002B2CF9AE}" pid="4" name="Last edited using">
    <vt:lpwstr>LW 7.0, Build 20190717</vt:lpwstr>
  </property>
  <property fmtid="{D5CDD505-2E9C-101B-9397-08002B2CF9AE}" pid="5" name="Created using">
    <vt:lpwstr>LW 6.0, Build 20171009</vt:lpwstr>
  </property>
  <property fmtid="{D5CDD505-2E9C-101B-9397-08002B2CF9AE}" pid="6" name="Part">
    <vt:lpwstr>1</vt:lpwstr>
  </property>
  <property fmtid="{D5CDD505-2E9C-101B-9397-08002B2CF9AE}" pid="7" name="Total parts">
    <vt:lpwstr>1</vt:lpwstr>
  </property>
  <property fmtid="{D5CDD505-2E9C-101B-9397-08002B2CF9AE}" pid="8" name="Level of sensitivity">
    <vt:lpwstr>Standard treatment</vt:lpwstr>
  </property>
  <property fmtid="{D5CDD505-2E9C-101B-9397-08002B2CF9AE}" pid="9" name="LWTemplateID">
    <vt:lpwstr>SJ-019</vt:lpwstr>
  </property>
  <property fmtid="{D5CDD505-2E9C-101B-9397-08002B2CF9AE}" pid="10" name="DQCStatus">
    <vt:lpwstr>Green (DQC version 03)</vt:lpwstr>
  </property>
</Properties>
</file>