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alt="A8EC90F6-29E9-462C-86D4-6F202F4B80A5" style="width:450.35pt;height:396.7pt">
            <v:imagedata r:id="rId9" o:title=""/>
          </v:shape>
        </w:pict>
      </w:r>
    </w:p>
    <w:p>
      <w:pPr>
        <w:rPr>
          <w:noProof/>
        </w:rPr>
        <w:sectPr>
          <w:headerReference w:type="even" r:id="rId10"/>
          <w:headerReference w:type="default" r:id="rId11"/>
          <w:footerReference w:type="even" r:id="rId12"/>
          <w:footerReference w:type="default" r:id="rId13"/>
          <w:headerReference w:type="first" r:id="rId14"/>
          <w:footerReference w:type="first" r:id="rId15"/>
          <w:pgSz w:w="11907" w:h="16839"/>
          <w:pgMar w:top="1134" w:right="1417" w:bottom="1134" w:left="1417" w:header="709" w:footer="709" w:gutter="0"/>
          <w:pgNumType w:start="1"/>
          <w:cols w:space="720"/>
          <w:docGrid w:linePitch="360"/>
        </w:sectPr>
      </w:pPr>
    </w:p>
    <w:p>
      <w:pPr>
        <w:pStyle w:val="NormalCentered"/>
        <w:rPr>
          <w:rFonts w:eastAsia="Calibri"/>
          <w:noProof/>
        </w:rPr>
      </w:pPr>
      <w:bookmarkStart w:id="0" w:name="_GoBack"/>
      <w:bookmarkEnd w:id="0"/>
      <w:r>
        <w:rPr>
          <w:noProof/>
        </w:rPr>
        <w:lastRenderedPageBreak/>
        <w:t>СПИСЪК НА ПРИЛОЖЕНИЯТА</w:t>
      </w:r>
    </w:p>
    <w:tbl>
      <w:tblPr>
        <w:tblW w:w="0" w:type="auto"/>
        <w:tblLayout w:type="fixed"/>
        <w:tblLook w:val="04A0" w:firstRow="1" w:lastRow="0" w:firstColumn="1" w:lastColumn="0" w:noHBand="0" w:noVBand="1"/>
      </w:tblPr>
      <w:tblGrid>
        <w:gridCol w:w="2124"/>
        <w:gridCol w:w="6574"/>
      </w:tblGrid>
      <w:tr>
        <w:trPr>
          <w:trHeight w:val="227"/>
        </w:trPr>
        <w:tc>
          <w:tcPr>
            <w:tcW w:w="2124" w:type="dxa"/>
            <w:hideMark/>
          </w:tcPr>
          <w:p>
            <w:pPr>
              <w:spacing w:before="60" w:after="60"/>
              <w:rPr>
                <w:rFonts w:eastAsia="Calibri"/>
                <w:noProof/>
              </w:rPr>
            </w:pPr>
            <w:r>
              <w:rPr>
                <w:noProof/>
              </w:rPr>
              <w:t>ПРИЛОЖЕНИЕ I:</w:t>
            </w:r>
          </w:p>
        </w:tc>
        <w:tc>
          <w:tcPr>
            <w:tcW w:w="6574" w:type="dxa"/>
            <w:hideMark/>
          </w:tcPr>
          <w:p>
            <w:pPr>
              <w:spacing w:before="60" w:after="60"/>
              <w:rPr>
                <w:rFonts w:eastAsia="Calibri"/>
                <w:noProof/>
              </w:rPr>
            </w:pPr>
            <w:r>
              <w:rPr>
                <w:noProof/>
              </w:rPr>
              <w:t>Равнища на ОДУ, приложими към риболовните кораби на Съюза в зоните, в които има ОДУ по видове и по зони</w:t>
            </w:r>
          </w:p>
        </w:tc>
      </w:tr>
      <w:tr>
        <w:trPr>
          <w:trHeight w:val="227"/>
        </w:trPr>
        <w:tc>
          <w:tcPr>
            <w:tcW w:w="2124" w:type="dxa"/>
            <w:hideMark/>
          </w:tcPr>
          <w:p>
            <w:pPr>
              <w:spacing w:before="60" w:after="60"/>
              <w:rPr>
                <w:rFonts w:eastAsia="Calibri"/>
                <w:noProof/>
              </w:rPr>
            </w:pPr>
            <w:r>
              <w:rPr>
                <w:noProof/>
              </w:rPr>
              <w:t>ПРИЛОЖЕНИЕ IА:</w:t>
            </w:r>
          </w:p>
        </w:tc>
        <w:tc>
          <w:tcPr>
            <w:tcW w:w="6574" w:type="dxa"/>
            <w:hideMark/>
          </w:tcPr>
          <w:p>
            <w:pPr>
              <w:spacing w:before="60" w:after="60"/>
              <w:rPr>
                <w:rFonts w:eastAsia="Calibri"/>
                <w:noProof/>
              </w:rPr>
            </w:pPr>
            <w:r>
              <w:rPr>
                <w:noProof/>
              </w:rPr>
              <w:t>Скагерак, Категат, подзони 1, 2, 3, 4, 5, 6, 7, 8, 9, 10, 12 и 14 на ICES, води на Съюза от CECAF, води на Френска Гвиана</w:t>
            </w:r>
          </w:p>
        </w:tc>
      </w:tr>
      <w:tr>
        <w:trPr>
          <w:trHeight w:val="227"/>
        </w:trPr>
        <w:tc>
          <w:tcPr>
            <w:tcW w:w="2124" w:type="dxa"/>
            <w:hideMark/>
          </w:tcPr>
          <w:p>
            <w:pPr>
              <w:spacing w:before="60" w:after="60"/>
              <w:rPr>
                <w:rFonts w:eastAsia="Calibri"/>
                <w:noProof/>
              </w:rPr>
            </w:pPr>
            <w:r>
              <w:rPr>
                <w:noProof/>
              </w:rPr>
              <w:t>ПРИЛОЖЕНИЕ IБ:</w:t>
            </w:r>
          </w:p>
        </w:tc>
        <w:tc>
          <w:tcPr>
            <w:tcW w:w="6574" w:type="dxa"/>
            <w:hideMark/>
          </w:tcPr>
          <w:p>
            <w:pPr>
              <w:spacing w:before="60" w:after="60"/>
              <w:rPr>
                <w:rFonts w:eastAsia="Calibri"/>
                <w:noProof/>
              </w:rPr>
            </w:pPr>
            <w:r>
              <w:rPr>
                <w:noProof/>
              </w:rPr>
              <w:t>Североизточна част на Атлантическия океан и Гренландия, подзони 1, 2, 5, 12 и 14 на ICES и гренландски води от NAFO 1</w:t>
            </w:r>
          </w:p>
        </w:tc>
      </w:tr>
      <w:tr>
        <w:trPr>
          <w:trHeight w:val="227"/>
        </w:trPr>
        <w:tc>
          <w:tcPr>
            <w:tcW w:w="2124" w:type="dxa"/>
            <w:hideMark/>
          </w:tcPr>
          <w:p>
            <w:pPr>
              <w:spacing w:before="60" w:after="60"/>
              <w:rPr>
                <w:rFonts w:eastAsia="Calibri"/>
                <w:noProof/>
              </w:rPr>
            </w:pPr>
            <w:r>
              <w:rPr>
                <w:noProof/>
              </w:rPr>
              <w:t>ПРИЛОЖЕНИЕ IВ:</w:t>
            </w:r>
          </w:p>
        </w:tc>
        <w:tc>
          <w:tcPr>
            <w:tcW w:w="6574" w:type="dxa"/>
            <w:hideMark/>
          </w:tcPr>
          <w:p>
            <w:pPr>
              <w:spacing w:before="60" w:after="60"/>
              <w:rPr>
                <w:rFonts w:eastAsia="Calibri"/>
                <w:noProof/>
              </w:rPr>
            </w:pPr>
            <w:r>
              <w:rPr>
                <w:noProof/>
              </w:rPr>
              <w:t>Северозападна част на Атлантическия океан — зона на Конвенцията NAFO</w:t>
            </w:r>
          </w:p>
        </w:tc>
      </w:tr>
      <w:tr>
        <w:trPr>
          <w:trHeight w:val="227"/>
        </w:trPr>
        <w:tc>
          <w:tcPr>
            <w:tcW w:w="2124" w:type="dxa"/>
            <w:hideMark/>
          </w:tcPr>
          <w:p>
            <w:pPr>
              <w:spacing w:before="60" w:after="60"/>
              <w:rPr>
                <w:rFonts w:eastAsia="Calibri"/>
                <w:noProof/>
              </w:rPr>
            </w:pPr>
            <w:r>
              <w:rPr>
                <w:noProof/>
              </w:rPr>
              <w:t>ПРИЛОЖЕНИЕ IГ:</w:t>
            </w:r>
          </w:p>
        </w:tc>
        <w:tc>
          <w:tcPr>
            <w:tcW w:w="6574" w:type="dxa"/>
            <w:hideMark/>
          </w:tcPr>
          <w:p>
            <w:pPr>
              <w:spacing w:before="60" w:after="60"/>
              <w:rPr>
                <w:rFonts w:eastAsia="Calibri"/>
                <w:noProof/>
              </w:rPr>
            </w:pPr>
            <w:r>
              <w:rPr>
                <w:noProof/>
              </w:rPr>
              <w:t>Зона на Конвенцията ICCAT</w:t>
            </w:r>
          </w:p>
        </w:tc>
      </w:tr>
      <w:tr>
        <w:trPr>
          <w:trHeight w:val="227"/>
        </w:trPr>
        <w:tc>
          <w:tcPr>
            <w:tcW w:w="2124" w:type="dxa"/>
            <w:hideMark/>
          </w:tcPr>
          <w:p>
            <w:pPr>
              <w:spacing w:before="60" w:after="60"/>
              <w:rPr>
                <w:rFonts w:eastAsia="Calibri"/>
                <w:noProof/>
              </w:rPr>
            </w:pPr>
            <w:r>
              <w:rPr>
                <w:noProof/>
              </w:rPr>
              <w:t>ПРИЛОЖЕНИЕ IД:</w:t>
            </w:r>
          </w:p>
        </w:tc>
        <w:tc>
          <w:tcPr>
            <w:tcW w:w="6574" w:type="dxa"/>
            <w:hideMark/>
          </w:tcPr>
          <w:p>
            <w:pPr>
              <w:spacing w:before="60" w:after="60"/>
              <w:rPr>
                <w:rFonts w:eastAsia="Calibri"/>
                <w:noProof/>
              </w:rPr>
            </w:pPr>
            <w:r>
              <w:rPr>
                <w:noProof/>
              </w:rPr>
              <w:t>Югоизточна част на Атлантическия океан — зона на Конвенцията SEAFO</w:t>
            </w:r>
          </w:p>
        </w:tc>
      </w:tr>
      <w:tr>
        <w:trPr>
          <w:trHeight w:val="227"/>
        </w:trPr>
        <w:tc>
          <w:tcPr>
            <w:tcW w:w="2124" w:type="dxa"/>
            <w:hideMark/>
          </w:tcPr>
          <w:p>
            <w:pPr>
              <w:spacing w:before="60" w:after="60"/>
              <w:rPr>
                <w:rFonts w:eastAsia="Calibri"/>
                <w:noProof/>
              </w:rPr>
            </w:pPr>
            <w:r>
              <w:rPr>
                <w:noProof/>
              </w:rPr>
              <w:t>ПРИЛОЖЕНИЕ IЕ:</w:t>
            </w:r>
          </w:p>
        </w:tc>
        <w:tc>
          <w:tcPr>
            <w:tcW w:w="6574" w:type="dxa"/>
            <w:hideMark/>
          </w:tcPr>
          <w:p>
            <w:pPr>
              <w:spacing w:before="60" w:after="60"/>
              <w:rPr>
                <w:rFonts w:eastAsia="Calibri"/>
                <w:noProof/>
              </w:rPr>
            </w:pPr>
            <w:r>
              <w:rPr>
                <w:noProof/>
              </w:rPr>
              <w:t>Южен червен тон — зони на разпространение</w:t>
            </w:r>
          </w:p>
        </w:tc>
      </w:tr>
      <w:tr>
        <w:trPr>
          <w:trHeight w:val="227"/>
        </w:trPr>
        <w:tc>
          <w:tcPr>
            <w:tcW w:w="2124" w:type="dxa"/>
            <w:hideMark/>
          </w:tcPr>
          <w:p>
            <w:pPr>
              <w:spacing w:before="60" w:after="60"/>
              <w:rPr>
                <w:rFonts w:eastAsia="Calibri"/>
                <w:noProof/>
              </w:rPr>
            </w:pPr>
            <w:r>
              <w:rPr>
                <w:noProof/>
              </w:rPr>
              <w:t>ПРИЛОЖЕНИЕ IЖ:</w:t>
            </w:r>
          </w:p>
        </w:tc>
        <w:tc>
          <w:tcPr>
            <w:tcW w:w="6574" w:type="dxa"/>
            <w:hideMark/>
          </w:tcPr>
          <w:p>
            <w:pPr>
              <w:spacing w:before="60" w:after="60"/>
              <w:rPr>
                <w:rFonts w:eastAsia="Calibri"/>
                <w:noProof/>
              </w:rPr>
            </w:pPr>
            <w:r>
              <w:rPr>
                <w:noProof/>
              </w:rPr>
              <w:t>Зона на Конвенцията WCPFC</w:t>
            </w:r>
          </w:p>
        </w:tc>
      </w:tr>
      <w:tr>
        <w:trPr>
          <w:trHeight w:val="227"/>
        </w:trPr>
        <w:tc>
          <w:tcPr>
            <w:tcW w:w="2124" w:type="dxa"/>
            <w:hideMark/>
          </w:tcPr>
          <w:p>
            <w:pPr>
              <w:spacing w:before="60" w:after="60"/>
              <w:rPr>
                <w:rFonts w:eastAsia="Calibri"/>
                <w:noProof/>
              </w:rPr>
            </w:pPr>
            <w:r>
              <w:rPr>
                <w:noProof/>
              </w:rPr>
              <w:t>ПРИЛОЖЕНИЕ IЗ:</w:t>
            </w:r>
          </w:p>
        </w:tc>
        <w:tc>
          <w:tcPr>
            <w:tcW w:w="6574" w:type="dxa"/>
            <w:hideMark/>
          </w:tcPr>
          <w:p>
            <w:pPr>
              <w:spacing w:before="60" w:after="60"/>
              <w:rPr>
                <w:rFonts w:eastAsia="Calibri"/>
                <w:noProof/>
              </w:rPr>
            </w:pPr>
            <w:r>
              <w:rPr>
                <w:noProof/>
              </w:rPr>
              <w:t>Зона на Конвенцията SPRFMO</w:t>
            </w:r>
          </w:p>
        </w:tc>
      </w:tr>
      <w:tr>
        <w:trPr>
          <w:trHeight w:val="227"/>
        </w:trPr>
        <w:tc>
          <w:tcPr>
            <w:tcW w:w="2124" w:type="dxa"/>
            <w:hideMark/>
          </w:tcPr>
          <w:p>
            <w:pPr>
              <w:spacing w:before="60" w:after="60"/>
              <w:rPr>
                <w:rFonts w:eastAsia="Calibri"/>
                <w:noProof/>
              </w:rPr>
            </w:pPr>
            <w:r>
              <w:rPr>
                <w:noProof/>
              </w:rPr>
              <w:t>ПРИЛОЖЕНИЕ IЙ:</w:t>
            </w:r>
          </w:p>
        </w:tc>
        <w:tc>
          <w:tcPr>
            <w:tcW w:w="6574" w:type="dxa"/>
            <w:hideMark/>
          </w:tcPr>
          <w:p>
            <w:pPr>
              <w:spacing w:before="60" w:after="60"/>
              <w:rPr>
                <w:rFonts w:eastAsia="Calibri"/>
                <w:noProof/>
              </w:rPr>
            </w:pPr>
            <w:r>
              <w:rPr>
                <w:noProof/>
              </w:rPr>
              <w:t>Зона на компетентност на IOTC</w:t>
            </w:r>
          </w:p>
        </w:tc>
      </w:tr>
      <w:tr>
        <w:trPr>
          <w:trHeight w:val="227"/>
        </w:trPr>
        <w:tc>
          <w:tcPr>
            <w:tcW w:w="2124" w:type="dxa"/>
            <w:hideMark/>
          </w:tcPr>
          <w:p>
            <w:pPr>
              <w:spacing w:before="60" w:after="60"/>
              <w:rPr>
                <w:rFonts w:eastAsia="Calibri"/>
                <w:noProof/>
              </w:rPr>
            </w:pPr>
            <w:r>
              <w:rPr>
                <w:noProof/>
              </w:rPr>
              <w:t>ПРИЛОЖЕНИЕ IК:</w:t>
            </w:r>
          </w:p>
        </w:tc>
        <w:tc>
          <w:tcPr>
            <w:tcW w:w="6574" w:type="dxa"/>
            <w:hideMark/>
          </w:tcPr>
          <w:p>
            <w:pPr>
              <w:spacing w:before="60" w:after="60"/>
              <w:rPr>
                <w:rFonts w:eastAsia="Calibri"/>
                <w:noProof/>
              </w:rPr>
            </w:pPr>
            <w:r>
              <w:rPr>
                <w:noProof/>
              </w:rPr>
              <w:t>Зона на Споразумението SIOFA</w:t>
            </w:r>
          </w:p>
        </w:tc>
      </w:tr>
      <w:tr>
        <w:trPr>
          <w:trHeight w:val="227"/>
        </w:trPr>
        <w:tc>
          <w:tcPr>
            <w:tcW w:w="2124" w:type="dxa"/>
            <w:hideMark/>
          </w:tcPr>
          <w:p>
            <w:pPr>
              <w:spacing w:before="60" w:after="60"/>
              <w:rPr>
                <w:rFonts w:eastAsia="Calibri"/>
                <w:noProof/>
              </w:rPr>
            </w:pPr>
            <w:r>
              <w:rPr>
                <w:noProof/>
              </w:rPr>
              <w:t>ПРИЛОЖЕНИЕ IЛ:</w:t>
            </w:r>
          </w:p>
        </w:tc>
        <w:tc>
          <w:tcPr>
            <w:tcW w:w="6574" w:type="dxa"/>
            <w:hideMark/>
          </w:tcPr>
          <w:p>
            <w:pPr>
              <w:spacing w:before="60" w:after="60"/>
              <w:rPr>
                <w:rFonts w:eastAsia="Calibri"/>
                <w:noProof/>
              </w:rPr>
            </w:pPr>
            <w:r>
              <w:rPr>
                <w:noProof/>
              </w:rPr>
              <w:t>Зона на Конвенцията IATTC</w:t>
            </w:r>
          </w:p>
        </w:tc>
      </w:tr>
      <w:tr>
        <w:trPr>
          <w:trHeight w:val="227"/>
        </w:trPr>
        <w:tc>
          <w:tcPr>
            <w:tcW w:w="2124" w:type="dxa"/>
            <w:hideMark/>
          </w:tcPr>
          <w:p>
            <w:pPr>
              <w:spacing w:before="60" w:after="60"/>
              <w:rPr>
                <w:rFonts w:eastAsia="Calibri"/>
                <w:noProof/>
              </w:rPr>
            </w:pPr>
            <w:r>
              <w:rPr>
                <w:noProof/>
              </w:rPr>
              <w:t>ПРИЛОЖЕНИЕ II:</w:t>
            </w:r>
          </w:p>
        </w:tc>
        <w:tc>
          <w:tcPr>
            <w:tcW w:w="6574" w:type="dxa"/>
            <w:hideMark/>
          </w:tcPr>
          <w:p>
            <w:pPr>
              <w:spacing w:before="60" w:after="60"/>
              <w:rPr>
                <w:rFonts w:eastAsia="Calibri"/>
                <w:noProof/>
              </w:rPr>
            </w:pPr>
            <w:r>
              <w:rPr>
                <w:noProof/>
              </w:rPr>
              <w:t>Риболовно усилие за корабите в контекста на управлението на запасите от морски език в западната част на Ламанша в участък 7e на ICES</w:t>
            </w:r>
          </w:p>
        </w:tc>
      </w:tr>
      <w:tr>
        <w:trPr>
          <w:trHeight w:val="227"/>
        </w:trPr>
        <w:tc>
          <w:tcPr>
            <w:tcW w:w="2124" w:type="dxa"/>
            <w:hideMark/>
          </w:tcPr>
          <w:p>
            <w:pPr>
              <w:spacing w:before="60" w:after="60"/>
              <w:rPr>
                <w:rFonts w:eastAsia="Calibri"/>
                <w:noProof/>
              </w:rPr>
            </w:pPr>
            <w:r>
              <w:rPr>
                <w:noProof/>
              </w:rPr>
              <w:t>ПРИЛОЖЕНИЕ III:</w:t>
            </w:r>
          </w:p>
        </w:tc>
        <w:tc>
          <w:tcPr>
            <w:tcW w:w="6574" w:type="dxa"/>
            <w:hideMark/>
          </w:tcPr>
          <w:p>
            <w:pPr>
              <w:spacing w:before="60" w:after="60"/>
              <w:rPr>
                <w:rFonts w:eastAsia="Calibri"/>
                <w:noProof/>
              </w:rPr>
            </w:pPr>
            <w:r>
              <w:rPr>
                <w:noProof/>
              </w:rPr>
              <w:t>Зони на управление на запасите от пясъчница в участъци 2a и 3a на ICES и подзона 4 на ICES</w:t>
            </w:r>
          </w:p>
        </w:tc>
      </w:tr>
      <w:tr>
        <w:trPr>
          <w:trHeight w:val="227"/>
        </w:trPr>
        <w:tc>
          <w:tcPr>
            <w:tcW w:w="2124" w:type="dxa"/>
            <w:hideMark/>
          </w:tcPr>
          <w:p>
            <w:pPr>
              <w:spacing w:before="60" w:after="60"/>
              <w:rPr>
                <w:rFonts w:eastAsia="Calibri"/>
                <w:noProof/>
              </w:rPr>
            </w:pPr>
            <w:r>
              <w:rPr>
                <w:noProof/>
              </w:rPr>
              <w:t>ПРИЛОЖЕНИЕ IV:</w:t>
            </w:r>
          </w:p>
        </w:tc>
        <w:tc>
          <w:tcPr>
            <w:tcW w:w="6574" w:type="dxa"/>
            <w:hideMark/>
          </w:tcPr>
          <w:p>
            <w:pPr>
              <w:spacing w:before="60" w:after="60"/>
              <w:rPr>
                <w:rFonts w:eastAsia="Calibri"/>
                <w:noProof/>
              </w:rPr>
            </w:pPr>
            <w:r>
              <w:rPr>
                <w:noProof/>
              </w:rPr>
              <w:t>Сезонни забрани с цел защита на атлантическата треска по време на размножаването</w:t>
            </w:r>
          </w:p>
        </w:tc>
      </w:tr>
      <w:tr>
        <w:trPr>
          <w:trHeight w:val="227"/>
        </w:trPr>
        <w:tc>
          <w:tcPr>
            <w:tcW w:w="2124" w:type="dxa"/>
            <w:hideMark/>
          </w:tcPr>
          <w:p>
            <w:pPr>
              <w:pageBreakBefore/>
              <w:spacing w:before="60" w:after="60"/>
              <w:rPr>
                <w:rFonts w:eastAsia="Calibri"/>
                <w:noProof/>
              </w:rPr>
            </w:pPr>
            <w:r>
              <w:rPr>
                <w:noProof/>
              </w:rPr>
              <w:lastRenderedPageBreak/>
              <w:t>ПРИЛОЖЕНИЕ V:</w:t>
            </w:r>
          </w:p>
        </w:tc>
        <w:tc>
          <w:tcPr>
            <w:tcW w:w="6574" w:type="dxa"/>
            <w:hideMark/>
          </w:tcPr>
          <w:p>
            <w:pPr>
              <w:spacing w:before="60" w:after="60"/>
              <w:rPr>
                <w:rFonts w:eastAsia="Calibri"/>
                <w:noProof/>
              </w:rPr>
            </w:pPr>
            <w:r>
              <w:rPr>
                <w:noProof/>
              </w:rPr>
              <w:t>Разрешения за риболов</w:t>
            </w:r>
          </w:p>
        </w:tc>
      </w:tr>
      <w:tr>
        <w:trPr>
          <w:trHeight w:val="227"/>
        </w:trPr>
        <w:tc>
          <w:tcPr>
            <w:tcW w:w="2124" w:type="dxa"/>
            <w:hideMark/>
          </w:tcPr>
          <w:p>
            <w:pPr>
              <w:spacing w:before="60" w:after="60"/>
              <w:rPr>
                <w:rFonts w:eastAsia="Calibri"/>
                <w:noProof/>
              </w:rPr>
            </w:pPr>
            <w:r>
              <w:rPr>
                <w:noProof/>
              </w:rPr>
              <w:t>ПРИЛОЖЕНИЕ VI:</w:t>
            </w:r>
          </w:p>
        </w:tc>
        <w:tc>
          <w:tcPr>
            <w:tcW w:w="6574" w:type="dxa"/>
            <w:hideMark/>
          </w:tcPr>
          <w:p>
            <w:pPr>
              <w:spacing w:before="60" w:after="60"/>
              <w:rPr>
                <w:rFonts w:eastAsia="Calibri"/>
                <w:noProof/>
              </w:rPr>
            </w:pPr>
            <w:r>
              <w:rPr>
                <w:noProof/>
              </w:rPr>
              <w:t>Зона на Конвенцията ICCAT</w:t>
            </w:r>
          </w:p>
        </w:tc>
      </w:tr>
      <w:tr>
        <w:trPr>
          <w:trHeight w:val="227"/>
        </w:trPr>
        <w:tc>
          <w:tcPr>
            <w:tcW w:w="2124" w:type="dxa"/>
            <w:hideMark/>
          </w:tcPr>
          <w:p>
            <w:pPr>
              <w:spacing w:before="60" w:after="60"/>
              <w:rPr>
                <w:rFonts w:eastAsia="Calibri"/>
                <w:noProof/>
              </w:rPr>
            </w:pPr>
            <w:r>
              <w:rPr>
                <w:noProof/>
              </w:rPr>
              <w:t>ПРИЛОЖЕНИЕ VII:</w:t>
            </w:r>
          </w:p>
        </w:tc>
        <w:tc>
          <w:tcPr>
            <w:tcW w:w="6574" w:type="dxa"/>
            <w:hideMark/>
          </w:tcPr>
          <w:p>
            <w:pPr>
              <w:spacing w:before="60" w:after="60"/>
              <w:rPr>
                <w:rFonts w:eastAsia="Calibri"/>
                <w:noProof/>
              </w:rPr>
            </w:pPr>
            <w:r>
              <w:rPr>
                <w:noProof/>
              </w:rPr>
              <w:t>Зона на Конвенцията CCAMLR</w:t>
            </w:r>
          </w:p>
        </w:tc>
      </w:tr>
      <w:tr>
        <w:trPr>
          <w:trHeight w:val="227"/>
        </w:trPr>
        <w:tc>
          <w:tcPr>
            <w:tcW w:w="2124" w:type="dxa"/>
            <w:hideMark/>
          </w:tcPr>
          <w:p>
            <w:pPr>
              <w:spacing w:before="60" w:after="60"/>
              <w:rPr>
                <w:rFonts w:eastAsia="Calibri"/>
                <w:noProof/>
              </w:rPr>
            </w:pPr>
            <w:r>
              <w:rPr>
                <w:noProof/>
              </w:rPr>
              <w:t>ПРИЛОЖЕНИЕ VIII:</w:t>
            </w:r>
          </w:p>
        </w:tc>
        <w:tc>
          <w:tcPr>
            <w:tcW w:w="6574" w:type="dxa"/>
            <w:hideMark/>
          </w:tcPr>
          <w:p>
            <w:pPr>
              <w:spacing w:before="60" w:after="60"/>
              <w:rPr>
                <w:rFonts w:eastAsia="Calibri"/>
                <w:noProof/>
              </w:rPr>
            </w:pPr>
            <w:r>
              <w:rPr>
                <w:noProof/>
              </w:rPr>
              <w:t>Зона на компетентност на IOTC</w:t>
            </w:r>
          </w:p>
        </w:tc>
      </w:tr>
      <w:tr>
        <w:trPr>
          <w:trHeight w:val="227"/>
        </w:trPr>
        <w:tc>
          <w:tcPr>
            <w:tcW w:w="2124" w:type="dxa"/>
            <w:hideMark/>
          </w:tcPr>
          <w:p>
            <w:pPr>
              <w:spacing w:before="60" w:after="60"/>
              <w:rPr>
                <w:rFonts w:eastAsia="Calibri"/>
                <w:noProof/>
              </w:rPr>
            </w:pPr>
            <w:r>
              <w:rPr>
                <w:noProof/>
              </w:rPr>
              <w:t>ПРИЛОЖЕНИЕ IX:</w:t>
            </w:r>
          </w:p>
        </w:tc>
        <w:tc>
          <w:tcPr>
            <w:tcW w:w="6574" w:type="dxa"/>
            <w:hideMark/>
          </w:tcPr>
          <w:p>
            <w:pPr>
              <w:spacing w:before="60" w:after="60"/>
              <w:rPr>
                <w:rFonts w:eastAsia="Calibri"/>
                <w:noProof/>
              </w:rPr>
            </w:pPr>
            <w:r>
              <w:rPr>
                <w:noProof/>
              </w:rPr>
              <w:t>Зона на Конвенцията WCPFC</w:t>
            </w:r>
          </w:p>
        </w:tc>
      </w:tr>
    </w:tbl>
    <w:p>
      <w:pPr>
        <w:rPr>
          <w:rFonts w:eastAsia="Times New Roman"/>
          <w:noProof/>
        </w:rPr>
      </w:pPr>
    </w:p>
    <w:p>
      <w:pPr>
        <w:spacing w:before="0" w:after="0"/>
        <w:rPr>
          <w:noProof/>
        </w:rPr>
        <w:sectPr>
          <w:footerReference w:type="default" r:id="rId16"/>
          <w:footerReference w:type="first" r:id="rId17"/>
          <w:pgSz w:w="11907" w:h="16840"/>
          <w:pgMar w:top="1134" w:right="1134" w:bottom="1134" w:left="1134" w:header="567" w:footer="567" w:gutter="0"/>
          <w:pgNumType w:start="1"/>
          <w:cols w:space="720"/>
          <w:docGrid w:linePitch="326"/>
        </w:sectPr>
      </w:pPr>
    </w:p>
    <w:p>
      <w:pPr>
        <w:pStyle w:val="Annexetitre"/>
        <w:rPr>
          <w:noProof/>
        </w:rPr>
      </w:pPr>
      <w:r>
        <w:rPr>
          <w:noProof/>
        </w:rPr>
        <w:t>ПРИЛОЖЕНИЕ I</w:t>
      </w:r>
    </w:p>
    <w:p>
      <w:pPr>
        <w:pStyle w:val="NormalCentered"/>
        <w:rPr>
          <w:noProof/>
        </w:rPr>
      </w:pPr>
      <w:r>
        <w:rPr>
          <w:noProof/>
        </w:rPr>
        <w:t xml:space="preserve">ОДУ, ПРИЛОЖИМ КЪМ РИБОЛОВНИТЕ КОРАБИ НА СЪЮЗА </w:t>
      </w:r>
      <w:r>
        <w:rPr>
          <w:noProof/>
        </w:rPr>
        <w:br/>
        <w:t>В ЗОНИТЕ, В КОИТО Е ОПРЕДЕЛЕН ОДУ ПО ВИДОВЕ И ПО ЗОНИ</w:t>
      </w:r>
    </w:p>
    <w:p>
      <w:pPr>
        <w:rPr>
          <w:noProof/>
        </w:rPr>
      </w:pPr>
      <w:r>
        <w:rPr>
          <w:noProof/>
        </w:rPr>
        <w:t>В таблиците в настоящото приложение са посочени равнищата на ОДУ и квотите (в тонове живо тегло, освен когато е посочено друго) по запаси, както и функционално свързаните с тях условия, когато е приложимо.</w:t>
      </w:r>
    </w:p>
    <w:p>
      <w:pPr>
        <w:rPr>
          <w:noProof/>
        </w:rPr>
      </w:pPr>
      <w:r>
        <w:rPr>
          <w:noProof/>
        </w:rPr>
        <w:t>За всички възможности за риболов, определени в настоящото приложение, се прилагат правилата, посочени в Регламент (ЕО) № 1224/2009, и по-специално в членове 33 и 34 от него.</w:t>
      </w:r>
    </w:p>
    <w:p>
      <w:pPr>
        <w:rPr>
          <w:noProof/>
        </w:rPr>
      </w:pPr>
      <w:r>
        <w:rPr>
          <w:noProof/>
        </w:rPr>
        <w:t>Ако не е посочено друго, под „риболовни зони“ се разбират зоните на ICES. Рибните запаси във всяка зона са посочени по азбучен ред на наименованията на видовете на латински език. От значение за регулаторните цели са само латинските наименования на видовете; общоприетите наименования са предоставени само за справка.</w:t>
      </w:r>
    </w:p>
    <w:p>
      <w:pPr>
        <w:rPr>
          <w:noProof/>
        </w:rPr>
      </w:pPr>
      <w:r>
        <w:rPr>
          <w:noProof/>
        </w:rPr>
        <w:br w:type="page"/>
        <w:t>За целите на настоящия регламент се използва следната сравнителна таблица на научните и общоприетите наименования: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1701"/>
        <w:gridCol w:w="3793"/>
      </w:tblGrid>
      <w:tr>
        <w:trPr>
          <w:cantSplit/>
          <w:tblHeader/>
        </w:trPr>
        <w:tc>
          <w:tcPr>
            <w:tcW w:w="436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Научно наименование</w:t>
            </w:r>
          </w:p>
        </w:tc>
        <w:tc>
          <w:tcPr>
            <w:tcW w:w="170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Трибуквен код</w:t>
            </w:r>
          </w:p>
        </w:tc>
        <w:tc>
          <w:tcPr>
            <w:tcW w:w="3793"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Общоприето наименование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Amblyraja</w:t>
            </w:r>
            <w:r>
              <w:rPr>
                <w:noProof/>
              </w:rPr>
              <w:t xml:space="preserve"> </w:t>
            </w:r>
            <w:r>
              <w:rPr>
                <w:i/>
                <w:iCs/>
                <w:noProof/>
              </w:rPr>
              <w:t>radiata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Бодлив скат</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Ammodytes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Пясъчница,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Argentina</w:t>
            </w:r>
            <w:r>
              <w:rPr>
                <w:noProof/>
              </w:rPr>
              <w:t xml:space="preserve"> </w:t>
            </w:r>
            <w:r>
              <w:rPr>
                <w:i/>
                <w:iCs/>
                <w:noProof/>
              </w:rPr>
              <w:t>silus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ARU</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Атлантическа аргентина</w:t>
            </w:r>
          </w:p>
        </w:tc>
      </w:tr>
      <w:tr>
        <w:trPr>
          <w:cantSplit/>
        </w:trPr>
        <w:tc>
          <w:tcPr>
            <w:tcW w:w="4361" w:type="dxa"/>
            <w:tcBorders>
              <w:top w:val="single" w:sz="4" w:space="0" w:color="auto"/>
              <w:left w:val="single" w:sz="4" w:space="0" w:color="auto"/>
              <w:bottom w:val="single" w:sz="4" w:space="0" w:color="auto"/>
              <w:right w:val="single" w:sz="4" w:space="0" w:color="auto"/>
            </w:tcBorders>
          </w:tcPr>
          <w:p>
            <w:pPr>
              <w:spacing w:before="60" w:after="60"/>
              <w:rPr>
                <w:noProof/>
              </w:rPr>
            </w:pPr>
            <w:r>
              <w:rPr>
                <w:i/>
                <w:iCs/>
                <w:noProof/>
              </w:rPr>
              <w:t>Beryx</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ALF</w:t>
            </w:r>
          </w:p>
        </w:tc>
        <w:tc>
          <w:tcPr>
            <w:tcW w:w="3793"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Берикс,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Brosme</w:t>
            </w:r>
            <w:r>
              <w:rPr>
                <w:noProof/>
              </w:rPr>
              <w:t xml:space="preserve"> </w:t>
            </w:r>
            <w:r>
              <w:rPr>
                <w:i/>
                <w:iCs/>
                <w:noProof/>
              </w:rPr>
              <w:t>brosme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USK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Менек</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Caproidae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Капрови риби</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Centrophorus</w:t>
            </w:r>
            <w:r>
              <w:rPr>
                <w:noProof/>
              </w:rPr>
              <w:t xml:space="preserve"> </w:t>
            </w:r>
            <w:r>
              <w:rPr>
                <w:i/>
                <w:iCs/>
                <w:noProof/>
              </w:rPr>
              <w:t>squamosus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GUQ</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Сива късошипа акула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Centroscymnus</w:t>
            </w:r>
            <w:r>
              <w:rPr>
                <w:noProof/>
              </w:rPr>
              <w:t xml:space="preserve"> </w:t>
            </w:r>
            <w:r>
              <w:rPr>
                <w:i/>
                <w:iCs/>
                <w:noProof/>
              </w:rPr>
              <w:t>coelolepis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CYO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Португалска котешка акула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Chaceon</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Западноафрикански джерион,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Chaenocephalus</w:t>
            </w:r>
            <w:r>
              <w:rPr>
                <w:noProof/>
              </w:rPr>
              <w:t xml:space="preserve"> </w:t>
            </w:r>
            <w:r>
              <w:rPr>
                <w:i/>
                <w:iCs/>
                <w:noProof/>
              </w:rPr>
              <w:t>aceratus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SSI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Чернопереста ледена риба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Champsocephalus</w:t>
            </w:r>
            <w:r>
              <w:rPr>
                <w:noProof/>
              </w:rPr>
              <w:t xml:space="preserve"> </w:t>
            </w:r>
            <w:r>
              <w:rPr>
                <w:i/>
                <w:iCs/>
                <w:noProof/>
              </w:rPr>
              <w:t>gunnari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Антарктическа ледена риба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Channichthys</w:t>
            </w:r>
            <w:r>
              <w:rPr>
                <w:noProof/>
              </w:rPr>
              <w:t xml:space="preserve"> </w:t>
            </w:r>
            <w:r>
              <w:rPr>
                <w:i/>
                <w:iCs/>
                <w:noProof/>
              </w:rPr>
              <w:t>rhinoceratus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Ледена риба еднорог</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Chionoecetes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PCR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Снежен краб,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Clupea</w:t>
            </w:r>
            <w:r>
              <w:rPr>
                <w:noProof/>
              </w:rPr>
              <w:t xml:space="preserve"> </w:t>
            </w:r>
            <w:r>
              <w:rPr>
                <w:i/>
                <w:iCs/>
                <w:noProof/>
              </w:rPr>
              <w:t>harengus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Херинга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Coryphaenoides</w:t>
            </w:r>
            <w:r>
              <w:rPr>
                <w:noProof/>
              </w:rPr>
              <w:t xml:space="preserve"> </w:t>
            </w:r>
            <w:r>
              <w:rPr>
                <w:i/>
                <w:iCs/>
                <w:noProof/>
              </w:rPr>
              <w:t>rupestris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RNG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Гренадир</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Dalatias</w:t>
            </w:r>
            <w:r>
              <w:rPr>
                <w:noProof/>
              </w:rPr>
              <w:t xml:space="preserve"> </w:t>
            </w:r>
            <w:r>
              <w:rPr>
                <w:i/>
                <w:iCs/>
                <w:noProof/>
              </w:rPr>
              <w:t>licha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SCK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Черна акула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Deania</w:t>
            </w:r>
            <w:r>
              <w:rPr>
                <w:noProof/>
              </w:rPr>
              <w:t xml:space="preserve"> </w:t>
            </w:r>
            <w:r>
              <w:rPr>
                <w:i/>
                <w:iCs/>
                <w:noProof/>
              </w:rPr>
              <w:t>calcea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DCA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Клюнеста акула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Dicentrarchus</w:t>
            </w:r>
            <w:r>
              <w:rPr>
                <w:noProof/>
              </w:rPr>
              <w:t xml:space="preserve"> </w:t>
            </w:r>
            <w:r>
              <w:rPr>
                <w:i/>
                <w:iCs/>
                <w:noProof/>
              </w:rPr>
              <w:t>labrax</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BSS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Лаврак</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i/>
                <w:iCs/>
                <w:noProof/>
              </w:rPr>
              <w:t>Dipturus</w:t>
            </w:r>
            <w:r>
              <w:rPr>
                <w:noProof/>
              </w:rPr>
              <w:t xml:space="preserve"> </w:t>
            </w:r>
            <w:r>
              <w:rPr>
                <w:i/>
                <w:iCs/>
                <w:noProof/>
              </w:rPr>
              <w:t>batis</w:t>
            </w:r>
            <w:r>
              <w:rPr>
                <w:noProof/>
              </w:rPr>
              <w:t xml:space="preserve"> (</w:t>
            </w:r>
            <w:r>
              <w:rPr>
                <w:i/>
                <w:iCs/>
                <w:noProof/>
              </w:rPr>
              <w:t>Dipturus</w:t>
            </w:r>
            <w:r>
              <w:rPr>
                <w:noProof/>
              </w:rPr>
              <w:t xml:space="preserve"> cf. </w:t>
            </w:r>
            <w:r>
              <w:rPr>
                <w:i/>
                <w:iCs/>
                <w:noProof/>
              </w:rPr>
              <w:t>flossada</w:t>
            </w:r>
            <w:r>
              <w:rPr>
                <w:noProof/>
              </w:rPr>
              <w:t xml:space="preserve"> и </w:t>
            </w:r>
            <w:r>
              <w:rPr>
                <w:i/>
                <w:iCs/>
                <w:noProof/>
              </w:rPr>
              <w:t>Dipturus</w:t>
            </w:r>
            <w:r>
              <w:rPr>
                <w:noProof/>
              </w:rPr>
              <w:t xml:space="preserve"> cf. </w:t>
            </w:r>
            <w:r>
              <w:rPr>
                <w:i/>
                <w:iCs/>
                <w:noProof/>
              </w:rPr>
              <w:t>intermedia</w:t>
            </w:r>
            <w:r>
              <w:rPr>
                <w:noProof/>
              </w:rPr>
              <w: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Съчетание от видове скат</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Dissostichus</w:t>
            </w:r>
            <w:r>
              <w:rPr>
                <w:noProof/>
              </w:rPr>
              <w:t xml:space="preserve"> </w:t>
            </w:r>
            <w:r>
              <w:rPr>
                <w:i/>
                <w:iCs/>
                <w:noProof/>
              </w:rPr>
              <w:t>eleginoides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Патагонски кликач</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Dissostichus</w:t>
            </w:r>
            <w:r>
              <w:rPr>
                <w:noProof/>
              </w:rPr>
              <w:t xml:space="preserve"> </w:t>
            </w:r>
            <w:r>
              <w:rPr>
                <w:i/>
                <w:iCs/>
                <w:noProof/>
              </w:rPr>
              <w:t>mawsoni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Антарктически кликач</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Dissostichus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Кликач,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Engraulis</w:t>
            </w:r>
            <w:r>
              <w:rPr>
                <w:noProof/>
              </w:rPr>
              <w:t xml:space="preserve"> </w:t>
            </w:r>
            <w:r>
              <w:rPr>
                <w:i/>
                <w:iCs/>
                <w:noProof/>
              </w:rPr>
              <w:t>encrasicolus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Хамсия</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Etmopterus</w:t>
            </w:r>
            <w:r>
              <w:rPr>
                <w:noProof/>
              </w:rPr>
              <w:t xml:space="preserve"> </w:t>
            </w:r>
            <w:r>
              <w:rPr>
                <w:i/>
                <w:iCs/>
                <w:noProof/>
              </w:rPr>
              <w:t>princeps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ETR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Голяма светеща акула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Etmopterus</w:t>
            </w:r>
            <w:r>
              <w:rPr>
                <w:noProof/>
              </w:rPr>
              <w:t xml:space="preserve"> </w:t>
            </w:r>
            <w:r>
              <w:rPr>
                <w:i/>
                <w:iCs/>
                <w:noProof/>
              </w:rPr>
              <w:t>pusillus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ETP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Гладка светеща акула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Euphausia superba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KRI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Крил</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Gadus morhua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Атлантическа треска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Galeorhinus galeus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GAG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Австралийска акула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Glyptocephalus cynoglossus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WIT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Червена писия</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Hippoglossoides platessoides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Американска писия</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Hoplostethus atlanticus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ORY</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Атлантически големоглав</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Illex illecebrosus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Късоопашат калмар</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Lamna nasus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Селдова акула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Lepidorhombus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LEZ</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Мегрим,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Leucoraja naevus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Кукувичев скат</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Limanda ferruginea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YEL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Жълтоопашата лиманда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Lophiidae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Морски дявол</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i/>
                <w:iCs/>
                <w:noProof/>
              </w:rPr>
              <w:t>Macrourus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GRV</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Макрурус,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Makaira nigricans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BUM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Син марлин</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Mallotus villosus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CAP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Мойва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Manta birostris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RMB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Манта (морски дявол)</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Martialia hyadesi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Калмари</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Melanogrammus aeglefinus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Пикша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Merlangius merlangus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Меджид</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Merluccius merluccius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HKE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Мерлуза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Micromesistius poutassou</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Син меджид</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Microstomus kitt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LEM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Малоуста писия</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Molva dypterygia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BLI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Синя молва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Molva molva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Молва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Nephrops norvegicus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NEP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Норвежки омар</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noProof/>
              </w:rPr>
              <w:t>Notothenia gibberifrons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Гърбава скална треска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Notothenia rossii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Мраморна скална треска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noProof/>
              </w:rPr>
              <w:t>Notothenia squamifrons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Сива скална треска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Pandalus borealis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PRA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Северна скарида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Paralomis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PAI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Краб,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Penaeus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PEN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Скариди от рода </w:t>
            </w:r>
            <w:r>
              <w:rPr>
                <w:i/>
                <w:iCs/>
                <w:noProof/>
              </w:rPr>
              <w:t>Penaeus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i/>
                <w:iCs/>
                <w:noProof/>
              </w:rPr>
            </w:pPr>
            <w:r>
              <w:rPr>
                <w:i/>
                <w:iCs/>
                <w:noProof/>
              </w:rPr>
              <w:t>Pleuronectes platessa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Морска писия</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Pleuronectiformes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FLX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Калканоподобни</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Pollachius pollachius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Сребриста сайда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Pollachius virens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Сайда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Psetta maxima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TUR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Калкан</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Pseudochaenichthys georgianus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SGI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Южна джорджианска ледена риба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Pseudopentaceros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EDW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Пелагична лъчеперка,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Raja</w:t>
            </w:r>
            <w:r>
              <w:rPr>
                <w:noProof/>
              </w:rPr>
              <w:t xml:space="preserve"> </w:t>
            </w:r>
            <w:r>
              <w:rPr>
                <w:i/>
                <w:iCs/>
                <w:noProof/>
              </w:rPr>
              <w:t>alba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Бял скат </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brachyura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RJH</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Късоопашат скат</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 xml:space="preserve">Raja circularis </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Пясъчен скат</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clavata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Морска лисица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 xml:space="preserve">Raja fullonica </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Скат от вида </w:t>
            </w:r>
            <w:r>
              <w:rPr>
                <w:i/>
                <w:iCs/>
                <w:noProof/>
              </w:rPr>
              <w:t>Leucoraja fullonica</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 xml:space="preserve">Raja </w:t>
            </w:r>
            <w:r>
              <w:rPr>
                <w:noProof/>
              </w:rPr>
              <w:t>(</w:t>
            </w:r>
            <w:r>
              <w:rPr>
                <w:i/>
                <w:iCs/>
                <w:noProof/>
              </w:rPr>
              <w:t>Dipturus</w:t>
            </w:r>
            <w:r>
              <w:rPr>
                <w:noProof/>
              </w:rPr>
              <w:t>)</w:t>
            </w:r>
            <w:r>
              <w:rPr>
                <w:i/>
                <w:iCs/>
                <w:noProof/>
              </w:rPr>
              <w:t xml:space="preserve"> nidarosiensis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JAD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Норвежки скат</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microocellata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Дребноок скат</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montagui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Петнист скат</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undulata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Вълнист скат</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Rajiformes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SRX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Скатоподобни</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Reinhardtius hippoglossoides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GHL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Черна писия</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Sardina pilchardus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PIL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Сардина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Scomber scombrus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Скумрия</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Scophthalmus rhombus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BLL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Средиземноморски калкан</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i/>
                <w:iCs/>
                <w:noProof/>
              </w:rPr>
              <w:t>Sebastes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RED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Морски костур,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Solea</w:t>
            </w:r>
            <w:r>
              <w:rPr>
                <w:noProof/>
              </w:rPr>
              <w:t xml:space="preserve"> </w:t>
            </w:r>
            <w:r>
              <w:rPr>
                <w:i/>
                <w:iCs/>
                <w:noProof/>
              </w:rPr>
              <w:t>solea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Обикновен морски език</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Solea</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Морски език,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Sprattus sprattus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SPR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Цаца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Squalus acanthias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DGS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Черноморска бодлива акула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Tetrapturus albidus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Бял марлин</w:t>
            </w:r>
          </w:p>
        </w:tc>
      </w:tr>
      <w:tr>
        <w:trPr>
          <w:cantSplit/>
        </w:trPr>
        <w:tc>
          <w:tcPr>
            <w:tcW w:w="4361" w:type="dxa"/>
            <w:tcBorders>
              <w:top w:val="single" w:sz="4" w:space="0" w:color="auto"/>
              <w:left w:val="single" w:sz="4" w:space="0" w:color="auto"/>
              <w:bottom w:val="single" w:sz="4" w:space="0" w:color="auto"/>
              <w:right w:val="single" w:sz="4" w:space="0" w:color="auto"/>
            </w:tcBorders>
          </w:tcPr>
          <w:p>
            <w:pPr>
              <w:spacing w:before="60" w:after="60"/>
              <w:rPr>
                <w:i/>
                <w:iCs/>
                <w:noProof/>
              </w:rPr>
            </w:pPr>
            <w:r>
              <w:rPr>
                <w:i/>
                <w:iCs/>
                <w:noProof/>
              </w:rPr>
              <w:t>Thunnus alalunga</w:t>
            </w:r>
          </w:p>
        </w:tc>
        <w:tc>
          <w:tcPr>
            <w:tcW w:w="1701"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ALB</w:t>
            </w:r>
          </w:p>
        </w:tc>
        <w:tc>
          <w:tcPr>
            <w:tcW w:w="3793"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Бял тон</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maccoyii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SBF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Южен червен тон от вида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obesus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BET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Големоок тон</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thynnus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BFT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Червен тон</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Trachurus murphyi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Чилийски сафрид</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Trachurus</w:t>
            </w:r>
            <w:r>
              <w:rPr>
                <w:noProof/>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JAX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Сафрид, видове</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Trisopterus esmarkii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Норвежки паут</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Urophycis tenuis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HKW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Бяла мерлуза</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Xiphias gladius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SWO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Риба меч</w:t>
            </w:r>
          </w:p>
        </w:tc>
      </w:tr>
    </w:tbl>
    <w:p>
      <w:pPr>
        <w:rPr>
          <w:noProof/>
        </w:rPr>
      </w:pPr>
    </w:p>
    <w:p>
      <w:pPr>
        <w:rPr>
          <w:noProof/>
        </w:rPr>
      </w:pPr>
      <w:r>
        <w:rPr>
          <w:noProof/>
        </w:rPr>
        <w:br w:type="page"/>
        <w:t>Следната сравнителна таблица на общоприетите и научните наименования се дава само за пояснение: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1701"/>
        <w:gridCol w:w="3793"/>
      </w:tblGrid>
      <w:tr>
        <w:trPr>
          <w:tblHeader/>
        </w:trPr>
        <w:tc>
          <w:tcPr>
            <w:tcW w:w="436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Общоприето наименование</w:t>
            </w:r>
          </w:p>
        </w:tc>
        <w:tc>
          <w:tcPr>
            <w:tcW w:w="170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Трибуквен код</w:t>
            </w:r>
          </w:p>
        </w:tc>
        <w:tc>
          <w:tcPr>
            <w:tcW w:w="3793"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Научно наименование</w:t>
            </w:r>
          </w:p>
        </w:tc>
      </w:tr>
      <w:tr>
        <w:tc>
          <w:tcPr>
            <w:tcW w:w="4361"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Бял тон</w:t>
            </w:r>
          </w:p>
        </w:tc>
        <w:tc>
          <w:tcPr>
            <w:tcW w:w="1701" w:type="dxa"/>
            <w:tcBorders>
              <w:top w:val="single" w:sz="4" w:space="0" w:color="auto"/>
              <w:left w:val="single" w:sz="4" w:space="0" w:color="auto"/>
              <w:bottom w:val="single" w:sz="4" w:space="0" w:color="auto"/>
              <w:right w:val="single" w:sz="4" w:space="0" w:color="auto"/>
            </w:tcBorders>
          </w:tcPr>
          <w:p>
            <w:pPr>
              <w:spacing w:before="60" w:after="60"/>
              <w:rPr>
                <w:noProof/>
              </w:rPr>
            </w:pPr>
            <w:r>
              <w:rPr>
                <w:noProof/>
              </w:rPr>
              <w:t>ALB</w:t>
            </w:r>
          </w:p>
        </w:tc>
        <w:tc>
          <w:tcPr>
            <w:tcW w:w="3793" w:type="dxa"/>
            <w:tcBorders>
              <w:top w:val="single" w:sz="4" w:space="0" w:color="auto"/>
              <w:left w:val="single" w:sz="4" w:space="0" w:color="auto"/>
              <w:bottom w:val="single" w:sz="4" w:space="0" w:color="auto"/>
              <w:right w:val="single" w:sz="4" w:space="0" w:color="auto"/>
            </w:tcBorders>
          </w:tcPr>
          <w:p>
            <w:pPr>
              <w:spacing w:before="60" w:after="60"/>
              <w:rPr>
                <w:i/>
                <w:iCs/>
                <w:noProof/>
              </w:rPr>
            </w:pPr>
            <w:r>
              <w:rPr>
                <w:i/>
                <w:iCs/>
                <w:noProof/>
              </w:rPr>
              <w:t>Thunnus alalunga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Берикс,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ALF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Beryx</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Американска писия</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Hippoglossoides platessoides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Хамсия</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Engraulis encrasicolus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Морски дявол</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Lophiidae</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Антарктически кликач</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Dissostichus mawsoni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Големоок тон</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BET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obesus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Клюнеста акула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DCA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Deania calcea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Чернопереста ледена риба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SSI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Chaenocephalus aceratus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Късоопашат скат</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RJH</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brachyura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Синя молва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BLI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Molva dypterygia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Син марлин</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BUM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Makaira nigricans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Син меджид</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Micromesistius poutassou</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Червен тон</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BFT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thynnus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Капрови риби</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Caproidae</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Средиземноморски калкан</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BLL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Scophthalmus rhombus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Мойва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CAP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Mallotus villosus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Атлантическа треска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Gadus morhua</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noProof/>
              </w:rPr>
              <w:t>Съчетание от видове скат</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Dipturus</w:t>
            </w:r>
            <w:r>
              <w:rPr>
                <w:noProof/>
              </w:rPr>
              <w:t xml:space="preserve"> </w:t>
            </w:r>
            <w:r>
              <w:rPr>
                <w:i/>
                <w:iCs/>
                <w:noProof/>
              </w:rPr>
              <w:t>batis</w:t>
            </w:r>
            <w:r>
              <w:rPr>
                <w:noProof/>
              </w:rPr>
              <w:t xml:space="preserve"> (</w:t>
            </w:r>
            <w:r>
              <w:rPr>
                <w:i/>
                <w:iCs/>
                <w:noProof/>
              </w:rPr>
              <w:t>Dipturus</w:t>
            </w:r>
            <w:r>
              <w:rPr>
                <w:noProof/>
              </w:rPr>
              <w:t xml:space="preserve"> cf. </w:t>
            </w:r>
            <w:r>
              <w:rPr>
                <w:i/>
                <w:iCs/>
                <w:noProof/>
              </w:rPr>
              <w:t>flossada</w:t>
            </w:r>
            <w:r>
              <w:rPr>
                <w:noProof/>
              </w:rPr>
              <w:t xml:space="preserve"> и </w:t>
            </w:r>
            <w:r>
              <w:rPr>
                <w:i/>
                <w:iCs/>
                <w:noProof/>
              </w:rPr>
              <w:t>Dipturus</w:t>
            </w:r>
            <w:r>
              <w:rPr>
                <w:noProof/>
              </w:rPr>
              <w:t xml:space="preserve"> cf. </w:t>
            </w:r>
            <w:r>
              <w:rPr>
                <w:i/>
                <w:iCs/>
                <w:noProof/>
              </w:rPr>
              <w:t>intermedia</w:t>
            </w:r>
            <w:r>
              <w:rPr>
                <w:noProof/>
              </w:rPr>
              <w:t>)</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Обикновен морски език</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Solea solea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Краб,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PAI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Paralomis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Кукувичев скат</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Leucoraja naevus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Западноафрикански джерион,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Chaceon</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Лаврак</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BSS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Dicentrarchus labrax</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Калканоподобни</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FLX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Pleuronectiformes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Манта (морски дявол)</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RMB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Manta birostris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Голяма светеща акула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ETR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Etmopterus princeps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Атлантическа аргентина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ARU</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Argentina silus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Черна писия</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GHL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Reinhardtius hippoglossoides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Макрурус,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GRV</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Macrourus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Сива скална треска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Notothenia squamifrons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Пикша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Melanogrammus aeglefinus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Мерлуза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HKE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Merluccius merluccius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Херинга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Clupea harengus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Сафрид,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JAX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Trachurus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Гърбава скална треска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Notothenia gibberifrons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Чилийски сафрид</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Trachurus murphyi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Черна акула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SCK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Dalatias licha</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noProof/>
              </w:rPr>
              <w:t>Крил</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KRI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Euphausia superba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Сива късошипа акула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GUQ</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Centrophorus squamosus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Малоуста писия</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LEM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Microstomus kitt</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Молва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Molva molva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Скумрия</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MAC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Scomber scombrus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Антарктическа ледена риба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ANI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Champsocephalus gunnari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Мраморна скална треска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Notothenia</w:t>
            </w:r>
            <w:r>
              <w:rPr>
                <w:noProof/>
              </w:rPr>
              <w:t xml:space="preserve"> </w:t>
            </w:r>
            <w:r>
              <w:rPr>
                <w:i/>
                <w:iCs/>
                <w:noProof/>
              </w:rPr>
              <w:t>rossii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Мегрим,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LEZ</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Lepidorhombus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Северна скарида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PRA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Pandalus borealis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Норвежки омар</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NEP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Nephrops norvegicus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Норвежки паут</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Trisopterus esmarkii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Норвежки скат</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JAD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 xml:space="preserve">Raja </w:t>
            </w:r>
            <w:r>
              <w:rPr>
                <w:noProof/>
              </w:rPr>
              <w:t>(</w:t>
            </w:r>
            <w:r>
              <w:rPr>
                <w:i/>
                <w:iCs/>
                <w:noProof/>
              </w:rPr>
              <w:t>Dipturus</w:t>
            </w:r>
            <w:r>
              <w:rPr>
                <w:noProof/>
              </w:rPr>
              <w:t>)</w:t>
            </w:r>
            <w:r>
              <w:rPr>
                <w:i/>
                <w:iCs/>
                <w:noProof/>
              </w:rPr>
              <w:t xml:space="preserve"> nidarosiensis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Атлантически големоглав</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ORY</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Hoplostethus atlanticus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Патагонски кликач</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Dissostichus eleginoides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Пелагична лъчеперка,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EDW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Pseudopentaceros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Скариди от рода </w:t>
            </w:r>
            <w:r>
              <w:rPr>
                <w:i/>
                <w:iCs/>
                <w:noProof/>
              </w:rPr>
              <w:t>Penaeus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PEN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Penaeus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Черноморска бодлива акула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DGS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Squalus acanthias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Морска писия</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Pleuronectes platessa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Сребриста сайда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Pollachius pollachius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Селдова акула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Lamna nasus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Португалска котешка акула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CYO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Centroscymnus coelolepis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Морски костур,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RED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Sebastes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noProof/>
              </w:rPr>
              <w:t>Гренадир</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RNG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Coryphaenoides rupestris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Сайда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POK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Pollachius virens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Пясъчница,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SAN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Ammodytes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Пясъчен скат</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circularis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Сардина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PIL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Sardina pilchardus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Скат от вида </w:t>
            </w:r>
            <w:r>
              <w:rPr>
                <w:i/>
                <w:iCs/>
                <w:noProof/>
              </w:rPr>
              <w:t>Leucoraja fullonica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fullonica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Късоопашат калмар</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Illex illecebrosus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Скатоподобни</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SRX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Rajiformes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Дребноок скат</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microocellata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Гладка светеща акула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ETP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Etmopterus pusillus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Снежен краб,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PCR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Chionoecetes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Морски език,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SOO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Solea</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Южна джорджианска ледена риба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SGI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Pseudochaenichthys georgianus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Южен червен тон от вида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SBF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Thunnus maccoyii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Петнист скат</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montagui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Цаца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SPR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Sprattus sprattus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Калмари</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SQS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Martialia hyadesi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Бодлив скат</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Amblyraja radiata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Риба меч</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SWO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Xiphias gladius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Морска лисица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clavata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Кликач, видове</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i/>
                <w:iCs/>
                <w:noProof/>
              </w:rPr>
              <w:t>Dissostichus</w:t>
            </w:r>
            <w:r>
              <w:rPr>
                <w:noProof/>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noProof/>
              </w:rPr>
              <w:t>Австралийска акула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GAG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Galeorhinus galeus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Калкан</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TUR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Psetta maxima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Менек</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USK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Brosme brosme</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Вълнист скат</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undulata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Ледена риба еднорог</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Channichthys rhinoceratus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Бяла мерлуза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HKW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Urophycis tenuis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Бял марлин</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Tetrapturus albidus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Бял скат</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RJA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Raja alba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Меджид</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Merlangius merlangus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Червена писия</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WIT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Glyptocephalus cynoglossus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Жълтоопашата лиманда</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YEL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rPr>
            </w:pPr>
            <w:r>
              <w:rPr>
                <w:i/>
                <w:iCs/>
                <w:noProof/>
              </w:rPr>
              <w:t>Limanda ferruginea</w:t>
            </w:r>
          </w:p>
        </w:tc>
      </w:tr>
    </w:tbl>
    <w:p>
      <w:pPr>
        <w:pStyle w:val="Lignefinal"/>
        <w:rPr>
          <w:noProof/>
          <w:szCs w:val="22"/>
        </w:rPr>
      </w:pPr>
    </w:p>
    <w:p>
      <w:pPr>
        <w:spacing w:before="0" w:after="0"/>
        <w:rPr>
          <w:b/>
          <w:noProof/>
          <w:u w:val="single"/>
        </w:rPr>
        <w:sectPr>
          <w:pgSz w:w="11907" w:h="16840"/>
          <w:pgMar w:top="1134" w:right="1134" w:bottom="1134" w:left="1134" w:header="567" w:footer="567" w:gutter="0"/>
          <w:pgNumType w:start="3"/>
          <w:cols w:space="720"/>
          <w:docGrid w:linePitch="326"/>
        </w:sectPr>
      </w:pPr>
    </w:p>
    <w:p>
      <w:pPr>
        <w:jc w:val="center"/>
        <w:rPr>
          <w:b/>
          <w:noProof/>
          <w:szCs w:val="24"/>
        </w:rPr>
      </w:pPr>
      <w:r>
        <w:rPr>
          <w:b/>
          <w:noProof/>
        </w:rPr>
        <w:t>ПРИЛОЖЕНИЕ IA</w:t>
      </w:r>
    </w:p>
    <w:p>
      <w:pPr>
        <w:pStyle w:val="NormalCentered"/>
        <w:rPr>
          <w:noProof/>
        </w:rPr>
      </w:pPr>
      <w:r>
        <w:rPr>
          <w:noProof/>
        </w:rPr>
        <w:t xml:space="preserve">СКАГЕРАК, КАТЕГАТ, ПОДЗОНИ 1, 2, 3, 4, 5, </w:t>
      </w:r>
      <w:r>
        <w:rPr>
          <w:noProof/>
        </w:rPr>
        <w:br/>
        <w:t xml:space="preserve">6, 7, 8, 9, 10, 12 И 14 НА ICES, ВОДИ НА СЪЮЗА ОТ CECAF, </w:t>
      </w:r>
      <w:r>
        <w:rPr>
          <w:noProof/>
        </w:rPr>
        <w:br/>
        <w:t>ВОДИ НА ФРЕНСКА ГВИАНА</w:t>
      </w:r>
    </w:p>
    <w:tbl>
      <w:tblPr>
        <w:tblW w:w="10241" w:type="dxa"/>
        <w:tblInd w:w="108" w:type="dxa"/>
        <w:tblLook w:val="04A0" w:firstRow="1" w:lastRow="0" w:firstColumn="1" w:lastColumn="0" w:noHBand="0" w:noVBand="1"/>
      </w:tblPr>
      <w:tblGrid>
        <w:gridCol w:w="1426"/>
        <w:gridCol w:w="1436"/>
        <w:gridCol w:w="1283"/>
        <w:gridCol w:w="1134"/>
        <w:gridCol w:w="1276"/>
        <w:gridCol w:w="1137"/>
        <w:gridCol w:w="1273"/>
        <w:gridCol w:w="1276"/>
      </w:tblGrid>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Пясъчница и съответен прилов</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3a и 4 (1)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 xml:space="preserve">Ammodytes </w:t>
            </w:r>
            <w:r>
              <w:rPr>
                <w:iCs/>
                <w:noProof/>
                <w:sz w:val="18"/>
                <w:szCs w:val="18"/>
              </w:rPr>
              <w:t>spp.</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0</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sz w:val="20"/>
                <w:szCs w:val="20"/>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rPr>
            </w:pPr>
            <w:r>
              <w:rPr>
                <w:noProof/>
                <w:sz w:val="20"/>
                <w:szCs w:val="20"/>
              </w:rPr>
              <w:t>0</w:t>
            </w:r>
          </w:p>
        </w:tc>
        <w:tc>
          <w:tcPr>
            <w:tcW w:w="1134" w:type="dxa"/>
            <w:tcBorders>
              <w:top w:val="nil"/>
              <w:left w:val="nil"/>
              <w:bottom w:val="nil"/>
              <w:right w:val="nil"/>
            </w:tcBorders>
            <w:shd w:val="clear" w:color="auto" w:fill="auto"/>
            <w:noWrap/>
            <w:hideMark/>
          </w:tcPr>
          <w:p>
            <w:pPr>
              <w:spacing w:after="0"/>
              <w:jc w:val="left"/>
              <w:rPr>
                <w:rFonts w:eastAsia="Times New Roman"/>
                <w:noProof/>
                <w:sz w:val="20"/>
                <w:szCs w:val="20"/>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0</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 изключение на водите в шестмилната зона от изходните линии на Обединеното кралство при Shetland, Fair Isle и Foula.</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меджид и скумрия може да бъде до 2 % от квотата (OT1/*2A3A4X). Сумата от прилова на меджид и скумрия, приспаднат от квотата в съответствие с настоящата разпоредба, и от прилова на видове, приспаднат от квотата в съответствие с член 15, параграф 8 от Регламент (ЕС) № 1380/2013, не надхвърля 9 % от квотата.</w:t>
            </w: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Специално условие: уловът в рамките на определените по-горе квоти не може да надвишава посочените по-долу количества в следните зони на управление на запасите от пясъчница, определени в приложение III:</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6266" w:type="dxa"/>
            <w:gridSpan w:val="5"/>
            <w:tcBorders>
              <w:top w:val="nil"/>
              <w:left w:val="nil"/>
              <w:bottom w:val="nil"/>
              <w:right w:val="nil"/>
            </w:tcBorders>
            <w:shd w:val="clear" w:color="auto" w:fill="auto"/>
            <w:noWrap/>
            <w:hideMark/>
          </w:tcPr>
          <w:p>
            <w:pPr>
              <w:spacing w:after="0"/>
              <w:rPr>
                <w:rFonts w:eastAsia="Times New Roman"/>
                <w:b/>
                <w:bCs/>
                <w:noProof/>
                <w:sz w:val="18"/>
                <w:szCs w:val="18"/>
              </w:rPr>
            </w:pPr>
            <w:r>
              <w:rPr>
                <w:b/>
                <w:bCs/>
                <w:noProof/>
                <w:sz w:val="18"/>
                <w:szCs w:val="18"/>
              </w:rPr>
              <w:t>Зона: Води на Съюза в зоните на управление на запасите от пясъчница</w:t>
            </w:r>
          </w:p>
        </w:tc>
        <w:tc>
          <w:tcPr>
            <w:tcW w:w="1273" w:type="dxa"/>
            <w:tcBorders>
              <w:top w:val="nil"/>
              <w:left w:val="nil"/>
              <w:bottom w:val="nil"/>
              <w:right w:val="nil"/>
            </w:tcBorders>
            <w:shd w:val="clear" w:color="auto" w:fill="auto"/>
            <w:noWrap/>
            <w:hideMark/>
          </w:tcPr>
          <w:p>
            <w:pPr>
              <w:spacing w:after="0"/>
              <w:rPr>
                <w:rFonts w:eastAsia="Times New Roman"/>
                <w:b/>
                <w:bCs/>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4" w:space="0" w:color="auto"/>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 xml:space="preserve"> </w:t>
            </w:r>
          </w:p>
        </w:tc>
        <w:tc>
          <w:tcPr>
            <w:tcW w:w="1436"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sz w:val="14"/>
                <w:szCs w:val="14"/>
              </w:rPr>
            </w:pPr>
            <w:r>
              <w:rPr>
                <w:b/>
                <w:bCs/>
                <w:noProof/>
                <w:sz w:val="14"/>
                <w:szCs w:val="14"/>
              </w:rPr>
              <w:t>1r</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2r</w:t>
            </w:r>
          </w:p>
        </w:tc>
        <w:tc>
          <w:tcPr>
            <w:tcW w:w="1134"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3r</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4</w:t>
            </w:r>
          </w:p>
        </w:tc>
        <w:tc>
          <w:tcPr>
            <w:tcW w:w="1137"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5r</w:t>
            </w:r>
          </w:p>
        </w:tc>
        <w:tc>
          <w:tcPr>
            <w:tcW w:w="1273"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6</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rPr>
            </w:pPr>
            <w:r>
              <w:rPr>
                <w:b/>
                <w:bCs/>
                <w:noProof/>
                <w:color w:val="000000"/>
                <w:sz w:val="14"/>
                <w:szCs w:val="14"/>
              </w:rPr>
              <w:t>7r</w:t>
            </w:r>
          </w:p>
        </w:tc>
      </w:tr>
      <w:tr>
        <w:trPr>
          <w:trHeight w:val="540"/>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rPr>
            </w:pPr>
            <w:r>
              <w:rPr>
                <w:noProof/>
                <w:color w:val="000000"/>
                <w:sz w:val="14"/>
                <w:szCs w:val="14"/>
              </w:rPr>
              <w:t xml:space="preserve"> </w:t>
            </w:r>
          </w:p>
        </w:tc>
        <w:tc>
          <w:tcPr>
            <w:tcW w:w="1436"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sz w:val="14"/>
                <w:szCs w:val="14"/>
              </w:rPr>
            </w:pPr>
            <w:r>
              <w:rPr>
                <w:noProof/>
                <w:sz w:val="14"/>
                <w:szCs w:val="14"/>
              </w:rPr>
              <w:t>(SAN/234_1R)</w:t>
            </w:r>
          </w:p>
        </w:tc>
        <w:tc>
          <w:tcPr>
            <w:tcW w:w="1283" w:type="dxa"/>
            <w:tcBorders>
              <w:top w:val="nil"/>
              <w:left w:val="nil"/>
              <w:bottom w:val="single" w:sz="4" w:space="0" w:color="auto"/>
              <w:right w:val="single" w:sz="4" w:space="0" w:color="auto"/>
            </w:tcBorders>
            <w:shd w:val="clear" w:color="auto" w:fill="auto"/>
            <w:hideMark/>
          </w:tcPr>
          <w:p>
            <w:pPr>
              <w:spacing w:after="0"/>
              <w:jc w:val="center"/>
              <w:rPr>
                <w:rFonts w:eastAsia="Times New Roman"/>
                <w:noProof/>
                <w:color w:val="000000"/>
                <w:sz w:val="14"/>
                <w:szCs w:val="14"/>
              </w:rPr>
            </w:pPr>
            <w:r>
              <w:rPr>
                <w:noProof/>
                <w:color w:val="000000"/>
                <w:sz w:val="14"/>
                <w:szCs w:val="14"/>
              </w:rPr>
              <w:t>(SAN/234_2R)</w:t>
            </w:r>
          </w:p>
        </w:tc>
        <w:tc>
          <w:tcPr>
            <w:tcW w:w="1134" w:type="dxa"/>
            <w:tcBorders>
              <w:top w:val="nil"/>
              <w:left w:val="nil"/>
              <w:bottom w:val="single" w:sz="4" w:space="0" w:color="auto"/>
              <w:right w:val="single" w:sz="4" w:space="0" w:color="auto"/>
            </w:tcBorders>
            <w:shd w:val="clear" w:color="auto" w:fill="auto"/>
            <w:hideMark/>
          </w:tcPr>
          <w:p>
            <w:pPr>
              <w:spacing w:after="0"/>
              <w:jc w:val="center"/>
              <w:rPr>
                <w:rFonts w:eastAsia="Times New Roman"/>
                <w:noProof/>
                <w:color w:val="000000"/>
                <w:sz w:val="14"/>
                <w:szCs w:val="14"/>
              </w:rPr>
            </w:pPr>
            <w:r>
              <w:rPr>
                <w:noProof/>
                <w:color w:val="000000"/>
                <w:sz w:val="14"/>
                <w:szCs w:val="14"/>
              </w:rPr>
              <w:t xml:space="preserve"> (SAN/234_3R)</w:t>
            </w:r>
          </w:p>
        </w:tc>
        <w:tc>
          <w:tcPr>
            <w:tcW w:w="1276"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rPr>
            </w:pPr>
            <w:r>
              <w:rPr>
                <w:noProof/>
                <w:color w:val="000000"/>
                <w:sz w:val="14"/>
                <w:szCs w:val="14"/>
              </w:rPr>
              <w:t xml:space="preserve">(SAN/234_4) </w:t>
            </w:r>
          </w:p>
        </w:tc>
        <w:tc>
          <w:tcPr>
            <w:tcW w:w="1137"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rPr>
            </w:pPr>
            <w:r>
              <w:rPr>
                <w:noProof/>
                <w:color w:val="000000"/>
                <w:sz w:val="14"/>
                <w:szCs w:val="14"/>
              </w:rPr>
              <w:t xml:space="preserve">(SAN/234_5R) </w:t>
            </w:r>
          </w:p>
        </w:tc>
        <w:tc>
          <w:tcPr>
            <w:tcW w:w="1273"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rPr>
            </w:pPr>
            <w:r>
              <w:rPr>
                <w:noProof/>
                <w:color w:val="000000"/>
                <w:sz w:val="14"/>
                <w:szCs w:val="14"/>
              </w:rPr>
              <w:t xml:space="preserve">(SAN/234_6) </w:t>
            </w:r>
          </w:p>
        </w:tc>
        <w:tc>
          <w:tcPr>
            <w:tcW w:w="1276"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rPr>
            </w:pPr>
            <w:r>
              <w:rPr>
                <w:noProof/>
                <w:color w:val="000000"/>
                <w:sz w:val="14"/>
                <w:szCs w:val="14"/>
              </w:rPr>
              <w:t>(SAN/234_7R)</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Дания</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Германия</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Швеция</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Съюз</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Обединено кралство</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 xml:space="preserve"> </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rPr>
            </w:pPr>
            <w:r>
              <w:rPr>
                <w:noProof/>
                <w:color w:val="000000"/>
                <w:sz w:val="14"/>
                <w:szCs w:val="14"/>
              </w:rPr>
              <w:t>Общо</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rPr>
            </w:pPr>
            <w:r>
              <w:rPr>
                <w:noProof/>
                <w:sz w:val="14"/>
                <w:szCs w:val="14"/>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rPr>
            </w:pPr>
            <w:r>
              <w:rPr>
                <w:noProof/>
                <w:color w:val="000000"/>
                <w:sz w:val="14"/>
                <w:szCs w:val="14"/>
              </w:rPr>
              <w:t xml:space="preserve"> 0</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аргентина</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1 и 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Argentina silus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(ARU/1/2.)</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аргентина</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3a и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Argentina silus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(ARU/3A4-C)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аргентина</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5, 6 и 7</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Argentina silus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(ARU/567.)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Менек</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1, 2 и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(USK/1214EI)</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Други</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Изключително за прилов. В рамките на тази квота не се разрешава целеви риболов. Уловът, който се приспада от тази обща квота, се докладва отделно (USK/1214EI_AMS).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Менек</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(USK/04-C.)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Други</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Изключително за прилов. В рамките на тази квота не се разрешава целеви риболов. Уловът, който се приспада от тази обща квота, се докладва отделно (USK/04-C_AMS).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Менек</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5, 6 и 7</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(USK/567EI.)</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Други</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(2)(3)(4)(5)</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Изключително за прилов. В рамките на тази квота не се разрешава целеви риболов. Уловът, който се приспада от тази обща квота, се докладва отделно (USK/567EI_AMS).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Риболовът се извършва във водите на Съюза от 2a, 4, 5b, 6 и 7 (USK/*24X7C).</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които по всяко време в 5b, 6 и 7 е разрешен случаен улов на други видове от 25 % на кораб. Този процент обаче може да бъде превишен в първите 24 часа след началото на риболова на конкретно място. Общият случаен улов на други видове в 5b, 6 и 7 не надвишава посоченото по-долу количество в тонове (OTH/*5B67-). Приловът на атлантическа треска съгласно тази разпоредба в зона 6а не може да надвишава 5 %.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Включително молва. Риболов по следните квоти на Норвегия в 5b, 6 и 7 се извършва само с парагади:</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single" w:sz="4" w:space="0" w:color="auto"/>
              <w:left w:val="single" w:sz="4" w:space="0" w:color="auto"/>
              <w:bottom w:val="single" w:sz="4" w:space="0" w:color="auto"/>
              <w:right w:val="single" w:sz="4" w:space="0" w:color="auto"/>
            </w:tcBorders>
            <w:shd w:val="clear" w:color="auto" w:fill="auto"/>
            <w:noWrap/>
            <w:hideMark/>
          </w:tcPr>
          <w:p>
            <w:pPr>
              <w:spacing w:after="0"/>
              <w:rPr>
                <w:rFonts w:eastAsia="Times New Roman"/>
                <w:b/>
                <w:bCs/>
                <w:noProof/>
                <w:sz w:val="18"/>
                <w:szCs w:val="18"/>
              </w:rPr>
            </w:pPr>
            <w:r>
              <w:rPr>
                <w:b/>
                <w:bCs/>
                <w:noProof/>
                <w:sz w:val="18"/>
                <w:szCs w:val="18"/>
                <w:vertAlign w:val="superscript"/>
              </w:rPr>
              <w:t>Молва  (LIN/*5B67-)</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sz w:val="18"/>
                <w:szCs w:val="18"/>
              </w:rPr>
            </w:pPr>
            <w:r>
              <w:rPr>
                <w:b/>
                <w:bCs/>
                <w:noProof/>
                <w:sz w:val="18"/>
                <w:szCs w:val="18"/>
                <w:vertAlign w:val="superscript"/>
              </w:rPr>
              <w:t>Менек  (USK/*5B67-)</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(5)</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Квотите на Норвегия за менек и молва са взаимозаменяеми до следното количество в тонове:</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Менек</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(USK/04-N.)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Капрови риби</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6, 7 и 8</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Caproidae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(BOR/678-)</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Херинга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(HER/03A.)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Фарьорски острови</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Улов на херинга при риболов с мрежи с размери на окото ≥ 32 mm.</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до pm % от това количество може да се ловят във водите на Съюза от 4 (HER/*04-C.).</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436" w:type="dxa"/>
            <w:tcBorders>
              <w:top w:val="nil"/>
              <w:left w:val="nil"/>
              <w:bottom w:val="nil"/>
              <w:right w:val="nil"/>
            </w:tcBorders>
            <w:shd w:val="clear" w:color="auto" w:fill="auto"/>
            <w:noWrap/>
            <w:vAlign w:val="bottom"/>
            <w:hideMark/>
          </w:tcPr>
          <w:p>
            <w:pPr>
              <w:spacing w:after="0"/>
              <w:rPr>
                <w:rFonts w:eastAsia="Times New Roman"/>
                <w:noProof/>
                <w:color w:val="000000"/>
                <w:sz w:val="18"/>
                <w:szCs w:val="18"/>
              </w:rPr>
            </w:pPr>
            <w:r>
              <w:rPr>
                <w:noProof/>
                <w:color w:val="000000"/>
                <w:sz w:val="18"/>
                <w:szCs w:val="18"/>
                <w:vertAlign w:val="superscript"/>
              </w:rPr>
              <w:t>Може да се лови само в Скагерак (HER/*03AN.).</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Херинга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норвежки води от 4 на север от 53° 30′ с. ш.</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(HER/4АB.)</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Фарьорски острови</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Норвегия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Улов на херинга при риболов с мрежи с размери на окото ≥ 32 mm.</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Уловът в рамките на тази квота се приспада от дела на Норвегия в ОДУ. Уловът в рамките на тази квота във водите на Съюза от 4a и 4b (HER/*4AB-C) не може да надвишава посоченото по-долу количество. Ще бъде предоставено допълнително количество от най-много 10 000 тона, ако Норвегия поиска такова увеличение.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Специално условие: уловът на Съюза в рамките на определените по-горе квоти не може да надвишава посочените по-долу количества в норвежките води на юг от 62° с.ш. Ще бъде предоставено допълнително количество от най-много 10 000 тона, ако Европейският съюз поиска такова увеличение.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1680"/>
        </w:trPr>
        <w:tc>
          <w:tcPr>
            <w:tcW w:w="4145" w:type="dxa"/>
            <w:gridSpan w:val="3"/>
            <w:tcBorders>
              <w:top w:val="nil"/>
              <w:left w:val="nil"/>
              <w:bottom w:val="single" w:sz="4" w:space="0" w:color="auto"/>
              <w:right w:val="nil"/>
            </w:tcBorders>
            <w:shd w:val="clear" w:color="auto" w:fill="auto"/>
            <w:hideMark/>
          </w:tcPr>
          <w:p>
            <w:pPr>
              <w:spacing w:after="0"/>
              <w:rPr>
                <w:rFonts w:ascii="Calibri" w:eastAsia="Times New Roman" w:hAnsi="Calibri" w:cs="Calibri"/>
                <w:noProof/>
                <w:color w:val="000000"/>
                <w:sz w:val="18"/>
                <w:szCs w:val="18"/>
              </w:rPr>
            </w:pPr>
            <w:r>
              <w:rPr>
                <w:noProof/>
                <w:color w:val="000000"/>
                <w:sz w:val="18"/>
                <w:szCs w:val="18"/>
              </w:rPr>
              <w:t>Норвежки води на юг от 62° с.ш. (HER/*4N-S62)</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Херинга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на юг от 62° с.ш.</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атлантическа треска, пикша, сребриста сайда, меджид и сайда се приспада от квотата за тези видове.</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Херинга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(HER/03A-BC)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Изключително за улов на херинга, получен като прилов при риболов с мрежи с размери на окото &lt; 32 mm.</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Херинга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4, 7d и води на Съюза от 2a</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(HER/2A47DX)</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sz w:val="18"/>
                <w:szCs w:val="18"/>
                <w:vertAlign w:val="superscript"/>
              </w:rPr>
              <w:t>Изключително за улов на херинга, получен като прилов при риболов с мрежи с размери на окото &lt; 32 mm.</w:t>
            </w:r>
            <w:r>
              <w:rPr>
                <w:noProof/>
                <w:color w:val="000000"/>
                <w:sz w:val="18"/>
                <w:szCs w:val="18"/>
              </w:rPr>
              <w:t xml:space="preserve"> </w:t>
            </w:r>
          </w:p>
        </w:tc>
      </w:tr>
      <w:tr>
        <w:trPr>
          <w:trHeight w:val="270"/>
        </w:trPr>
        <w:tc>
          <w:tcPr>
            <w:tcW w:w="142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auto"/>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Херинга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4c, 7d(2)</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(HER/4CXB7D)</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Изключително за улов на херинга, получен при риболов с мрежи с размери на окото ≥ 32 mm.</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 изключение на запаса край Blackwater: отнася се до запаса от херинга в морския район на естуара на Темза в рамките на зона, ограничена от локсодромата, преминаваща на юг от Landguard Point (51° 56' с.ш., 1° 19.1' и.д.) до 51° 33' с.ш. и оттам — на запад до точка от брега на Обединеното кралство.</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до 50 % от тази квота може да се ловят в 4b (HER/*04B.).</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Херинга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5b, 6b и 6aN(1)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(HER/5B6ANB)</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Отнася се до запасите от херинга в частта от зона 6a на ICES, която се намира на изток от 7° з.д. и на север от 55° с.ш., или на запад от 7° з.д. и на север от 56° с.ш., с изключение на Clyde. </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single" w:sz="8" w:space="0" w:color="auto"/>
              <w:right w:val="nil"/>
            </w:tcBorders>
            <w:shd w:val="clear" w:color="auto" w:fill="auto"/>
            <w:noWrap/>
            <w:vAlign w:val="bottom"/>
            <w:hideMark/>
          </w:tcPr>
          <w:p>
            <w:pPr>
              <w:spacing w:after="0"/>
              <w:rPr>
                <w:rFonts w:eastAsia="Times New Roman"/>
                <w:noProof/>
                <w:sz w:val="18"/>
                <w:szCs w:val="18"/>
              </w:rPr>
            </w:pPr>
            <w:r>
              <w:rPr>
                <w:noProof/>
                <w:sz w:val="18"/>
                <w:szCs w:val="18"/>
                <w:vertAlign w:val="superscript"/>
              </w:rPr>
              <w:t>Забранява се целевият риболов на херинга в частта от зоните на ICES, за която се прилага определеният ОДУ и която се намира между 56° с. ш. и 57° 30' с. ш., с изключение на зоната от шест морски мили, измерена от изходната линия на териториалните води на Обединеното кралство.</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Херинга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6aS(1), 7b, 7c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(HER/6AS7BC)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vertAlign w:val="superscript"/>
              </w:rPr>
              <w:t>Отнася се до запаса от херинга в 6a на юг от 56° 00' с.ш. и на запад от 07° 00' з.д.</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Херинга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 Clyde(1)</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(HER/06ACL.)</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Запас в Clyde: отнася се до запаса от херинга в морския регион, разположен североизточно от линия, очертана между:</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нос Kintyre (55° 17.9' с.ш., 05° 47.8' з.д.); </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точка с координати 55° 04' с.ш., 05° 23' з.д. и</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Corsewall Point (55° 00.5' с.ш., 05° 09.4' з.д.).</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Херинга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7a(1)</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(HER/07A/MM)</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Обединено кралство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Тази зона се намалява с района, ограничен от следните географски координати:</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на север от 52° 30' с.ш.,</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на юг от 52° 00' с.ш.,</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на запад от бреговете на Ирландия,</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на изток от бреговете на Обединеното кралство.</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Херинга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7e и 7f</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(HER/7EF.)</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Съюз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Херинга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7g(1), 7h(1), 7j(1) и7k(1)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(HER/7G-K.)</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Съюз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Тази зона се увеличава с района, ограничен от следните географски координати:</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на север от 52° 30' с.ш.,</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на юг от 52° 00' с.ш.,</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на запад от бреговете на Ирландия,</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на изток от бреговете на Обединеното кралство.</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Квотата може да се разпределя само между кораби, участващи в контролния риболов за събиране на данни за този запас по преценка на ICES. Името (имената) на кораба (корабите) се съобщават на Комисията от съответните държави членки, преди те да разрешат какъвто и да било улов.</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Хамсия</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Engraulis encrasicolus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(ANE/08.)</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vAlign w:val="bottom"/>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Хамсия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9 и 10; води на Съюза от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Engraulis encrasicolus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(ANE/9/3411)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Риболов по тази квота може да се извършва само от 1 юли 2021 г. до 30 юни 2022 г. </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треска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Скагерак</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(COD/03AN.)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треска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Категат</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(COD/03AS.)</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Изключително за прилов. В рамките на тази квота не се разрешава целеви риболов.</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треска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4; води на Съюза от 2а; частта от 3а, която не попада в Скагерак и Категат</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(COD/2A3AX4)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Специално условие: от които до 5 % може да се ловят в 7d (COD/*07D.).</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Може да се ловят във водите на Съюза. Уловът по тази квота се приспада от дела на Норвегия от ОДУ.</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Специално условие: уловът в рамките на определените по-горе квоти не може да надвишава посочените по-долу количества в следната зона:</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5279" w:type="dxa"/>
            <w:gridSpan w:val="4"/>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4 (COD/*04N-)</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треска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на юг от 62° с.ш.</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(COD/4N-S62)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пикша, сребриста сайда, меджид и сайда се приспада от квотата за тези видове.</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треска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6b; води на Съюза и международни води от 5b на запад от 12° 00' з.д. и от 12 и 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(COD/5W6-14)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треска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6a; води на Съюза и международни води от 5b на изток от 12° 00' з.д.</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(COD/5BE6A)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Обединено кралство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Изключително за прилов на атлантическа треска при риболов на други видове. В рамките на тази квота не се разрешава целеви риболов на атлантическа треска.</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треска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(COD/07A.)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Съюз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Изключително за прилов. В рамките на тази квота не се разрешава целеви риболов.</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треска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7b, 7c, 7e—k, 8, 9 и 10; води на Съюза</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от CECAF 34.1.1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(COD/7XAD34)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vAlign w:val="bottom"/>
            <w:hideMark/>
          </w:tcPr>
          <w:p>
            <w:pPr>
              <w:spacing w:after="0"/>
              <w:rPr>
                <w:rFonts w:eastAsia="Times New Roman"/>
                <w:noProof/>
                <w:color w:val="000000"/>
                <w:sz w:val="18"/>
                <w:szCs w:val="18"/>
              </w:rPr>
            </w:pPr>
            <w:r>
              <w:rPr>
                <w:rFonts w:ascii="Cambria" w:hAnsi="Cambria"/>
                <w:noProof/>
                <w:sz w:val="20"/>
                <w:szCs w:val="20"/>
                <w:vertAlign w:val="superscript"/>
              </w:rPr>
              <w:t>Изключително за прилов на атлантическа треска при риболов на други видове. В рамките на тази квота не се разрешава целеви риболов на атлантическа треска.</w:t>
            </w:r>
            <w:r>
              <w:rPr>
                <w:noProof/>
                <w:color w:val="000000"/>
                <w:sz w:val="18"/>
                <w:szCs w:val="18"/>
              </w:rPr>
              <w:t xml:space="preserve"> </w:t>
            </w:r>
          </w:p>
        </w:tc>
      </w:tr>
      <w:tr>
        <w:trPr>
          <w:trHeight w:val="270"/>
        </w:trPr>
        <w:tc>
          <w:tcPr>
            <w:tcW w:w="142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auto"/>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Атлантическа треска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7d</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Gadus morhua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(COD/07D.)</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Съюз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Специално условие: от които до 5 % може да се ловят в 4; води на Съюза от 2a; частта от 3а, която не попада в Скагерак и Категат (COD/*2A3X4).</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Мегрим, видове</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и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 xml:space="preserve">Lepidorhombus </w:t>
            </w:r>
            <w:r>
              <w:rPr>
                <w:noProof/>
                <w:sz w:val="18"/>
                <w:szCs w:val="18"/>
              </w:rPr>
              <w:t>spp</w:t>
            </w:r>
            <w:r>
              <w:rPr>
                <w:i/>
                <w:iCs/>
                <w:noProof/>
                <w:sz w:val="18"/>
                <w:szCs w:val="18"/>
              </w:rPr>
              <w:t>.</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(LEZ/2AC4-C)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Мегрим, видове</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5b; 6;</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 xml:space="preserve">Lepidorhombus </w:t>
            </w:r>
            <w:r>
              <w:rPr>
                <w:noProof/>
                <w:sz w:val="18"/>
                <w:szCs w:val="18"/>
              </w:rPr>
              <w:t>spp</w:t>
            </w:r>
            <w:r>
              <w:rPr>
                <w:i/>
                <w:iCs/>
                <w:noProof/>
                <w:sz w:val="18"/>
                <w:szCs w:val="18"/>
              </w:rPr>
              <w:t>.</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международни води от 12 и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(LEZ/56-14)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Обединено кралство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Специално условие: от които до 5 % може да се ловят във водите на Съюза от 2a и 4 (LEZ/*2AC4C).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right w:val="nil"/>
            </w:tcBorders>
            <w:shd w:val="clear" w:color="auto" w:fill="auto"/>
            <w:noWrap/>
            <w:hideMark/>
          </w:tcPr>
          <w:p>
            <w:pPr>
              <w:spacing w:after="0"/>
              <w:rPr>
                <w:rFonts w:eastAsia="Times New Roman"/>
                <w:noProof/>
                <w:sz w:val="18"/>
                <w:szCs w:val="18"/>
              </w:rPr>
            </w:pPr>
            <w:r>
              <w:rPr>
                <w:noProof/>
                <w:sz w:val="18"/>
                <w:szCs w:val="18"/>
              </w:rPr>
              <w:t>Мегрим, видове</w:t>
            </w: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sz w:val="18"/>
                <w:szCs w:val="18"/>
              </w:rPr>
              <w:t xml:space="preserve">Lepidorhombus </w:t>
            </w:r>
            <w:r>
              <w:rPr>
                <w:noProof/>
                <w:sz w:val="18"/>
                <w:szCs w:val="18"/>
              </w:rPr>
              <w:t>spp</w:t>
            </w:r>
            <w:r>
              <w:rPr>
                <w:i/>
                <w:iCs/>
                <w:noProof/>
                <w:sz w:val="18"/>
                <w:szCs w:val="18"/>
              </w:rPr>
              <w:t>.</w:t>
            </w: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(LEZ/07.)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auto"/>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auto"/>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10 % от тази квота могат да бъдат използвани в зони 8a, 8b, 8d и 8e (LEZ/*8ABDE) за прилов при целеви риболов на морски език.</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35 % от тази квота може да се ловят в 8a, 8b, 8d и 8e (LEZ/*8ABDE).</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Мегрим, видове</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8a, 8b, 8d и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 xml:space="preserve">Lepidorhombus </w:t>
            </w:r>
            <w:r>
              <w:rPr>
                <w:noProof/>
                <w:sz w:val="18"/>
                <w:szCs w:val="18"/>
              </w:rPr>
              <w:t>spp</w:t>
            </w:r>
            <w:r>
              <w:rPr>
                <w:i/>
                <w:iCs/>
                <w:noProof/>
                <w:sz w:val="18"/>
                <w:szCs w:val="18"/>
              </w:rPr>
              <w:t>.</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(LEZ/8ABDE.)</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Мегрим, видове</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8c, 9 и 10; води на Съюза от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 xml:space="preserve">Lepidorhombus </w:t>
            </w:r>
            <w:r>
              <w:rPr>
                <w:noProof/>
                <w:sz w:val="18"/>
                <w:szCs w:val="18"/>
              </w:rPr>
              <w:t>spp</w:t>
            </w:r>
            <w:r>
              <w:rPr>
                <w:i/>
                <w:iCs/>
                <w:noProof/>
                <w:sz w:val="18"/>
                <w:szCs w:val="18"/>
              </w:rPr>
              <w:t>.</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(LEZ/8C3411)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1 912</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96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64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2 072</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2 158</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Морски дявол</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и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Специално условие: от които до 10 % може да се ловят в 6; води на Съюза и международни води от 5b; международни води от 12 и 14 (ANF/*56-14).</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Морски дявол</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(ANF/04-N.)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Морски дявол</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 води на Съюза и международни води от 5b; международни води от 12 и 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Специално условие: от които до 5 % може да се ловят във води на Съюза от 2a и 4 (ANF/*2AC4C).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Морски дявол</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(ANF/07.)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които до 10 % може да се ловят в 8a, 8b, 8d и 8e (ANF/*8ABDE).</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Морски дявол</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8a, 8b, 8d и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(ANF/8ABDE.)</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Морски дявол</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8c, 9 и 10; води на Съюза от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Lophiidae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(ANF/8C3411)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2 934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3</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584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3 521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3 672</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Пикша</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sz w:val="18"/>
                <w:szCs w:val="18"/>
              </w:rPr>
            </w:pPr>
            <w:r>
              <w:rPr>
                <w:i/>
                <w:iCs/>
                <w:noProof/>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(HAD/03A.)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Пикша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4; води на Съюза от 2a</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(HAD/2AC4.)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Швеция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Специално условие: уловът в рамките на определените по-горе квоти не може да надвишава посочените по-долу количества в следните зони:</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4145" w:type="dxa"/>
            <w:gridSpan w:val="3"/>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4 (HAD/*04N-)</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Пикша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на юг от 62° с.ш.</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атлантическа треска, сребриста сайда, меджид и сайда се приспада от квотата за тези видове.</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Пикша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6b, 12 и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(HAD/6B1214)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Пикша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5b и 6а</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(HAD/5BC6A.)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Не повече от 10 % от тази квота може да се ловят в 4; води на Съюза от 2a (HAD/*2AC4.).</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Пикша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7b—k, 8, 9 и 10; води на Съюза от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(HAD/7X7A34)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Пикша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(HAD/07A.)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Меджид</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(WHG/03A.)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Меджид</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4; води на Съюза от 2a</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(WHG/2AC4.)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Швеция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Може да се ловят във водите на Съюза. Уловът по тази квота се приспада от дела на Норвегия от ОДУ.</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Специално условие: уловът в рамките на определените по-горе квоти не може да надвишава посочените по-долу количества в следните зони:</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4145" w:type="dxa"/>
            <w:gridSpan w:val="3"/>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4 (WHG/*04N-)</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Меджид</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 води на Съюза и международни води от 5b; международни води от 12 и 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Изключително за прилов на меджид при риболов на други видове. В рамките на тази квота не се разрешава целеви риболов на меджид.</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Меджид</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(WHG/07A.)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Изключително за прилов на меджид при риболов на други видове. В рамките на тази квота не се разрешава целеви риболов на меджид.</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Меджид</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7b, 7c, 7d, 7e, 7f, 7g, 7h, 7j и 7k</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(WHG/7X7A-C)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Съюз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Меджид</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(WHG/08.)</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Меджид и сребриста сайда</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на юг от 62° с.ш.</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Merlangius merlangus и</w:t>
            </w:r>
          </w:p>
        </w:tc>
        <w:tc>
          <w:tcPr>
            <w:tcW w:w="1276" w:type="dxa"/>
            <w:tcBorders>
              <w:top w:val="nil"/>
              <w:left w:val="single" w:sz="8" w:space="0" w:color="000000"/>
              <w:bottom w:val="nil"/>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(W/P/4N-S62)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атлантическа треска, пикша и сайда се приспада от квотата за тези видове.</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Мерлуза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(HKE/03A.)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От тази квота могат да се правят прехвърляния към водите на Съюза от 2a и 4. За тези прехвърляния обаче се изпраща предварително уведомление до Комисията.</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Мерлуза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и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(HKE/2AC4-C)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Не повече от 10 % от тази квота могат да се използват за прилов в 3a (HKE/*03A.).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Мерлуза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 и 7; води на Съюза и международни води от 5b;</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Merluccius merluccius</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международни води от 12 и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(HKE/571214)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От тази квота могат да се правят прехвърляния към водите на Съюза от 2a и 4. За тези прехвърляния обаче се изпраща предварително уведомление до Комисията.</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Специално условие: уловът в рамките на определените по-горе квоти не може да надвишава посочените по-долу количества в следните зони:</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1200"/>
        </w:trPr>
        <w:tc>
          <w:tcPr>
            <w:tcW w:w="4145" w:type="dxa"/>
            <w:gridSpan w:val="3"/>
            <w:tcBorders>
              <w:top w:val="nil"/>
              <w:left w:val="nil"/>
              <w:bottom w:val="single" w:sz="4" w:space="0" w:color="auto"/>
              <w:right w:val="nil"/>
            </w:tcBorders>
            <w:shd w:val="clear" w:color="auto" w:fill="auto"/>
            <w:hideMark/>
          </w:tcPr>
          <w:p>
            <w:pPr>
              <w:spacing w:after="0"/>
              <w:rPr>
                <w:rFonts w:ascii="Calibri" w:eastAsia="Times New Roman" w:hAnsi="Calibri" w:cs="Calibri"/>
                <w:noProof/>
                <w:color w:val="000000"/>
                <w:sz w:val="18"/>
                <w:szCs w:val="18"/>
              </w:rPr>
            </w:pPr>
            <w:r>
              <w:rPr>
                <w:noProof/>
                <w:color w:val="000000"/>
                <w:sz w:val="18"/>
                <w:szCs w:val="18"/>
              </w:rPr>
              <w:t>8a, 8b, 8d и 8e (HKE/*8ABDE)</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Мерлуза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8a, 8b, 8d и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(HKE/8ABDE.)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От тази квота могат да се правят прехвърляния към 4 и водите на Съюза от 2a. За тези прехвърляния обаче се изпраща предварително уведомление до Комисията.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Специално условие: уловът в рамките на определените по-горе квоти не може да надвишава посочените по-долу количества в следните зони:</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6 и 7; води на Съюза и международни води от 5b; международни води от 12 и 14 (HKE/*57-14)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Мерлуза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8c, 9 и 10; води на Съюза от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(HKE/8C3411)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4 889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469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2 281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7 639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7 825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Син меджид</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2 и 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(WHB/24-N.)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Син меджид</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Води на Съюза и международни води от 1, 2, 3, 4, 5, 6, 7, 8a, 8b, 8d, 8e, 12 и 14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(WHB/1X14)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Фарьорски острови</w:t>
            </w: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tcPr>
          <w:p>
            <w:pPr>
              <w:spacing w:after="0"/>
              <w:jc w:val="left"/>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00"/>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в рамките на общото количество за достъп от pm тона за Съюза държавите членки могат да ловят риба до следните проценти от съответните им квоти във фарьорски води (WHB/*05-F.): pm</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От тази квота могат да се правят прехвърляния към 8c, 9 и 10; води на Съюза от CECAF 34.1.1. За тези прехвърляния обаче се изпраща предварително уведомление до Комисията.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квотите за ЕС във водите на Съюза и международните води от 1, 2, 3, 4, 5, 6, 7, 8a, 8b, 8d, 8e, 12 и 14 (WHB/*NZJM1) и в 8c, 9 и 10; води на Съюза от CECAF 34.1.1 (WHB/*NZJM2), следното количество може да се лови в норвежката икономическа зона или в риболовната зона около остров Ян Майен:</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Син меджид</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8c, 9 и 10; води на Съюза от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(WHB/8C3411)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квотите за ЕС във водите на Съюза и международните води от 1, 2, 3, 4, 5, 6, 7, 8a, 8b, 8d, 8e, 12 и 14 (WHB/*NZJM1) и в 8c, 9 и 10; води на Съюза от CECAF 34.1.1 (WHB/*NZJM2), следното количество може да се лови в норвежката икономическа зона или в риболовната зона около остров Ян Майен:</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Син меджид</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 4a, 5, 6 на север от 56° 30' с.ш. и 7 на запад от 12° з.д.</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(WHB/24A567)</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Фарьорски острови</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 (4)</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Приспадат се от ограниченията на улова за Норвегия, определени по спогодбата на крайбрежните държави.</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уловът в 4a не надвишава следното количество (WHB/*04A-C):</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Това ограничение на улова в 4а възлиза на следния процент от квотата за достъп на Норвегия:</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 %</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5129" w:type="dxa"/>
            <w:gridSpan w:val="4"/>
            <w:tcBorders>
              <w:top w:val="nil"/>
              <w:left w:val="nil"/>
              <w:bottom w:val="nil"/>
              <w:right w:val="nil"/>
            </w:tcBorders>
            <w:shd w:val="clear" w:color="auto" w:fill="auto"/>
            <w:noWrap/>
            <w:vAlign w:val="bottom"/>
            <w:hideMark/>
          </w:tcPr>
          <w:p>
            <w:pPr>
              <w:spacing w:after="0"/>
              <w:rPr>
                <w:rFonts w:eastAsia="Times New Roman"/>
                <w:noProof/>
                <w:color w:val="000000"/>
                <w:sz w:val="18"/>
                <w:szCs w:val="18"/>
              </w:rPr>
            </w:pPr>
            <w:r>
              <w:rPr>
                <w:noProof/>
                <w:color w:val="000000"/>
                <w:sz w:val="18"/>
                <w:szCs w:val="18"/>
                <w:vertAlign w:val="superscript"/>
              </w:rPr>
              <w:t>Приспадат се от ограниченията на улова за Фарьорските острови.</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(4)</w:t>
            </w:r>
          </w:p>
        </w:tc>
        <w:tc>
          <w:tcPr>
            <w:tcW w:w="8815" w:type="dxa"/>
            <w:gridSpan w:val="7"/>
            <w:tcBorders>
              <w:top w:val="nil"/>
              <w:left w:val="nil"/>
              <w:bottom w:val="nil"/>
              <w:right w:val="nil"/>
            </w:tcBorders>
            <w:shd w:val="clear" w:color="auto" w:fill="auto"/>
            <w:noWrap/>
            <w:vAlign w:val="bottom"/>
            <w:hideMark/>
          </w:tcPr>
          <w:p>
            <w:pPr>
              <w:spacing w:after="0"/>
              <w:rPr>
                <w:rFonts w:eastAsia="Times New Roman"/>
                <w:noProof/>
                <w:sz w:val="18"/>
                <w:szCs w:val="18"/>
              </w:rPr>
            </w:pPr>
            <w:r>
              <w:rPr>
                <w:noProof/>
                <w:sz w:val="18"/>
                <w:szCs w:val="18"/>
                <w:vertAlign w:val="superscript"/>
              </w:rPr>
              <w:t>Специални условия: риболовът може да се извършва също в 6b (WHB/*06B-C). Уловът в 4a не надвишава следното количество (WHB/*04A-C):</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vAlign w:val="bottom"/>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Малоуста писия и червена писия</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и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Microstomus kitt и</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(L/W/2AC4-C)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Glyptocephalus cynoglossus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Синя молва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5b, 6 и 7</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(BLI/5B67-)</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Естония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Литва</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Полша</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Други</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Фарьорски острови</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sz w:val="20"/>
                <w:szCs w:val="20"/>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rPr>
            </w:pPr>
            <w:r>
              <w:rPr>
                <w:noProof/>
                <w:sz w:val="20"/>
                <w:szCs w:val="20"/>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Изключително за прилов. В рамките на тази квота не се разрешава целеви риболов. Уловът, който се приспада от тази обща квота, се докладва отделно (BLI/5B67_AMS).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Риболовът се извършва във водите на Съюза от 2a, 4, 5b, 6 и 7 (BLI/*24X7C).</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гренадир и афанопус се приспада от тази квота. Риболовът се извършва във водите на Съюза от 6a на север от 56° 30' с.ш. и 6b. Настоящата разпоредба не се прилага за улова, по отношение на който се прилага задължението за разтоварване на сушата.</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Синя молва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Международни води от 12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(BLI/12INT-)</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Естония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Литва</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Други</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Изключително за прилов. В рамките на тази квота не се разрешава целеви риболов. Уловът, който се приспада от тази обща квота, се докладва отделно (BLI/12INT_AMS).</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Синя молва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2 и 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(BLI/24-)</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Други</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Изключително за прилов. В рамките на тази квота не се разрешава целеви риболов. Уловът, който се приспада от тази обща квота, се докладва отделно (BLI/24_AMS).</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Синя молва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3a</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(BLI/03A-)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Молва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1 и 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(LIN/1/2.)</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Други</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Изключително за прилов. В рамките на тази квота не се разрешава целеви риболов. Уловът, който се приспада от тази обща квота, се докладва отделно (LIN/1/2_AMS).</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Молва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3a</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(LIN/03A-C.)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Молва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(LIN/04-C.)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Специално условие: от които до 25 %, но не повече от 75 t, може да се ловят във: води на Съюза от 3a (LIN/*03A-C).</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Молва</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5</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(LIN/05EI.)</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Молва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6, 7, 8, 9, 10, 12 и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(LIN/6X14.)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Фарьорски острови</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(5)(6)</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Специално условие: от които до 35 % може да се ловят във: води на Съюза от 4 (LIN/*04-C.).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които във всеки момент в 5b, 6 и 7 е разрешен случаен улов на други видове от 25 % на кораб. Този процент обаче може да бъде превишен в първите 24 часа след началото на риболова на конкретно място. Общият случаен улов на други видове в 5b, 6 и 7 не надвишава посоченото по-долу количество в тонове (OTH/*6X14.). Приловът на атлантическа треска съгласно тази разпоредба в зона 6а не може да надвишава 5 %.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Включително менек. Риболов по квотите на Норвегия в 5b, 6 и 7 се извършва само с парагади, като квотите възлизат на:</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pPr>
              <w:spacing w:after="0"/>
              <w:rPr>
                <w:rFonts w:eastAsia="Times New Roman"/>
                <w:noProof/>
                <w:sz w:val="18"/>
                <w:szCs w:val="18"/>
              </w:rPr>
            </w:pPr>
            <w:r>
              <w:rPr>
                <w:noProof/>
                <w:sz w:val="18"/>
                <w:szCs w:val="18"/>
                <w:vertAlign w:val="superscript"/>
              </w:rPr>
              <w:t>Молва (LIN/*5B67-)</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single" w:sz="4" w:space="0" w:color="auto"/>
              <w:bottom w:val="single" w:sz="4" w:space="0" w:color="auto"/>
              <w:right w:val="single" w:sz="4" w:space="0" w:color="auto"/>
            </w:tcBorders>
            <w:shd w:val="clear" w:color="auto" w:fill="auto"/>
            <w:noWrap/>
            <w:vAlign w:val="center"/>
            <w:hideMark/>
          </w:tcPr>
          <w:p>
            <w:pPr>
              <w:spacing w:after="0"/>
              <w:rPr>
                <w:rFonts w:eastAsia="Times New Roman"/>
                <w:noProof/>
                <w:sz w:val="18"/>
                <w:szCs w:val="18"/>
              </w:rPr>
            </w:pPr>
            <w:r>
              <w:rPr>
                <w:noProof/>
                <w:sz w:val="18"/>
                <w:szCs w:val="18"/>
                <w:vertAlign w:val="superscript"/>
              </w:rPr>
              <w:t>Менек (USK/*5B67-)</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(4)</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Квотите на Норвегия за молва и менек са взаимозаменяеми до следното количество в тонове:</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(5)</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Включително менек. Риболовът се извършва в 6b и 6a на север от 56° 30' с.ш. (LIN/*6BAN.).</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(6)</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които по всяко време в 6а и 6b е разрешен случаен улов на други видове в размер на 20 % на кораб. Този процент обаче може да бъде превишен в първите 24 часа след началото на риболова на конкретно място. Общият случаен улов на други видове в 6a и 6b не надвишава следното количество в тонове (OTH/*6AB.):</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vertAlign w:val="superscript"/>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Молва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(LIN/04-N.)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Норвежки омар</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(NEP/03A.)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Дания </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0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Норвежки омар</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и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4"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Норвежки омар</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(NEP/04-N.)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Норвежки омар</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 води на Съюза и международни води от 5b</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(NEP/5BC6.)</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Норвежки омар</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(NEP/07.)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Специално условие: уловът в рамките на определените по-горе квоти не може да надвишава посочените по-долу количества в следната зона:</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5279" w:type="dxa"/>
            <w:gridSpan w:val="4"/>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Функционална единица 16 от подзона 7 на ICES (NEP/*07U16):</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vertAlign w:val="superscript"/>
              </w:rPr>
            </w:pPr>
            <w:r>
              <w:rPr>
                <w:noProof/>
                <w:color w:val="000000"/>
                <w:sz w:val="18"/>
                <w:szCs w:val="18"/>
                <w:vertAlign w:val="superscript"/>
              </w:rPr>
              <w:t>Обединено кралство</w:t>
            </w: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vertAlign w:val="superscript"/>
                <w:lang w:eastAsia="en-GB"/>
              </w:rPr>
            </w:pPr>
          </w:p>
        </w:tc>
        <w:tc>
          <w:tcPr>
            <w:tcW w:w="1283" w:type="dxa"/>
            <w:tcBorders>
              <w:top w:val="nil"/>
              <w:left w:val="nil"/>
              <w:bottom w:val="nil"/>
              <w:right w:val="nil"/>
            </w:tcBorders>
            <w:shd w:val="clear" w:color="auto" w:fill="auto"/>
            <w:noWrap/>
          </w:tcPr>
          <w:p>
            <w:pPr>
              <w:spacing w:after="0"/>
              <w:jc w:val="center"/>
              <w:rPr>
                <w:rFonts w:eastAsia="Times New Roman"/>
                <w:noProof/>
                <w:color w:val="000000"/>
                <w:sz w:val="18"/>
                <w:szCs w:val="18"/>
                <w:vertAlign w:val="superscript"/>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Норвежки омар</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8a, 8b, 8d и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(NEP/8ABDE.)</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Норвежки омар</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(NEP/08C.)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0,0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2,4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0241" w:type="dxa"/>
            <w:gridSpan w:val="8"/>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Изключително за улов, получен в рамките на контролен риболов за събиране на данни относно улова за единица усилие с кораби, на които се намират наблюдатели:</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1,7 тона във функционална единица 25 в продължение на пет месечни рейса през август и септември;</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0,7 тона във функционална единица 31 в продължение на 7 дни през юли.</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Норвежки омар</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9 и 10; води на Съюза от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(NEP/9/3411)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От които не повече от 6 % може да се ловят във функционални единици 26 и 27 от участък 9a на ICES (NEP/*9U267).</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Уловът в рамките на определения по-горе ОДУ не може да надвишава посоченото по-долу количество във функционална единица 30 от участък 9a на ICES (NEP/*9U30):</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jc w:val="center"/>
              <w:rPr>
                <w:rFonts w:eastAsia="Times New Roman"/>
                <w:noProof/>
                <w:sz w:val="18"/>
                <w:szCs w:val="18"/>
              </w:rPr>
            </w:pPr>
            <w:r>
              <w:rPr>
                <w:noProof/>
                <w:sz w:val="18"/>
                <w:szCs w:val="18"/>
                <w:vertAlign w:val="superscript"/>
              </w:rPr>
              <w:t>pm</w:t>
            </w:r>
          </w:p>
        </w:tc>
        <w:tc>
          <w:tcPr>
            <w:tcW w:w="1283" w:type="dxa"/>
            <w:tcBorders>
              <w:top w:val="nil"/>
              <w:left w:val="nil"/>
              <w:bottom w:val="nil"/>
              <w:right w:val="nil"/>
            </w:tcBorders>
            <w:shd w:val="clear" w:color="auto" w:fill="auto"/>
            <w:noWrap/>
            <w:hideMark/>
          </w:tcPr>
          <w:p>
            <w:pPr>
              <w:spacing w:after="0"/>
              <w:jc w:val="center"/>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Северна скарида</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Pandalus borealis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(PRA/03A.)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Северна скарида</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и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Pandalus borealis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(PRA/2AC4-C)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Северна скарида</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на юг от 62° с.ш.</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Pandalus borealis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(PRA/4N-S62)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атлантическа треска, пикша, сребриста сайда, меджид и сайда се приспада от квотата за тези видове.</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Скариди от рода </w:t>
            </w:r>
            <w:r>
              <w:rPr>
                <w:i/>
                <w:iCs/>
                <w:noProof/>
                <w:sz w:val="18"/>
                <w:szCs w:val="18"/>
              </w:rPr>
              <w:t>Penaeus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Френска Гвиана</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 xml:space="preserve">Penaeus </w:t>
            </w:r>
            <w:r>
              <w:rPr>
                <w:noProof/>
                <w:sz w:val="18"/>
                <w:szCs w:val="18"/>
              </w:rPr>
              <w:t>spp</w:t>
            </w:r>
            <w:r>
              <w:rPr>
                <w:i/>
                <w:iCs/>
                <w:noProof/>
                <w:sz w:val="18"/>
                <w:szCs w:val="18"/>
              </w:rPr>
              <w:t>.</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(PEN/FGU.)</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6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Риболовът на скариди </w:t>
            </w:r>
            <w:r>
              <w:rPr>
                <w:i/>
                <w:iCs/>
                <w:noProof/>
                <w:sz w:val="18"/>
                <w:szCs w:val="18"/>
                <w:vertAlign w:val="superscript"/>
              </w:rPr>
              <w:t>Penaeus subtilis</w:t>
            </w:r>
            <w:r>
              <w:rPr>
                <w:noProof/>
                <w:sz w:val="18"/>
                <w:szCs w:val="18"/>
                <w:vertAlign w:val="superscript"/>
              </w:rPr>
              <w:t xml:space="preserve"> и </w:t>
            </w:r>
            <w:r>
              <w:rPr>
                <w:i/>
                <w:iCs/>
                <w:noProof/>
                <w:sz w:val="18"/>
                <w:szCs w:val="18"/>
                <w:vertAlign w:val="superscript"/>
              </w:rPr>
              <w:t>Penaeus brasiliensis</w:t>
            </w:r>
            <w:r>
              <w:rPr>
                <w:noProof/>
                <w:sz w:val="18"/>
                <w:szCs w:val="18"/>
                <w:vertAlign w:val="superscript"/>
              </w:rPr>
              <w:t xml:space="preserve"> е забранен във води с дълбочина, по-малка от 30 m.</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Определя се на същото количество като квотата на Франция.</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Морска писия</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Скагерак</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(PLE/03AN.)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Морска писия</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Категат</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(PLE/03AS.)</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311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3</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35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349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719</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Морска писия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4; води на Съюза от 2а; частта от 3а, която не попада в Скагерак и Категат</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(PLE/2A3AX4)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00"/>
        </w:trPr>
        <w:tc>
          <w:tcPr>
            <w:tcW w:w="1426" w:type="dxa"/>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(1)</w:t>
            </w:r>
          </w:p>
        </w:tc>
        <w:tc>
          <w:tcPr>
            <w:tcW w:w="6266" w:type="dxa"/>
            <w:gridSpan w:val="5"/>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От които не повече от pm тона може да се ловят в Скагерак (PLE/*03AN.).</w:t>
            </w:r>
          </w:p>
        </w:tc>
        <w:tc>
          <w:tcPr>
            <w:tcW w:w="1273" w:type="dxa"/>
            <w:tcBorders>
              <w:top w:val="nil"/>
              <w:left w:val="nil"/>
              <w:bottom w:val="nil"/>
              <w:right w:val="nil"/>
            </w:tcBorders>
            <w:shd w:val="clear" w:color="auto" w:fill="auto"/>
            <w:noWrap/>
            <w:hideMark/>
          </w:tcPr>
          <w:p>
            <w:pPr>
              <w:spacing w:after="0"/>
              <w:rPr>
                <w:rFonts w:ascii="Cambria" w:eastAsia="Times New Roman" w:hAnsi="Cambria" w:cs="Arial"/>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Специално условие: уловът в рамките на определените по-горе квоти не може да надвишава посочените по-долу количества в следната зона:</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4145"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4 (PLE/*04N-)</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Морска писия</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 води на Съюза и международни води от 5b;</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международни води от 12 и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Морска писия</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(PLE/07A.)</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Морска писия</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7b и 7c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(PLE/7BC.)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19</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Морска писия</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7d и 7e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(PLE/7DE.)</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single" w:sz="8" w:space="0" w:color="auto"/>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auto"/>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single" w:sz="8" w:space="0" w:color="auto"/>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Морска писия</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7f и 7g</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(PLE/7FG.)</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Морска писия</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7h, 7j и 7k</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(PLE/7HJK.)</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vAlign w:val="bottom"/>
            <w:hideMark/>
          </w:tcPr>
          <w:p>
            <w:pPr>
              <w:spacing w:after="0"/>
              <w:rPr>
                <w:rFonts w:ascii="Cambria" w:eastAsia="Times New Roman" w:hAnsi="Cambria" w:cs="Arial"/>
                <w:noProof/>
                <w:sz w:val="20"/>
                <w:szCs w:val="20"/>
              </w:rPr>
            </w:pPr>
            <w:r>
              <w:rPr>
                <w:rFonts w:ascii="Cambria" w:hAnsi="Cambria"/>
                <w:noProof/>
                <w:sz w:val="20"/>
                <w:szCs w:val="20"/>
                <w:vertAlign w:val="superscript"/>
              </w:rPr>
              <w:t>Изключително за прилов на морска писия при риболов за други видове. В рамките на тази квота не се разрешава целеви риболов на морска писия.</w:t>
            </w:r>
          </w:p>
        </w:tc>
      </w:tr>
      <w:tr>
        <w:trPr>
          <w:trHeight w:val="270"/>
        </w:trPr>
        <w:tc>
          <w:tcPr>
            <w:tcW w:w="1426" w:type="dxa"/>
            <w:tcBorders>
              <w:top w:val="nil"/>
              <w:left w:val="nil"/>
              <w:bottom w:val="nil"/>
              <w:right w:val="nil"/>
            </w:tcBorders>
            <w:shd w:val="clear" w:color="auto" w:fill="auto"/>
            <w:noWrap/>
            <w:hideMark/>
          </w:tcPr>
          <w:p>
            <w:pPr>
              <w:spacing w:after="0"/>
              <w:rPr>
                <w:rFonts w:ascii="Cambria" w:eastAsia="Times New Roman" w:hAnsi="Cambria" w:cs="Arial"/>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Морска писия</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 9 и 10; води на Съюза от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Pleuronectes platessa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(PLE/8/3411)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26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103</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26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155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155</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Сребриста сайда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 води на Съюза и международни води от 5b; международни води от 12 и 14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(POL/56-14)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Сребриста сайда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(POL/07.)</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Специално условие: от които до pm % може да се ловят в 8a, 8b, 8d и 8e (POL/*8ABDE).</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Сребриста сайда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8a, 8b, 8d и 8e</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(POL/8ABDE.)</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176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861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1 037</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1 037</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Сребриста сайда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(POL/08C.)</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149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17</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166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166</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Сребриста сайда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9 и 10; води на Съюза от CECAF 34.1.1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(POL/9/3411)</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196</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7</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203</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203</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които до 5 % може да се ловят във водите на Съюза от 8c (POL/*08C.).</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В допълнение към този ОДУ Португалия може да извършва риболов на сребриста сайда в количества, непревишаващи 98 тона (POL/93411P).</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Сайда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 и 4; води на Съюза от 2a</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(POK/2C3A4)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Може да се лови единствено във водите на Съюза от 4 и в 3a (POK/*3A4-C). Уловът в рамките на тази квота се приспада от дела на Норвегия в ОДУ.</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Сайда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 води на Съюза и международни води от 5b, 12 и 14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(POK/56 -14)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Риболовът се извършва на север от 56° 30' с.ш. (POK/*5614N).</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6"/>
                <w:szCs w:val="16"/>
              </w:rPr>
            </w:pPr>
            <w:r>
              <w:rPr>
                <w:rFonts w:ascii="Calibri" w:hAnsi="Calibri"/>
                <w:noProof/>
                <w:sz w:val="16"/>
                <w:szCs w:val="16"/>
              </w:rPr>
              <w:t xml:space="preserve"> </w:t>
            </w:r>
          </w:p>
        </w:tc>
        <w:tc>
          <w:tcPr>
            <w:tcW w:w="128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Сайда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на юг от 62° с.ш.</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(POK/4N-S62)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атлантическа треска, пикша, сребриста сайда и меджид се приспада от квотата за тези видове.</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Сайда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7, 8, 9 и 10; води на Съюза от CECAF 34.1.1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(POK/7/3411)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Калкан и средиземноморски калкан</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и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rPr>
            </w:pPr>
            <w:r>
              <w:rPr>
                <w:i/>
                <w:iCs/>
                <w:noProof/>
                <w:sz w:val="18"/>
                <w:szCs w:val="18"/>
              </w:rPr>
              <w:t>Psetta maxima и</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(T/B/2AC4-C)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Scophthalmus rhombus</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Скатоподобни</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и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(SRX/2AC4-C)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Уловът на късоопашат скат (</w:t>
            </w:r>
            <w:r>
              <w:rPr>
                <w:i/>
                <w:iCs/>
                <w:noProof/>
                <w:sz w:val="18"/>
                <w:szCs w:val="18"/>
                <w:vertAlign w:val="superscript"/>
              </w:rPr>
              <w:t>Raja brachyura</w:t>
            </w:r>
            <w:r>
              <w:rPr>
                <w:noProof/>
                <w:sz w:val="18"/>
                <w:szCs w:val="18"/>
                <w:vertAlign w:val="superscript"/>
              </w:rPr>
              <w:t>) във водите на Съюза от 4 (RJH/04-C.), кукувичев скат (</w:t>
            </w:r>
            <w:r>
              <w:rPr>
                <w:i/>
                <w:iCs/>
                <w:noProof/>
                <w:sz w:val="18"/>
                <w:szCs w:val="18"/>
                <w:vertAlign w:val="superscript"/>
              </w:rPr>
              <w:t>Leucoraja naevus</w:t>
            </w:r>
            <w:r>
              <w:rPr>
                <w:noProof/>
                <w:sz w:val="18"/>
                <w:szCs w:val="18"/>
                <w:vertAlign w:val="superscript"/>
              </w:rPr>
              <w:t>) (RJN/2AC4-C), морска лисица (</w:t>
            </w:r>
            <w:r>
              <w:rPr>
                <w:i/>
                <w:iCs/>
                <w:noProof/>
                <w:sz w:val="18"/>
                <w:szCs w:val="18"/>
                <w:vertAlign w:val="superscript"/>
              </w:rPr>
              <w:t>Raja clavata</w:t>
            </w:r>
            <w:r>
              <w:rPr>
                <w:noProof/>
                <w:sz w:val="18"/>
                <w:szCs w:val="18"/>
                <w:vertAlign w:val="superscript"/>
              </w:rPr>
              <w:t>) (RJC/2AC4-C) и петнист скат (</w:t>
            </w:r>
            <w:r>
              <w:rPr>
                <w:i/>
                <w:iCs/>
                <w:noProof/>
                <w:sz w:val="18"/>
                <w:szCs w:val="18"/>
                <w:vertAlign w:val="superscript"/>
              </w:rPr>
              <w:t>Raja montagui</w:t>
            </w:r>
            <w:r>
              <w:rPr>
                <w:noProof/>
                <w:sz w:val="18"/>
                <w:szCs w:val="18"/>
                <w:vertAlign w:val="superscript"/>
              </w:rPr>
              <w:t>) (RJM/2AC4-C) се докладва отделно.</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Квота за прилов. Тези видове не могат да съставляват повече от 25 % от живото тегло на улова, задържан на борда, на риболовен рейс. Това условие се прилага само за кораби с обща дължина над 15 m.  Настоящата разпоредба не обхваща улова, по отношение на който се прилага задължението за разтоварване на сушата, определено в член 15, параграф 1 от Регламент (ЕС) № 1380/2013.</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Не се прилага за късоопашат скат (</w:t>
            </w:r>
            <w:r>
              <w:rPr>
                <w:i/>
                <w:iCs/>
                <w:noProof/>
                <w:sz w:val="18"/>
                <w:szCs w:val="18"/>
                <w:vertAlign w:val="superscript"/>
              </w:rPr>
              <w:t>Raja brachyura</w:t>
            </w:r>
            <w:r>
              <w:rPr>
                <w:noProof/>
                <w:sz w:val="18"/>
                <w:szCs w:val="18"/>
                <w:vertAlign w:val="superscript"/>
              </w:rPr>
              <w:t>) във водите на Съюза от 2a и за дребноок скат (</w:t>
            </w:r>
            <w:r>
              <w:rPr>
                <w:i/>
                <w:iCs/>
                <w:noProof/>
                <w:sz w:val="18"/>
                <w:szCs w:val="18"/>
                <w:vertAlign w:val="superscript"/>
              </w:rPr>
              <w:t>Raja microocellata</w:t>
            </w:r>
            <w:r>
              <w:rPr>
                <w:noProof/>
                <w:sz w:val="18"/>
                <w:szCs w:val="18"/>
                <w:vertAlign w:val="superscript"/>
              </w:rPr>
              <w:t>) във водите на Съюза от 2a и 4. Когато бъдат уловени случайно, екземплярите от тези видове не се нараняват. Те незабавно се пускат обратно в морето. Рибарите се насърчават да разработват и използват техники и съоръжения, които способстват за бързото и безопасно освобождаване на екземплярите от тези видове.</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които не повече от 10 % може да се ловят във водите на Съюза от 7d (SRX/*07D2.), без да се засягат забраните, установени в членове 13 и 48 от настоящия регламент за посочените в тях зони. Уловът на късоопашат скат (</w:t>
            </w:r>
            <w:r>
              <w:rPr>
                <w:i/>
                <w:iCs/>
                <w:noProof/>
                <w:sz w:val="18"/>
                <w:szCs w:val="18"/>
                <w:vertAlign w:val="superscript"/>
              </w:rPr>
              <w:t>Raja brachyura</w:t>
            </w:r>
            <w:r>
              <w:rPr>
                <w:noProof/>
                <w:sz w:val="18"/>
                <w:szCs w:val="18"/>
                <w:vertAlign w:val="superscript"/>
              </w:rPr>
              <w:t>) (RJH/*07D2.), кукувичев скат (</w:t>
            </w:r>
            <w:r>
              <w:rPr>
                <w:i/>
                <w:iCs/>
                <w:noProof/>
                <w:sz w:val="18"/>
                <w:szCs w:val="18"/>
                <w:vertAlign w:val="superscript"/>
              </w:rPr>
              <w:t>Leucoraja naevus</w:t>
            </w:r>
            <w:r>
              <w:rPr>
                <w:noProof/>
                <w:sz w:val="18"/>
                <w:szCs w:val="18"/>
                <w:vertAlign w:val="superscript"/>
              </w:rPr>
              <w:t>) (RJN/*07D2.), морска лисица (</w:t>
            </w:r>
            <w:r>
              <w:rPr>
                <w:i/>
                <w:iCs/>
                <w:noProof/>
                <w:sz w:val="18"/>
                <w:szCs w:val="18"/>
                <w:vertAlign w:val="superscript"/>
              </w:rPr>
              <w:t>Raja clavata</w:t>
            </w:r>
            <w:r>
              <w:rPr>
                <w:noProof/>
                <w:sz w:val="18"/>
                <w:szCs w:val="18"/>
                <w:vertAlign w:val="superscript"/>
              </w:rPr>
              <w:t>) (RJC/*07D2.) и петнист скат (</w:t>
            </w:r>
            <w:r>
              <w:rPr>
                <w:i/>
                <w:iCs/>
                <w:noProof/>
                <w:sz w:val="18"/>
                <w:szCs w:val="18"/>
                <w:vertAlign w:val="superscript"/>
              </w:rPr>
              <w:t>Raja montagui</w:t>
            </w:r>
            <w:r>
              <w:rPr>
                <w:noProof/>
                <w:sz w:val="18"/>
                <w:szCs w:val="18"/>
                <w:vertAlign w:val="superscript"/>
              </w:rPr>
              <w:t>) (RJM/*07D2.) се докладва отделно. Това специално условие не се прилага за дребноок скат (</w:t>
            </w:r>
            <w:r>
              <w:rPr>
                <w:i/>
                <w:iCs/>
                <w:noProof/>
                <w:sz w:val="18"/>
                <w:szCs w:val="18"/>
                <w:vertAlign w:val="superscript"/>
              </w:rPr>
              <w:t>Raja microocellata</w:t>
            </w:r>
            <w:r>
              <w:rPr>
                <w:noProof/>
                <w:sz w:val="18"/>
                <w:szCs w:val="18"/>
                <w:vertAlign w:val="superscript"/>
              </w:rPr>
              <w:t>) и вълнист скат (</w:t>
            </w:r>
            <w:r>
              <w:rPr>
                <w:i/>
                <w:iCs/>
                <w:noProof/>
                <w:sz w:val="18"/>
                <w:szCs w:val="18"/>
                <w:vertAlign w:val="superscript"/>
              </w:rPr>
              <w:t>Raja undulata</w:t>
            </w:r>
            <w:r>
              <w:rPr>
                <w:noProof/>
                <w:sz w:val="18"/>
                <w:szCs w:val="18"/>
                <w:vertAlign w:val="superscript"/>
              </w:rPr>
              <w:t>).</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Скатоподобни</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3a</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(SRX/03A-C.)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Уловът на кукувичев скат (</w:t>
            </w:r>
            <w:r>
              <w:rPr>
                <w:i/>
                <w:iCs/>
                <w:noProof/>
                <w:sz w:val="18"/>
                <w:szCs w:val="18"/>
                <w:vertAlign w:val="superscript"/>
              </w:rPr>
              <w:t>Leucoraja naevus</w:t>
            </w:r>
            <w:r>
              <w:rPr>
                <w:noProof/>
                <w:sz w:val="18"/>
                <w:szCs w:val="18"/>
                <w:vertAlign w:val="superscript"/>
              </w:rPr>
              <w:t>) (RJN/03A-C.), късоопашат скат (</w:t>
            </w:r>
            <w:r>
              <w:rPr>
                <w:i/>
                <w:iCs/>
                <w:noProof/>
                <w:sz w:val="18"/>
                <w:szCs w:val="18"/>
                <w:vertAlign w:val="superscript"/>
              </w:rPr>
              <w:t>Raja brachyura</w:t>
            </w:r>
            <w:r>
              <w:rPr>
                <w:noProof/>
                <w:sz w:val="18"/>
                <w:szCs w:val="18"/>
                <w:vertAlign w:val="superscript"/>
              </w:rPr>
              <w:t>) (RJH/03A-C.) и петнист скат (</w:t>
            </w:r>
            <w:r>
              <w:rPr>
                <w:i/>
                <w:iCs/>
                <w:noProof/>
                <w:sz w:val="18"/>
                <w:szCs w:val="18"/>
                <w:vertAlign w:val="superscript"/>
              </w:rPr>
              <w:t>Raja montagui</w:t>
            </w:r>
            <w:r>
              <w:rPr>
                <w:noProof/>
                <w:sz w:val="18"/>
                <w:szCs w:val="18"/>
                <w:vertAlign w:val="superscript"/>
              </w:rPr>
              <w:t>) (RJM/03A-C.) се докладва отделно.</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Скатоподобни</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6a, 6b, 7a—c и 7e—k</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(SRX/67AKXD)</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Естония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Литва</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Уловът на кукувичев скат (</w:t>
            </w:r>
            <w:r>
              <w:rPr>
                <w:i/>
                <w:iCs/>
                <w:noProof/>
                <w:sz w:val="18"/>
                <w:szCs w:val="18"/>
                <w:vertAlign w:val="superscript"/>
              </w:rPr>
              <w:t>Leucoraja naevus</w:t>
            </w:r>
            <w:r>
              <w:rPr>
                <w:noProof/>
                <w:sz w:val="18"/>
                <w:szCs w:val="18"/>
                <w:vertAlign w:val="superscript"/>
              </w:rPr>
              <w:t>) (RJN/67AKXD), морска лисица (</w:t>
            </w:r>
            <w:r>
              <w:rPr>
                <w:i/>
                <w:iCs/>
                <w:noProof/>
                <w:sz w:val="18"/>
                <w:szCs w:val="18"/>
                <w:vertAlign w:val="superscript"/>
              </w:rPr>
              <w:t>Raja clavata</w:t>
            </w:r>
            <w:r>
              <w:rPr>
                <w:noProof/>
                <w:sz w:val="18"/>
                <w:szCs w:val="18"/>
                <w:vertAlign w:val="superscript"/>
              </w:rPr>
              <w:t>) (RJC/67AKXD), късоопашат скат (</w:t>
            </w:r>
            <w:r>
              <w:rPr>
                <w:i/>
                <w:iCs/>
                <w:noProof/>
                <w:sz w:val="18"/>
                <w:szCs w:val="18"/>
                <w:vertAlign w:val="superscript"/>
              </w:rPr>
              <w:t>Raja brachyura</w:t>
            </w:r>
            <w:r>
              <w:rPr>
                <w:noProof/>
                <w:sz w:val="18"/>
                <w:szCs w:val="18"/>
                <w:vertAlign w:val="superscript"/>
              </w:rPr>
              <w:t>) (RJH/67AKXD), петнист скат (</w:t>
            </w:r>
            <w:r>
              <w:rPr>
                <w:i/>
                <w:iCs/>
                <w:noProof/>
                <w:sz w:val="18"/>
                <w:szCs w:val="18"/>
                <w:vertAlign w:val="superscript"/>
              </w:rPr>
              <w:t>Raja montagui</w:t>
            </w:r>
            <w:r>
              <w:rPr>
                <w:noProof/>
                <w:sz w:val="18"/>
                <w:szCs w:val="18"/>
                <w:vertAlign w:val="superscript"/>
              </w:rPr>
              <w:t>) (RJM/67AKXD), пясъчен скат (</w:t>
            </w:r>
            <w:r>
              <w:rPr>
                <w:i/>
                <w:iCs/>
                <w:noProof/>
                <w:sz w:val="18"/>
                <w:szCs w:val="18"/>
                <w:vertAlign w:val="superscript"/>
              </w:rPr>
              <w:t>Raja circularis</w:t>
            </w:r>
            <w:r>
              <w:rPr>
                <w:noProof/>
                <w:sz w:val="18"/>
                <w:szCs w:val="18"/>
                <w:vertAlign w:val="superscript"/>
              </w:rPr>
              <w:t xml:space="preserve">) (RJI/67AKXD) и скат от вида </w:t>
            </w:r>
            <w:r>
              <w:rPr>
                <w:i/>
                <w:iCs/>
                <w:noProof/>
                <w:sz w:val="18"/>
                <w:szCs w:val="18"/>
                <w:vertAlign w:val="superscript"/>
              </w:rPr>
              <w:t>Leucoraja fullonica</w:t>
            </w:r>
            <w:r>
              <w:rPr>
                <w:noProof/>
                <w:sz w:val="18"/>
                <w:szCs w:val="18"/>
                <w:vertAlign w:val="superscript"/>
              </w:rPr>
              <w:t xml:space="preserve"> (</w:t>
            </w:r>
            <w:r>
              <w:rPr>
                <w:i/>
                <w:iCs/>
                <w:noProof/>
                <w:sz w:val="18"/>
                <w:szCs w:val="18"/>
                <w:vertAlign w:val="superscript"/>
              </w:rPr>
              <w:t>Raja fullonica</w:t>
            </w:r>
            <w:r>
              <w:rPr>
                <w:noProof/>
                <w:sz w:val="18"/>
                <w:szCs w:val="18"/>
                <w:vertAlign w:val="superscript"/>
              </w:rPr>
              <w:t>) (RJF/67AKXD) се докладва отделно.</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които не повече от 5 % може да се ловят във водите на Съюза от 7d (SRX/*07D.), без да се засягат забраните, установени в членове 13 и 48 от настоящия регламент за посочените в тях зони. Уловът на кукувичев скат (</w:t>
            </w:r>
            <w:r>
              <w:rPr>
                <w:i/>
                <w:iCs/>
                <w:noProof/>
                <w:sz w:val="18"/>
                <w:szCs w:val="18"/>
                <w:vertAlign w:val="superscript"/>
              </w:rPr>
              <w:t>Leucoraja naevus</w:t>
            </w:r>
            <w:r>
              <w:rPr>
                <w:noProof/>
                <w:sz w:val="18"/>
                <w:szCs w:val="18"/>
                <w:vertAlign w:val="superscript"/>
              </w:rPr>
              <w:t>) (RJN/*07D.), морска лисица (</w:t>
            </w:r>
            <w:r>
              <w:rPr>
                <w:i/>
                <w:iCs/>
                <w:noProof/>
                <w:sz w:val="18"/>
                <w:szCs w:val="18"/>
                <w:vertAlign w:val="superscript"/>
              </w:rPr>
              <w:t>Raja clavata</w:t>
            </w:r>
            <w:r>
              <w:rPr>
                <w:noProof/>
                <w:sz w:val="18"/>
                <w:szCs w:val="18"/>
                <w:vertAlign w:val="superscript"/>
              </w:rPr>
              <w:t>) (RJC/*07D.), късоопашат скат (</w:t>
            </w:r>
            <w:r>
              <w:rPr>
                <w:i/>
                <w:iCs/>
                <w:noProof/>
                <w:sz w:val="18"/>
                <w:szCs w:val="18"/>
                <w:vertAlign w:val="superscript"/>
              </w:rPr>
              <w:t>Raja brachyura</w:t>
            </w:r>
            <w:r>
              <w:rPr>
                <w:noProof/>
                <w:sz w:val="18"/>
                <w:szCs w:val="18"/>
                <w:vertAlign w:val="superscript"/>
              </w:rPr>
              <w:t>) (RJH/*07D.), петнист скат (</w:t>
            </w:r>
            <w:r>
              <w:rPr>
                <w:i/>
                <w:iCs/>
                <w:noProof/>
                <w:sz w:val="18"/>
                <w:szCs w:val="18"/>
                <w:vertAlign w:val="superscript"/>
              </w:rPr>
              <w:t>Raja montagui</w:t>
            </w:r>
            <w:r>
              <w:rPr>
                <w:noProof/>
                <w:sz w:val="18"/>
                <w:szCs w:val="18"/>
                <w:vertAlign w:val="superscript"/>
              </w:rPr>
              <w:t>) (RJM/*07D.), пясъчен скат (</w:t>
            </w:r>
            <w:r>
              <w:rPr>
                <w:i/>
                <w:iCs/>
                <w:noProof/>
                <w:sz w:val="18"/>
                <w:szCs w:val="18"/>
                <w:vertAlign w:val="superscript"/>
              </w:rPr>
              <w:t>Raja circularis</w:t>
            </w:r>
            <w:r>
              <w:rPr>
                <w:noProof/>
                <w:sz w:val="18"/>
                <w:szCs w:val="18"/>
                <w:vertAlign w:val="superscript"/>
              </w:rPr>
              <w:t xml:space="preserve">) (RJI/*07D.) и скат от вида </w:t>
            </w:r>
            <w:r>
              <w:rPr>
                <w:i/>
                <w:iCs/>
                <w:noProof/>
                <w:sz w:val="18"/>
                <w:szCs w:val="18"/>
                <w:vertAlign w:val="superscript"/>
              </w:rPr>
              <w:t>Leucoraja fullonica</w:t>
            </w:r>
            <w:r>
              <w:rPr>
                <w:noProof/>
                <w:sz w:val="18"/>
                <w:szCs w:val="18"/>
                <w:vertAlign w:val="superscript"/>
              </w:rPr>
              <w:t xml:space="preserve"> (</w:t>
            </w:r>
            <w:r>
              <w:rPr>
                <w:i/>
                <w:iCs/>
                <w:noProof/>
                <w:sz w:val="18"/>
                <w:szCs w:val="18"/>
                <w:vertAlign w:val="superscript"/>
              </w:rPr>
              <w:t>Raja fullonica</w:t>
            </w:r>
            <w:r>
              <w:rPr>
                <w:noProof/>
                <w:sz w:val="18"/>
                <w:szCs w:val="18"/>
                <w:vertAlign w:val="superscript"/>
              </w:rPr>
              <w:t>) (RJF/*07D.) се докладва отделно. Това специално условие не се прилага за дребноок скат (</w:t>
            </w:r>
            <w:r>
              <w:rPr>
                <w:i/>
                <w:iCs/>
                <w:noProof/>
                <w:sz w:val="18"/>
                <w:szCs w:val="18"/>
                <w:vertAlign w:val="superscript"/>
              </w:rPr>
              <w:t>Raja microocellata</w:t>
            </w:r>
            <w:r>
              <w:rPr>
                <w:noProof/>
                <w:sz w:val="18"/>
                <w:szCs w:val="18"/>
                <w:vertAlign w:val="superscript"/>
              </w:rPr>
              <w:t>) и вълнист скат (</w:t>
            </w:r>
            <w:r>
              <w:rPr>
                <w:i/>
                <w:iCs/>
                <w:noProof/>
                <w:sz w:val="18"/>
                <w:szCs w:val="18"/>
                <w:vertAlign w:val="superscript"/>
              </w:rPr>
              <w:t>Raja undulata</w:t>
            </w:r>
            <w:r>
              <w:rPr>
                <w:noProof/>
                <w:sz w:val="18"/>
                <w:szCs w:val="18"/>
                <w:vertAlign w:val="superscript"/>
              </w:rPr>
              <w:t>).</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Не се прилага за дребноок скат (</w:t>
            </w:r>
            <w:r>
              <w:rPr>
                <w:i/>
                <w:iCs/>
                <w:noProof/>
                <w:sz w:val="18"/>
                <w:szCs w:val="18"/>
                <w:vertAlign w:val="superscript"/>
              </w:rPr>
              <w:t>Raja microocellata</w:t>
            </w:r>
            <w:r>
              <w:rPr>
                <w:noProof/>
                <w:sz w:val="18"/>
                <w:szCs w:val="18"/>
                <w:vertAlign w:val="superscript"/>
              </w:rPr>
              <w:t>), освен във водите на Съюза от 7f и 7g. Когато бъдат уловени случайно, екземплярите от този вид не се нараняват. Те незабавно се пускат обратно в морето. Рибарите се насърчават да разработват и използват техники и съоръжения, които способстват за бързото и безопасно освобождаване на екземплярите от тези видове. Уловът в рамките на горните квоти не може да надвишава посочените по-долу количества дребноок скат във водите на Съюза от 7f и 7g (RJE/7FG.):</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417"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Дребноок скат</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7f и 7g</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7"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Raja microocellata</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(RJE/7FG.)</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Естония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Литва</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color w:val="000000"/>
                <w:sz w:val="16"/>
                <w:szCs w:val="16"/>
              </w:rPr>
            </w:pPr>
            <w:r>
              <w:rPr>
                <w:noProof/>
                <w:color w:val="000000"/>
                <w:sz w:val="16"/>
                <w:szCs w:val="16"/>
              </w:rPr>
              <w:t>Специално условие: от които до 5 % може да се ловят във водите на Съюза от 7d, като се докладват със следния код: (RJE/*07D.). Това специално условие не засяга забраните, установени в членове 13 и 48 от настоящия регламент за посочените в тях зони.</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Не се прилага за вълнист скат (</w:t>
            </w:r>
            <w:r>
              <w:rPr>
                <w:i/>
                <w:iCs/>
                <w:noProof/>
                <w:sz w:val="18"/>
                <w:szCs w:val="18"/>
                <w:vertAlign w:val="superscript"/>
              </w:rPr>
              <w:t>Raja undulata</w:t>
            </w:r>
            <w:r>
              <w:rPr>
                <w:noProof/>
                <w:sz w:val="18"/>
                <w:szCs w:val="18"/>
                <w:vertAlign w:val="superscript"/>
              </w:rPr>
              <w:t>).</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Скатоподобни</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7d</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(SRX/07D.)</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(4)</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Уловът на кукувичев скат (</w:t>
            </w:r>
            <w:r>
              <w:rPr>
                <w:i/>
                <w:iCs/>
                <w:noProof/>
                <w:sz w:val="18"/>
                <w:szCs w:val="18"/>
                <w:vertAlign w:val="superscript"/>
              </w:rPr>
              <w:t>Leucoraja naevus</w:t>
            </w:r>
            <w:r>
              <w:rPr>
                <w:noProof/>
                <w:sz w:val="18"/>
                <w:szCs w:val="18"/>
                <w:vertAlign w:val="superscript"/>
              </w:rPr>
              <w:t>) (RJN/07D.), морска лисица (</w:t>
            </w:r>
            <w:r>
              <w:rPr>
                <w:i/>
                <w:iCs/>
                <w:noProof/>
                <w:sz w:val="18"/>
                <w:szCs w:val="18"/>
                <w:vertAlign w:val="superscript"/>
              </w:rPr>
              <w:t>Raja clavata</w:t>
            </w:r>
            <w:r>
              <w:rPr>
                <w:noProof/>
                <w:sz w:val="18"/>
                <w:szCs w:val="18"/>
                <w:vertAlign w:val="superscript"/>
              </w:rPr>
              <w:t>) (RJC/07D.), късоопашат скат (</w:t>
            </w:r>
            <w:r>
              <w:rPr>
                <w:i/>
                <w:iCs/>
                <w:noProof/>
                <w:sz w:val="18"/>
                <w:szCs w:val="18"/>
                <w:vertAlign w:val="superscript"/>
              </w:rPr>
              <w:t>Raja brachyura</w:t>
            </w:r>
            <w:r>
              <w:rPr>
                <w:noProof/>
                <w:sz w:val="18"/>
                <w:szCs w:val="18"/>
                <w:vertAlign w:val="superscript"/>
              </w:rPr>
              <w:t>) (RJH/07D.), петнист скат (</w:t>
            </w:r>
            <w:r>
              <w:rPr>
                <w:i/>
                <w:iCs/>
                <w:noProof/>
                <w:sz w:val="18"/>
                <w:szCs w:val="18"/>
                <w:vertAlign w:val="superscript"/>
              </w:rPr>
              <w:t>Raja montagui</w:t>
            </w:r>
            <w:r>
              <w:rPr>
                <w:noProof/>
                <w:sz w:val="18"/>
                <w:szCs w:val="18"/>
                <w:vertAlign w:val="superscript"/>
              </w:rPr>
              <w:t>) (RJM/07D.) и дребноок скат (</w:t>
            </w:r>
            <w:r>
              <w:rPr>
                <w:i/>
                <w:iCs/>
                <w:noProof/>
                <w:sz w:val="18"/>
                <w:szCs w:val="18"/>
                <w:vertAlign w:val="superscript"/>
              </w:rPr>
              <w:t>Raja microocellata</w:t>
            </w:r>
            <w:r>
              <w:rPr>
                <w:noProof/>
                <w:sz w:val="18"/>
                <w:szCs w:val="18"/>
                <w:vertAlign w:val="superscript"/>
              </w:rPr>
              <w:t>) (RJE/07D.) се докладва отделно.</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които до 5 % може да се ловят във водите на Съюза от участъци 6a, 6b, 7a-c и 7e-k (SRX/*67AKD). Уловът на кукувичев скат (</w:t>
            </w:r>
            <w:r>
              <w:rPr>
                <w:i/>
                <w:iCs/>
                <w:noProof/>
                <w:sz w:val="18"/>
                <w:szCs w:val="18"/>
                <w:vertAlign w:val="superscript"/>
              </w:rPr>
              <w:t>Leucoraja naevus</w:t>
            </w:r>
            <w:r>
              <w:rPr>
                <w:noProof/>
                <w:sz w:val="18"/>
                <w:szCs w:val="18"/>
                <w:vertAlign w:val="superscript"/>
              </w:rPr>
              <w:t>) (RJN/*67AKD), морска лисица (</w:t>
            </w:r>
            <w:r>
              <w:rPr>
                <w:i/>
                <w:iCs/>
                <w:noProof/>
                <w:sz w:val="18"/>
                <w:szCs w:val="18"/>
                <w:vertAlign w:val="superscript"/>
              </w:rPr>
              <w:t>Raja clavata</w:t>
            </w:r>
            <w:r>
              <w:rPr>
                <w:noProof/>
                <w:sz w:val="18"/>
                <w:szCs w:val="18"/>
                <w:vertAlign w:val="superscript"/>
              </w:rPr>
              <w:t>) (RJC/*67AKD), късоопашат скат (</w:t>
            </w:r>
            <w:r>
              <w:rPr>
                <w:i/>
                <w:iCs/>
                <w:noProof/>
                <w:sz w:val="18"/>
                <w:szCs w:val="18"/>
                <w:vertAlign w:val="superscript"/>
              </w:rPr>
              <w:t>Raja brachyura</w:t>
            </w:r>
            <w:r>
              <w:rPr>
                <w:noProof/>
                <w:sz w:val="18"/>
                <w:szCs w:val="18"/>
                <w:vertAlign w:val="superscript"/>
              </w:rPr>
              <w:t>) (RJH/*67AKD) и петнист скат (</w:t>
            </w:r>
            <w:r>
              <w:rPr>
                <w:i/>
                <w:iCs/>
                <w:noProof/>
                <w:sz w:val="18"/>
                <w:szCs w:val="18"/>
                <w:vertAlign w:val="superscript"/>
              </w:rPr>
              <w:t>Raja montagui</w:t>
            </w:r>
            <w:r>
              <w:rPr>
                <w:noProof/>
                <w:sz w:val="18"/>
                <w:szCs w:val="18"/>
                <w:vertAlign w:val="superscript"/>
              </w:rPr>
              <w:t>) (RJM/*67AKD) се докладва отделно. Това специално условие не се прилага за дребноок скат (</w:t>
            </w:r>
            <w:r>
              <w:rPr>
                <w:i/>
                <w:iCs/>
                <w:noProof/>
                <w:sz w:val="18"/>
                <w:szCs w:val="18"/>
                <w:vertAlign w:val="superscript"/>
              </w:rPr>
              <w:t>Raja microocellata</w:t>
            </w:r>
            <w:r>
              <w:rPr>
                <w:noProof/>
                <w:sz w:val="18"/>
                <w:szCs w:val="18"/>
                <w:vertAlign w:val="superscript"/>
              </w:rPr>
              <w:t>) и вълнист скат (</w:t>
            </w:r>
            <w:r>
              <w:rPr>
                <w:i/>
                <w:iCs/>
                <w:noProof/>
                <w:sz w:val="18"/>
                <w:szCs w:val="18"/>
                <w:vertAlign w:val="superscript"/>
              </w:rPr>
              <w:t>Raja undulata</w:t>
            </w:r>
            <w:r>
              <w:rPr>
                <w:noProof/>
                <w:sz w:val="18"/>
                <w:szCs w:val="18"/>
                <w:vertAlign w:val="superscript"/>
              </w:rPr>
              <w:t>).</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които до 10 % може да се ловят във водите на Съюза от 2a и 4 (SRX/*2AC4C). Уловът на късоопашат скат (</w:t>
            </w:r>
            <w:r>
              <w:rPr>
                <w:i/>
                <w:iCs/>
                <w:noProof/>
                <w:sz w:val="18"/>
                <w:szCs w:val="18"/>
                <w:vertAlign w:val="superscript"/>
              </w:rPr>
              <w:t>Raja brachyura</w:t>
            </w:r>
            <w:r>
              <w:rPr>
                <w:noProof/>
                <w:sz w:val="18"/>
                <w:szCs w:val="18"/>
                <w:vertAlign w:val="superscript"/>
              </w:rPr>
              <w:t>) във водите на Съюза от 4 (RJH/*04-C.), кукувичев скат (</w:t>
            </w:r>
            <w:r>
              <w:rPr>
                <w:i/>
                <w:iCs/>
                <w:noProof/>
                <w:sz w:val="18"/>
                <w:szCs w:val="18"/>
                <w:vertAlign w:val="superscript"/>
              </w:rPr>
              <w:t>Leucoraja naevus</w:t>
            </w:r>
            <w:r>
              <w:rPr>
                <w:noProof/>
                <w:sz w:val="18"/>
                <w:szCs w:val="18"/>
                <w:vertAlign w:val="superscript"/>
              </w:rPr>
              <w:t>) (RJN/*2AC4C), морска лисица (</w:t>
            </w:r>
            <w:r>
              <w:rPr>
                <w:i/>
                <w:iCs/>
                <w:noProof/>
                <w:sz w:val="18"/>
                <w:szCs w:val="18"/>
                <w:vertAlign w:val="superscript"/>
              </w:rPr>
              <w:t>Raja clavata</w:t>
            </w:r>
            <w:r>
              <w:rPr>
                <w:noProof/>
                <w:sz w:val="18"/>
                <w:szCs w:val="18"/>
                <w:vertAlign w:val="superscript"/>
              </w:rPr>
              <w:t>) (RJC/*2AC4C) и петнист скат (</w:t>
            </w:r>
            <w:r>
              <w:rPr>
                <w:i/>
                <w:iCs/>
                <w:noProof/>
                <w:sz w:val="18"/>
                <w:szCs w:val="18"/>
                <w:vertAlign w:val="superscript"/>
              </w:rPr>
              <w:t>Raja montagui</w:t>
            </w:r>
            <w:r>
              <w:rPr>
                <w:noProof/>
                <w:sz w:val="18"/>
                <w:szCs w:val="18"/>
                <w:vertAlign w:val="superscript"/>
              </w:rPr>
              <w:t>) (RJM/*2AC4C) се докладва отделно. Това специално условие не се прилага за дребноок скат (</w:t>
            </w:r>
            <w:r>
              <w:rPr>
                <w:i/>
                <w:iCs/>
                <w:noProof/>
                <w:sz w:val="18"/>
                <w:szCs w:val="18"/>
                <w:vertAlign w:val="superscript"/>
              </w:rPr>
              <w:t>Raja microocellata</w:t>
            </w:r>
            <w:r>
              <w:rPr>
                <w:noProof/>
                <w:sz w:val="18"/>
                <w:szCs w:val="18"/>
                <w:vertAlign w:val="superscript"/>
              </w:rPr>
              <w:t>).</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Не се прилага за вълнист скат (</w:t>
            </w:r>
            <w:r>
              <w:rPr>
                <w:i/>
                <w:iCs/>
                <w:noProof/>
                <w:sz w:val="18"/>
                <w:szCs w:val="18"/>
                <w:vertAlign w:val="superscript"/>
              </w:rPr>
              <w:t>Raja undulata</w:t>
            </w:r>
            <w:r>
              <w:rPr>
                <w:noProof/>
                <w:sz w:val="18"/>
                <w:szCs w:val="18"/>
                <w:vertAlign w:val="superscript"/>
              </w:rPr>
              <w:t>).</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Вълнист скат</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7d и 7e</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Raja undulata</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(RJU/7DE.)</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Естония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Литва</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Не се извършва целеви риболов на този вид в зоните, в които се прилага този ОДУ. Уловените екземпляри от този вид могат да се разтоварват на сушата само цели или изчистени. Горепосочените разпоредби не засягат забраните, установени в членове 13 и 48 от настоящия регламент за посочените в тях зони.</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Скатоподобни</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8 и 9</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(SRX/89-C.)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Уловът на кукувичев скат (</w:t>
            </w:r>
            <w:r>
              <w:rPr>
                <w:i/>
                <w:iCs/>
                <w:noProof/>
                <w:sz w:val="18"/>
                <w:szCs w:val="18"/>
                <w:vertAlign w:val="superscript"/>
              </w:rPr>
              <w:t>Leucoraja naevus</w:t>
            </w:r>
            <w:r>
              <w:rPr>
                <w:noProof/>
                <w:sz w:val="18"/>
                <w:szCs w:val="18"/>
                <w:vertAlign w:val="superscript"/>
              </w:rPr>
              <w:t>) (RJN/89-C.), късоопашат скат (</w:t>
            </w:r>
            <w:r>
              <w:rPr>
                <w:i/>
                <w:iCs/>
                <w:noProof/>
                <w:sz w:val="18"/>
                <w:szCs w:val="18"/>
                <w:vertAlign w:val="superscript"/>
              </w:rPr>
              <w:t>Raja brachyura</w:t>
            </w:r>
            <w:r>
              <w:rPr>
                <w:noProof/>
                <w:sz w:val="18"/>
                <w:szCs w:val="18"/>
                <w:vertAlign w:val="superscript"/>
              </w:rPr>
              <w:t>) (RJH/89-C.) и морска лисица (</w:t>
            </w:r>
            <w:r>
              <w:rPr>
                <w:i/>
                <w:iCs/>
                <w:noProof/>
                <w:sz w:val="18"/>
                <w:szCs w:val="18"/>
                <w:vertAlign w:val="superscript"/>
              </w:rPr>
              <w:t>Raja clavata</w:t>
            </w:r>
            <w:r>
              <w:rPr>
                <w:noProof/>
                <w:sz w:val="18"/>
                <w:szCs w:val="18"/>
                <w:vertAlign w:val="superscript"/>
              </w:rPr>
              <w:t>) (RJC/89-C.) се докладва отделно.</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Не се прилага за вълнист скат (</w:t>
            </w:r>
            <w:r>
              <w:rPr>
                <w:i/>
                <w:iCs/>
                <w:noProof/>
                <w:sz w:val="18"/>
                <w:szCs w:val="18"/>
                <w:vertAlign w:val="superscript"/>
              </w:rPr>
              <w:t>Raja undulata</w:t>
            </w:r>
            <w:r>
              <w:rPr>
                <w:noProof/>
                <w:sz w:val="18"/>
                <w:szCs w:val="18"/>
                <w:vertAlign w:val="superscript"/>
              </w:rPr>
              <w:t>). Не се извършва целеви риболов на този вид в зоните, в които се прилага този ОДУ. В случаите, в които задължението за разтоварване на сушата не се прилага, екземплярите от прилова на вълнист скат в подзони 8 и 9 могат да се разтоварват на сушата само цели или изчистени. Уловът остава в рамките на квотите, посочени в таблицата по-долу. Горепосочените разпоредби не засягат забраните, установени в членове 13 и 48 от настоящия регламент за посочените в тях зони. Приловът на вълнист скат се докладва отделно с кодовете, посочени в таблиците по-долу. Уловът в рамките на горните квоти не може да надвишава посочените по-долу количества вълнист скат:</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417"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Вълнист скат</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8</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7"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Raja undulata</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(RJU/8-C.)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417"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Вълнист скат</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9</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7"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Raja undulata</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(RJU/9-C.)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vAlign w:val="center"/>
            <w:hideMark/>
          </w:tcPr>
          <w:p>
            <w:pPr>
              <w:spacing w:after="0"/>
              <w:jc w:val="right"/>
              <w:rPr>
                <w:rFonts w:eastAsia="Times New Roman"/>
                <w:noProof/>
                <w:color w:val="000000"/>
                <w:sz w:val="18"/>
                <w:szCs w:val="18"/>
              </w:rPr>
            </w:pPr>
            <w:r>
              <w:rPr>
                <w:noProof/>
                <w:color w:val="000000"/>
                <w:sz w:val="18"/>
                <w:szCs w:val="18"/>
              </w:rPr>
              <w:t>pm</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85"/>
        </w:trPr>
        <w:tc>
          <w:tcPr>
            <w:tcW w:w="1426" w:type="dxa"/>
            <w:tcBorders>
              <w:top w:val="nil"/>
              <w:left w:val="single" w:sz="8" w:space="0" w:color="auto"/>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Черна писия</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и 4; води на Съюза и международни води от 5b и 6</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3853" w:type="dxa"/>
            <w:gridSpan w:val="3"/>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Reinhardtius hippoglossoides</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(GHL/2A-C46)</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Естония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Литва</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Полша</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Може да се лови във водите на Съюза от 2a и 6. В 6 риболовът на това количество може да се извършва само с парагади (GHL/*2A6-C).</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Скумрия</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 и 4; води на Съюза от 2a, 3b, 3c и подучастъци 22—32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(MAC/2A34.)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Уловът в рамките на горните квоти не може да надвишава посочените по-долу количества и в следните две зони: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sz w:val="16"/>
                <w:szCs w:val="16"/>
              </w:rPr>
            </w:pPr>
            <w:r>
              <w:rPr>
                <w:rFonts w:ascii="Calibri" w:hAnsi="Calibri"/>
                <w:noProof/>
                <w:sz w:val="16"/>
                <w:szCs w:val="16"/>
              </w:rPr>
              <w:t xml:space="preserve"> </w:t>
            </w:r>
          </w:p>
        </w:tc>
        <w:tc>
          <w:tcPr>
            <w:tcW w:w="1283" w:type="dxa"/>
            <w:tcBorders>
              <w:top w:val="nil"/>
              <w:left w:val="nil"/>
              <w:bottom w:val="single" w:sz="4" w:space="0" w:color="auto"/>
              <w:right w:val="nil"/>
            </w:tcBorders>
            <w:shd w:val="clear" w:color="auto" w:fill="auto"/>
            <w:noWrap/>
            <w:hideMark/>
          </w:tcPr>
          <w:p>
            <w:pPr>
              <w:spacing w:after="0"/>
              <w:jc w:val="center"/>
              <w:rPr>
                <w:rFonts w:eastAsia="Times New Roman"/>
                <w:b/>
                <w:bCs/>
                <w:noProof/>
                <w:sz w:val="18"/>
                <w:szCs w:val="18"/>
              </w:rPr>
            </w:pPr>
            <w:r>
              <w:rPr>
                <w:b/>
                <w:bCs/>
                <w:noProof/>
                <w:sz w:val="18"/>
                <w:szCs w:val="18"/>
                <w:vertAlign w:val="superscript"/>
              </w:rPr>
              <w:t>Норвежки води от 2a (MAC/*02AN-)</w:t>
            </w:r>
          </w:p>
        </w:tc>
        <w:tc>
          <w:tcPr>
            <w:tcW w:w="1134" w:type="dxa"/>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4" w:space="0" w:color="auto"/>
              <w:right w:val="nil"/>
            </w:tcBorders>
            <w:shd w:val="clear" w:color="auto" w:fill="auto"/>
            <w:noWrap/>
            <w:hideMark/>
          </w:tcPr>
          <w:p>
            <w:pPr>
              <w:spacing w:after="0"/>
              <w:rPr>
                <w:rFonts w:eastAsia="Times New Roman"/>
                <w:b/>
                <w:bCs/>
                <w:noProof/>
                <w:sz w:val="18"/>
                <w:szCs w:val="18"/>
              </w:rPr>
            </w:pPr>
            <w:r>
              <w:rPr>
                <w:b/>
                <w:bCs/>
                <w:noProof/>
                <w:sz w:val="18"/>
                <w:szCs w:val="18"/>
                <w:vertAlign w:val="superscript"/>
              </w:rPr>
              <w:t>Фарьорски води (MAC/*FRO1)</w:t>
            </w:r>
          </w:p>
        </w:tc>
        <w:tc>
          <w:tcPr>
            <w:tcW w:w="1137" w:type="dxa"/>
            <w:tcBorders>
              <w:top w:val="nil"/>
              <w:left w:val="nil"/>
              <w:bottom w:val="nil"/>
              <w:right w:val="nil"/>
            </w:tcBorders>
            <w:shd w:val="clear" w:color="auto" w:fill="auto"/>
            <w:noWrap/>
            <w:hideMark/>
          </w:tcPr>
          <w:p>
            <w:pPr>
              <w:spacing w:after="0"/>
              <w:rPr>
                <w:rFonts w:eastAsia="Times New Roman"/>
                <w:b/>
                <w:bCs/>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Белгия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Дания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Германия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Франция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Швеция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Съюз</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Може да се лови и в норвежки води от 4a (MAC/*4AN.).</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в това число следното количество в тонове, което може да се лови в норвежки води от 2a и 4a (MAC/*2A4AN):</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8815" w:type="dxa"/>
            <w:gridSpan w:val="7"/>
            <w:tcBorders>
              <w:top w:val="nil"/>
              <w:left w:val="nil"/>
              <w:bottom w:val="nil"/>
              <w:right w:val="nil"/>
            </w:tcBorders>
            <w:shd w:val="clear" w:color="auto" w:fill="auto"/>
            <w:noWrap/>
            <w:vAlign w:val="bottom"/>
            <w:hideMark/>
          </w:tcPr>
          <w:p>
            <w:pPr>
              <w:spacing w:after="0"/>
              <w:rPr>
                <w:rFonts w:eastAsia="Times New Roman"/>
                <w:noProof/>
                <w:sz w:val="18"/>
                <w:szCs w:val="18"/>
              </w:rPr>
            </w:pPr>
            <w:r>
              <w:rPr>
                <w:noProof/>
                <w:sz w:val="18"/>
                <w:szCs w:val="18"/>
                <w:vertAlign w:val="superscript"/>
              </w:rPr>
              <w:t>Когато се извършва риболов по това специално условие, приловът на атлантическа треска, пикша, сребриста сайда, меджид и сайда се приспада от квотите за тези видове.</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Да се приспадне от дела на Норвегия в ОДУ (квота за достъп). Това количество включва следния дял на Норвегия в ОДУ за Северно море:</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Риболов по тази квота може да се извършва само в 4a (MAC/*04A.), освен за следното количество (в тонове), което може да се лови в 3a (MAC/*03A.):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Специално условие: уловът в рамките на определените по-горе квоти не може да надвишава посочените по-долу количества</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 следните зони:</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4" w:space="0" w:color="auto"/>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436"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b/>
                <w:bCs/>
                <w:noProof/>
                <w:sz w:val="12"/>
                <w:szCs w:val="12"/>
              </w:rPr>
            </w:pPr>
            <w:r>
              <w:rPr>
                <w:b/>
                <w:bCs/>
                <w:noProof/>
                <w:sz w:val="12"/>
                <w:szCs w:val="12"/>
              </w:rPr>
              <w:t>3a</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 xml:space="preserve">3a и 4bc </w:t>
            </w:r>
          </w:p>
        </w:tc>
        <w:tc>
          <w:tcPr>
            <w:tcW w:w="1134"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 xml:space="preserve">4b </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4c</w:t>
            </w:r>
          </w:p>
        </w:tc>
        <w:tc>
          <w:tcPr>
            <w:tcW w:w="1137"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6, международни води от 2а, от 1 януари до 15 февруари и от 1 септември до 31 декември</w:t>
            </w:r>
          </w:p>
        </w:tc>
        <w:tc>
          <w:tcPr>
            <w:tcW w:w="1273"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jc w:val="center"/>
              <w:rPr>
                <w:rFonts w:eastAsia="Times New Roman"/>
                <w:noProof/>
                <w:color w:val="000000"/>
                <w:sz w:val="12"/>
                <w:szCs w:val="12"/>
              </w:rPr>
            </w:pPr>
            <w:r>
              <w:rPr>
                <w:noProof/>
                <w:color w:val="000000"/>
                <w:sz w:val="12"/>
                <w:szCs w:val="12"/>
              </w:rPr>
              <w:t xml:space="preserve"> </w:t>
            </w:r>
          </w:p>
        </w:tc>
        <w:tc>
          <w:tcPr>
            <w:tcW w:w="1436" w:type="dxa"/>
            <w:tcBorders>
              <w:top w:val="nil"/>
              <w:left w:val="nil"/>
              <w:bottom w:val="single" w:sz="4" w:space="0" w:color="auto"/>
              <w:right w:val="single" w:sz="4" w:space="0" w:color="auto"/>
            </w:tcBorders>
            <w:shd w:val="clear" w:color="auto" w:fill="auto"/>
            <w:noWrap/>
            <w:hideMark/>
          </w:tcPr>
          <w:p>
            <w:pPr>
              <w:spacing w:after="0"/>
              <w:rPr>
                <w:rFonts w:eastAsia="Times New Roman"/>
                <w:noProof/>
                <w:sz w:val="12"/>
                <w:szCs w:val="12"/>
              </w:rPr>
            </w:pPr>
            <w:r>
              <w:rPr>
                <w:noProof/>
                <w:sz w:val="12"/>
                <w:szCs w:val="12"/>
              </w:rPr>
              <w:t>(MAC/*03 A.)</w:t>
            </w:r>
          </w:p>
        </w:tc>
        <w:tc>
          <w:tcPr>
            <w:tcW w:w="1283"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(MAC/*3A4BC)</w:t>
            </w:r>
          </w:p>
        </w:tc>
        <w:tc>
          <w:tcPr>
            <w:tcW w:w="1134"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(MAC/*04 B.)</w:t>
            </w:r>
          </w:p>
        </w:tc>
        <w:tc>
          <w:tcPr>
            <w:tcW w:w="1276"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(MAC/*04C.)</w:t>
            </w:r>
          </w:p>
        </w:tc>
        <w:tc>
          <w:tcPr>
            <w:tcW w:w="1137"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(MAC/*2A6.)</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Дания</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2"/>
                <w:szCs w:val="12"/>
              </w:rPr>
            </w:pPr>
            <w:r>
              <w:rPr>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Франция</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2"/>
                <w:szCs w:val="12"/>
              </w:rPr>
            </w:pPr>
            <w:r>
              <w:rPr>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Нидерландия</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2"/>
                <w:szCs w:val="12"/>
              </w:rPr>
            </w:pPr>
            <w:r>
              <w:rPr>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Швеция</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2"/>
                <w:szCs w:val="12"/>
              </w:rPr>
            </w:pPr>
            <w:r>
              <w:rPr>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Норвегия</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2"/>
                <w:szCs w:val="12"/>
              </w:rPr>
            </w:pPr>
            <w:r>
              <w:rPr>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rPr>
            </w:pPr>
            <w:r>
              <w:rPr>
                <w:b/>
                <w:bCs/>
                <w:noProof/>
                <w:color w:val="000000"/>
                <w:sz w:val="12"/>
                <w:szCs w:val="12"/>
              </w:rPr>
              <w:t>Обединено кралство</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2"/>
                <w:szCs w:val="12"/>
              </w:rPr>
            </w:pPr>
            <w:r>
              <w:rPr>
                <w:noProof/>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436" w:type="dxa"/>
            <w:tcBorders>
              <w:top w:val="nil"/>
              <w:left w:val="nil"/>
              <w:bottom w:val="single" w:sz="8" w:space="0" w:color="auto"/>
              <w:right w:val="nil"/>
            </w:tcBorders>
            <w:shd w:val="clear" w:color="auto" w:fill="auto"/>
            <w:noWrap/>
            <w:hideMark/>
          </w:tcPr>
          <w:p>
            <w:pPr>
              <w:spacing w:after="0"/>
              <w:jc w:val="right"/>
              <w:rPr>
                <w:rFonts w:eastAsia="Times New Roman"/>
                <w:noProof/>
                <w:sz w:val="12"/>
                <w:szCs w:val="12"/>
              </w:rPr>
            </w:pPr>
            <w:r>
              <w:rPr>
                <w:noProof/>
                <w:sz w:val="12"/>
                <w:szCs w:val="12"/>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 xml:space="preserve"> </w:t>
            </w:r>
          </w:p>
        </w:tc>
        <w:tc>
          <w:tcPr>
            <w:tcW w:w="1134"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 xml:space="preserve"> </w:t>
            </w:r>
          </w:p>
        </w:tc>
        <w:tc>
          <w:tcPr>
            <w:tcW w:w="1276"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 xml:space="preserve"> </w:t>
            </w:r>
          </w:p>
        </w:tc>
        <w:tc>
          <w:tcPr>
            <w:tcW w:w="1137"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Скумрия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 7, 8a, 8b, 8d и 8e; води на Съюза и международни води от 5b; международни води от 2a, 12 и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(MAC/2CX14-)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Естония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Латвия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Литва</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Полша</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Фарьорски острови</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Специално условие: от които до 25 % могат да се използват за размяна, като риболовът се извършва от Испания, Франция и Португалия в 8c, 9 и 10 и във водите на Съюза от CECAF 34.1.1 (MAC/*8C910).</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Може да се лови в 2a, 6a на север от 56° 30' с.ш., 4a, 7d, 7e, 7f и 7h (MAC/*AX7H).</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Норвегия може да извършва риболов на посоченото по-долу количество (в тонове) във води на ЕС в рамките на собствената си квота (MAC/* N5630) на север от 56° 30′ с.ш. Количествата, които не се отчитат съгласно бележка под линия 2, се приспадат от ограничението на улова, установено от Норвегия.</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Това количество се приспада от ограничението на улова (квотата за достъп) на Фарьорските острови. Риболовът може да се извършва само в 6a на север от 56° 30' с.ш. (MAC/*6AN56). Въпреки това от 1 януари до 15 февруари и от 1 октомври до 31 декември риболов по тази квота може да се извършва и в 2a, 4a на север от 59° (зона на ЕС) (MAC/*24N59).</w:t>
            </w: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Специално условие: уловът в рамките на определените по-горе квоти не може да надвишава посочените по-долу количества в следните зони и периоди:</w:t>
            </w:r>
          </w:p>
        </w:tc>
      </w:tr>
      <w:tr>
        <w:trPr>
          <w:trHeight w:val="264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hideMark/>
          </w:tcPr>
          <w:p>
            <w:pPr>
              <w:spacing w:after="0"/>
              <w:rPr>
                <w:rFonts w:eastAsia="Times New Roman"/>
                <w:b/>
                <w:bCs/>
                <w:noProof/>
                <w:sz w:val="12"/>
                <w:szCs w:val="12"/>
              </w:rPr>
            </w:pPr>
            <w:r>
              <w:rPr>
                <w:b/>
                <w:bCs/>
                <w:noProof/>
                <w:sz w:val="12"/>
                <w:szCs w:val="12"/>
              </w:rPr>
              <w:t>Води на Съюза от 2а; води на Съюза и норвежки води от 4a. През периодите от 1 януари до 15 февруари и от 1 септември до 31 декември</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b/>
                <w:bCs/>
                <w:noProof/>
                <w:color w:val="000000"/>
                <w:sz w:val="12"/>
                <w:szCs w:val="12"/>
              </w:rPr>
            </w:pPr>
            <w:r>
              <w:rPr>
                <w:rFonts w:ascii="Calibri" w:hAnsi="Calibri"/>
                <w:b/>
                <w:bCs/>
                <w:noProof/>
                <w:color w:val="000000"/>
                <w:sz w:val="12"/>
                <w:szCs w:val="12"/>
              </w:rPr>
              <w:t xml:space="preserve"> </w:t>
            </w:r>
          </w:p>
        </w:tc>
        <w:tc>
          <w:tcPr>
            <w:tcW w:w="2410" w:type="dxa"/>
            <w:gridSpan w:val="2"/>
            <w:tcBorders>
              <w:top w:val="nil"/>
              <w:left w:val="single" w:sz="4" w:space="0" w:color="auto"/>
              <w:bottom w:val="nil"/>
              <w:right w:val="single" w:sz="4" w:space="0" w:color="000000"/>
            </w:tcBorders>
            <w:shd w:val="clear" w:color="auto" w:fill="auto"/>
            <w:noWrap/>
            <w:hideMark/>
          </w:tcPr>
          <w:p>
            <w:pPr>
              <w:spacing w:after="0"/>
              <w:rPr>
                <w:rFonts w:eastAsia="Times New Roman"/>
                <w:b/>
                <w:bCs/>
                <w:noProof/>
                <w:color w:val="000000"/>
                <w:sz w:val="12"/>
                <w:szCs w:val="12"/>
              </w:rPr>
            </w:pPr>
            <w:r>
              <w:rPr>
                <w:b/>
                <w:bCs/>
                <w:noProof/>
                <w:color w:val="000000"/>
                <w:sz w:val="12"/>
                <w:szCs w:val="12"/>
              </w:rPr>
              <w:t>Норвежки води от 2a</w:t>
            </w:r>
          </w:p>
        </w:tc>
        <w:tc>
          <w:tcPr>
            <w:tcW w:w="2410" w:type="dxa"/>
            <w:gridSpan w:val="2"/>
            <w:tcBorders>
              <w:top w:val="nil"/>
              <w:left w:val="nil"/>
              <w:bottom w:val="nil"/>
              <w:right w:val="single" w:sz="4" w:space="0" w:color="000000"/>
            </w:tcBorders>
            <w:shd w:val="clear" w:color="auto" w:fill="auto"/>
            <w:noWrap/>
            <w:hideMark/>
          </w:tcPr>
          <w:p>
            <w:pPr>
              <w:spacing w:after="0"/>
              <w:rPr>
                <w:rFonts w:eastAsia="Times New Roman"/>
                <w:b/>
                <w:bCs/>
                <w:noProof/>
                <w:color w:val="000000"/>
                <w:sz w:val="12"/>
                <w:szCs w:val="12"/>
              </w:rPr>
            </w:pPr>
            <w:r>
              <w:rPr>
                <w:b/>
                <w:bCs/>
                <w:noProof/>
                <w:color w:val="000000"/>
                <w:sz w:val="12"/>
                <w:szCs w:val="12"/>
              </w:rPr>
              <w:t>Фарьорски води</w:t>
            </w:r>
          </w:p>
        </w:tc>
        <w:tc>
          <w:tcPr>
            <w:tcW w:w="1276"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single" w:sz="4" w:space="0" w:color="auto"/>
              <w:left w:val="single" w:sz="4" w:space="0" w:color="auto"/>
              <w:bottom w:val="single" w:sz="4" w:space="0" w:color="auto"/>
              <w:right w:val="nil"/>
            </w:tcBorders>
            <w:shd w:val="clear" w:color="auto" w:fill="auto"/>
            <w:noWrap/>
            <w:hideMark/>
          </w:tcPr>
          <w:p>
            <w:pPr>
              <w:spacing w:after="0"/>
              <w:rPr>
                <w:rFonts w:eastAsia="Times New Roman"/>
                <w:noProof/>
                <w:sz w:val="12"/>
                <w:szCs w:val="12"/>
              </w:rPr>
            </w:pPr>
            <w:r>
              <w:rPr>
                <w:noProof/>
                <w:sz w:val="12"/>
                <w:szCs w:val="12"/>
              </w:rPr>
              <w:t>(MAC/*4A-EN)</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4" w:type="dxa"/>
            <w:tcBorders>
              <w:top w:val="single" w:sz="4" w:space="0" w:color="auto"/>
              <w:left w:val="nil"/>
              <w:bottom w:val="single" w:sz="4" w:space="0" w:color="auto"/>
              <w:right w:val="nil"/>
            </w:tcBorders>
            <w:shd w:val="clear" w:color="auto" w:fill="auto"/>
            <w:noWrap/>
            <w:hideMark/>
          </w:tcPr>
          <w:p>
            <w:pPr>
              <w:spacing w:after="0"/>
              <w:rPr>
                <w:rFonts w:eastAsia="Times New Roman"/>
                <w:noProof/>
                <w:color w:val="000000"/>
                <w:sz w:val="12"/>
                <w:szCs w:val="12"/>
              </w:rPr>
            </w:pPr>
            <w:r>
              <w:rPr>
                <w:noProof/>
                <w:color w:val="000000"/>
                <w:sz w:val="12"/>
                <w:szCs w:val="12"/>
              </w:rPr>
              <w:t>(MAC/* 2AN-)</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single" w:sz="4" w:space="0" w:color="auto"/>
              <w:left w:val="nil"/>
              <w:bottom w:val="single" w:sz="4" w:space="0" w:color="auto"/>
              <w:right w:val="nil"/>
            </w:tcBorders>
            <w:shd w:val="clear" w:color="auto" w:fill="auto"/>
            <w:noWrap/>
            <w:hideMark/>
          </w:tcPr>
          <w:p>
            <w:pPr>
              <w:spacing w:after="0"/>
              <w:jc w:val="center"/>
              <w:rPr>
                <w:rFonts w:eastAsia="Times New Roman"/>
                <w:noProof/>
                <w:color w:val="000000"/>
                <w:sz w:val="12"/>
                <w:szCs w:val="12"/>
              </w:rPr>
            </w:pPr>
            <w:r>
              <w:rPr>
                <w:noProof/>
                <w:color w:val="000000"/>
                <w:sz w:val="12"/>
                <w:szCs w:val="12"/>
              </w:rPr>
              <w:t>(MAC/*FRO2)</w:t>
            </w:r>
          </w:p>
        </w:tc>
        <w:tc>
          <w:tcPr>
            <w:tcW w:w="1273"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Германия</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single" w:sz="4" w:space="0" w:color="auto"/>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Франция</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Ирландия</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Нидерландия</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Съюз</w:t>
            </w:r>
          </w:p>
        </w:tc>
        <w:tc>
          <w:tcPr>
            <w:tcW w:w="1436" w:type="dxa"/>
            <w:tcBorders>
              <w:top w:val="nil"/>
              <w:left w:val="nil"/>
              <w:bottom w:val="single" w:sz="4" w:space="0" w:color="auto"/>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single" w:sz="4" w:space="0" w:color="auto"/>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nil"/>
              <w:left w:val="nil"/>
              <w:bottom w:val="single" w:sz="4" w:space="0" w:color="auto"/>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single" w:sz="4" w:space="0" w:color="auto"/>
              <w:bottom w:val="single" w:sz="4" w:space="0" w:color="auto"/>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single" w:sz="4" w:space="0" w:color="auto"/>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rPr>
            </w:pPr>
            <w:r>
              <w:rPr>
                <w:b/>
                <w:bCs/>
                <w:noProof/>
                <w:color w:val="000000"/>
                <w:sz w:val="12"/>
                <w:szCs w:val="12"/>
              </w:rPr>
              <w:t>Обединено кралство</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rPr>
            </w:pPr>
            <w:r>
              <w:rPr>
                <w:noProof/>
                <w:color w:val="000000"/>
                <w:sz w:val="12"/>
                <w:szCs w:val="12"/>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rPr>
            </w:pPr>
            <w:r>
              <w:rPr>
                <w:noProof/>
                <w:color w:val="000000"/>
                <w:sz w:val="12"/>
                <w:szCs w:val="12"/>
              </w:rPr>
              <w:t xml:space="preserve">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rPr>
            </w:pPr>
            <w:r>
              <w:rPr>
                <w:noProof/>
                <w:sz w:val="12"/>
                <w:szCs w:val="12"/>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rPr>
            </w:pPr>
            <w:r>
              <w:rPr>
                <w:rFonts w:ascii="Calibri" w:hAnsi="Calibri"/>
                <w:noProof/>
                <w:color w:val="000000"/>
                <w:sz w:val="12"/>
                <w:szCs w:val="12"/>
              </w:rPr>
              <w:t xml:space="preserve">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Скумрия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8c, 9 и 10; води на Съюза от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(MAC/8C3411)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количествата, които се разменят с други държави членки, може да се ловят в 8a, 8b и 8d (MAC/*8ABD.). Въпреки това количествата, осигурени от Испания, Франция или Португалия за целите на размяната и уловени в 8a, 8b и 8d, не могат да надвишават 25 % от квотите на прехвърлящата държава членка.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Специално условие: уловът в рамките на определените по-горе квоти не може да надвишава посочените по-долу количества в следната зона:</w:t>
            </w:r>
          </w:p>
        </w:tc>
      </w:tr>
      <w:tr>
        <w:trPr>
          <w:trHeight w:val="255"/>
        </w:trPr>
        <w:tc>
          <w:tcPr>
            <w:tcW w:w="2862" w:type="dxa"/>
            <w:gridSpan w:val="2"/>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8b (MAC/*08B.)</w:t>
            </w:r>
          </w:p>
        </w:tc>
        <w:tc>
          <w:tcPr>
            <w:tcW w:w="1283" w:type="dxa"/>
            <w:tcBorders>
              <w:top w:val="nil"/>
              <w:left w:val="nil"/>
              <w:bottom w:val="single" w:sz="4" w:space="0" w:color="auto"/>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Скумрия</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2a и 4a</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(MAC/02A4А-N.)</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Не се прилага</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Обикновен морски език</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 води на Съюза от подучастъци 22—24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(SOL/3ABC24)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500</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29</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48</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19</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596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596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Риболов по тази квота може да се извършва само във водите на Съюза от 3a, подучастъци 22—24.</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Обикновен морски език</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и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(SOL/24-C.)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Може да се лови само във водите на Съюза от 4 (SOL/*04-C.).</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Обикновен морски език</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6; води на Съюза и международни води от 5b; международни води от 12 и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Обикновен морски език</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(SOL/07A.)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Обикновен морски език</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7b и 7c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(SOL/7BC.)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36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34</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 xml:space="preserve"> 34</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Обикновен морски език</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7d</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(SOL/07D.)</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Обикновен морски език</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(SOL/07E.)</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Обикновен морски език</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7f и 7g</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(SOL/7FG.)</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Обикновен морски език</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7h, 7j и 7k</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(SOL/7HJK.)</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Обикновен морски език</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8a и 8b</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(SOL/8AB.)</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42</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8</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3 077</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231</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3 358</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3 483</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Морски език, видове</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8c, 8d, 8e, 9 и 10; води на Съюза от CECAF 34.1.1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 xml:space="preserve">Solea </w:t>
            </w:r>
            <w:r>
              <w:rPr>
                <w:noProof/>
                <w:sz w:val="18"/>
                <w:szCs w:val="18"/>
              </w:rPr>
              <w:t>spp.</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rPr>
            </w:pPr>
            <w:r>
              <w:rPr>
                <w:i/>
                <w:iCs/>
                <w:noProof/>
                <w:color w:val="000000"/>
                <w:sz w:val="18"/>
                <w:szCs w:val="18"/>
              </w:rPr>
              <w:t xml:space="preserve">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(SOO/8CDE34)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189</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313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502</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 xml:space="preserve"> 502</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Цаца и съответен прилов</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Sprattus sprattus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(SPR/03A.)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меджид и пикша може да бъде до 5 % от квотата (OTH/*03A.). Сумата от прилова на меджид и пикша, приспаднат от квотата в съответствие с настоящата разпоредба, и от прилова на видове, приспаднат от квотата в съответствие с член 15, параграф 8 от Регламент (ЕС) № 1380/2013, не надхвърля 9 % от квотата.</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Риболов по тази квота може да се извършва само от 1 юли 2021 г. до 30 юни 2022 г.</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Цаца и съответен прилов</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и 4</w:t>
            </w:r>
          </w:p>
        </w:tc>
        <w:tc>
          <w:tcPr>
            <w:tcW w:w="1276" w:type="dxa"/>
            <w:tcBorders>
              <w:top w:val="single" w:sz="8" w:space="0" w:color="auto"/>
              <w:left w:val="nil"/>
              <w:bottom w:val="nil"/>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r>
      <w:tr>
        <w:trPr>
          <w:trHeight w:val="735"/>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Sprattus sprattus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c>
          <w:tcPr>
            <w:tcW w:w="1137" w:type="dxa"/>
            <w:tcBorders>
              <w:top w:val="nil"/>
              <w:left w:val="nil"/>
              <w:bottom w:val="single" w:sz="8" w:space="0" w:color="auto"/>
              <w:right w:val="nil"/>
            </w:tcBorders>
            <w:shd w:val="clear" w:color="auto" w:fill="auto"/>
            <w:hideMark/>
          </w:tcPr>
          <w:p>
            <w:pPr>
              <w:spacing w:after="0"/>
              <w:jc w:val="center"/>
              <w:rPr>
                <w:rFonts w:eastAsia="Times New Roman"/>
                <w:noProof/>
                <w:sz w:val="18"/>
                <w:szCs w:val="18"/>
              </w:rPr>
            </w:pPr>
            <w:r>
              <w:rPr>
                <w:noProof/>
                <w:sz w:val="18"/>
                <w:szCs w:val="18"/>
              </w:rPr>
              <w:t xml:space="preserve"> (SPR/2AC4-C)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rPr>
            </w:pPr>
            <w:r>
              <w:rPr>
                <w:rFonts w:ascii="Calibri" w:hAnsi="Calibri"/>
                <w:noProof/>
                <w:color w:val="000000"/>
                <w:sz w:val="16"/>
                <w:szCs w:val="16"/>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Фарьорски острови</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Риболов по тази квота може да се извършва само от 1 юли 2021 г. до 30 юни 2022 г.</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меджид може да бъде до 2 % от квотата (OTH/*2AC4C). Сумата от прилова на меджид, приспаднат от квотата в съответствие с настоящата разпоредба, и от прилова на видове, приспаднат от квотата в съответствие с член 15, параграф 8 от Регламент (ЕС) № 1380/2013, не надхвърля 9 % от квотата.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Включително пясъчница.</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Може да съдържа до 4 % прилов на херинга.</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Цаца</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7d и 7e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rPr>
            </w:pPr>
            <w:r>
              <w:rPr>
                <w:i/>
                <w:iCs/>
                <w:noProof/>
                <w:sz w:val="18"/>
                <w:szCs w:val="18"/>
              </w:rPr>
              <w:t>Sprattus sprattus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rPr>
            </w:pPr>
            <w:r>
              <w:rPr>
                <w:i/>
                <w:iCs/>
                <w:noProof/>
                <w:color w:val="000000"/>
                <w:sz w:val="18"/>
                <w:szCs w:val="18"/>
              </w:rPr>
              <w:t xml:space="preserve">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(SPR/7DE.)</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Черноморска бодлива акула</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и международни води от 1, 5, 6, 7, 8, 12 и 14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Squalus acanthias</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(DGS/15X14)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Не се извършва целеви риболов на черноморска бодлива акула в зоните, в които се прилага този ОДУ. Когато бъдат уловени случайно в рамките на риболов, при който по отношение на бодливата акула не се прилага задължението за разтоварване на сушата, екземплярите от този вид не се нараняват и незабавно се пускат обратно в морето съгласно изискванията по членове 13 и 48 от настоящия регламент. Чрез дерогация от член 14 корабите, участващи в получила положителна оценка от НТИКР програма за избягване на прилова, могат да разтоварват на сушата месечно не повече от 2 тона бодливи акули, които са мъртви към момента на изтегляне на риболовния уред на борда. Държавите членки, участващи в програмата за избягване на прилова, гарантират, че общото годишно количество на разтоварванията на сушата на бодлива акула съгласно тази дерогация не надвишава посочените по-горе количества. Преди да дадат разрешение за разтоварване на сушата, те изпращат на Комисията списък на участващите кораби. Държавите членки обменят информация относно зоните, които да се избягват.</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vAlign w:val="bottom"/>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Сафрид (видове) и съответен прилов</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4b, 4c и 7d</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(JAX/4BC7D)</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капрови риби, пикша, меджид и скумрия може да бъде до 5 % от квотата (OTH/*4BC7D). Сборът от прилова на капрови риби, пикша, меджид и скумрия, приспаднат от квотата в съответствие с настоящата разпоредба, и от прилова на видове, приспаднат от квотата в съответствие с член 15, параграф 8 от Регламент (ЕС) № 1380/2013, не надхвърля 9 % от квотата.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до pm % от тази квота, уловени в участък 7d, могат да се отчетат като уловени по квотата, отнасяща се за следната зона: води на Съюза от 2a, 4а, 6, 7a—c, 7e—k, 8a, 8b, 8d и 8e; води на Съюза и международни води от 5b; международни води от 12 и 14 (JAX/*7D-EU).</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Може да се лови във водите на Съюза от 4a, но не и във водите на Съюза от 7d (JAX/*04-C.).</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Сафрид (видове) и съответен прилов</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Води на Съюза от 2a, 4а; 6, 7a—c, 7e—k, 8a, 8b, 8d и 8e; води на Съюза и международни води от 5b; международни води от 12 и 14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(JAX/2A-14)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(3)</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 (5)</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 (5)</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Ирландия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 (5)</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Фарьорски острови</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до 5 % от тази квота, уловени във водите на Съюза от 2a или 4a преди 30 юни, могат да се отчетат като уловени по квотата, отнасяща се за зоната, състояща се от води на Съюза от 4b, 4c и 7d (JAX/*2A4AC).</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до pm % от тази квота може да се ловят в 7d (JAX/*07D.). Съгласно това специално условие и в съответствие с бележка под линия 3 приловът на капрови риби и меджид се докладва отделно със следния код: (OTH/*07D.).</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капрови риби, пикша, меджид и скумрия може да бъде до 5 % от квотата (OTH/*2A-14). Сборът от прилова на капрови риби, пикша, меджид и скумрия, приспаднат от квотата в съответствие с настоящата разпоредба, и от прилова на видове, приспаднат от квотата в съответствие с член 15, параграф 8 от Регламент (ЕС) № 1380/2013, не надхвърля 9 % от квотата.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Ограничено до 4a, 6a (само на север от 56° 30' с.ш.), 7e, 7f, 7h.</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(5)</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до 80 % от тази квота може да се ловят в 8c (JAX/*08C2). Съгласно това специално условие и в съответствие с бележка под линия 3 приловът на капрови риби и меджид се докладва отделно със следния код: (OTH/*08C2).</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Сафрид, видове</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8c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(JAX/08C.)</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до pm % от тази квота може да се ловят в 9 (JAX/*09.).</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Сафрид, видове</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9</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(JAX/09.)</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31 834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91 211</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7, параграф 2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123 045</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128 627</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до pm % от тази квота може да се ловят в 8c (JAX/*08C.).</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Сафрид, видове</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10; води на Съюза от CECAF(1)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(JAX/X34PRT)</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6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Водите около Азорските острови.</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Определя се на същото количество като квотата на Португалия.</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Сафрид, видове</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Води на Съюза от CECAF(1)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(JAX/341PRT)</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Португалия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6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Водите около островите Мадейра.</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Определя се на същото количество като квотата на Португалия.</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Сафрид, видове</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Води на Съюза от CECAF(1)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Trachurus </w:t>
            </w:r>
            <w:r>
              <w:rPr>
                <w:noProof/>
                <w:sz w:val="18"/>
                <w:szCs w:val="18"/>
              </w:rPr>
              <w:t>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(JAX/341SPN)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Испания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Прилага се член 6 от настоящия регламент.</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Предстои да бъде определен</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Водите около Канарските острови.</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Определя се на същото количество като квотата на Испания.</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Норвежки паут и съответен прилов</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3a; води на Съюза от 2a и 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Trisopterus esmarkii</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(NOP/2A3A4.)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8"/>
                <w:szCs w:val="18"/>
              </w:rPr>
            </w:pPr>
            <w:r>
              <w:rPr>
                <w:b/>
                <w:bCs/>
                <w:noProof/>
                <w:color w:val="000000"/>
                <w:sz w:val="18"/>
                <w:szCs w:val="18"/>
              </w:rPr>
              <w:t>Година</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2021</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2022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(6)</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Аналитичен ОДУ</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 (2)(3)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 (6)</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3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(1)(2)(3)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(2)(6)</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Член 4 от Регламент (ЕО) № 847/96 не се прилага.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(1)(3)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(6)</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(4)</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Фарьорски острови</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(5)</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(5)</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Не се прилага</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Не се прилага</w:t>
            </w:r>
          </w:p>
        </w:tc>
        <w:tc>
          <w:tcPr>
            <w:tcW w:w="1276"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пикша и меджид може да бъде до 5 % от квотата (OT2/*2A3A4). Сборът от прилова на пикша и меджид, приспаднат от квотата в съответствие с настоящата разпоредба, и от прилова на видове, приспаднат от квотата в съответствие с член 15, параграф 8 от Регламент (ЕС) № 1380/2013, не надхвърля 9 % от квотата.</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Риболов по тази квота може да се извършва само във водите на Съюза от зони 2a, 3a и 4 на ICES.</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Риболов по квотата на Съюза може да се извършва само от 1 ноември 2020 г. до 31 октомври 2021 г.</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(4)</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Използват се сортиращи решетки.</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(5)</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Използват се сортиращи решетки. Включва не повече от 15 % неизбежен прилов (NOP/*2A3A4), който се приспада от тази квота.</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(6)</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Риболов по квотата на Съюза може да се извършва само от 1 ноември 2021 г. до 31 октомври 2022 г.</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Риба от стопански риболов</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(I/F/04-N.)</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Приловът на атлантическа треска, пикша, сребриста сайда, меджид и сайда се приспада от квотите за тези видове.</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Специално условие: от които не повече от следното количество сафрид (JAX/*04-N.):</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vertAlign w:val="superscript"/>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Други видове</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5b, 6 и 7</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(OTH/5B67-C)</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Уловени само с парагади.</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rPr>
            </w:pPr>
            <w:r>
              <w:rPr>
                <w:rFonts w:ascii="Calibri" w:hAnsi="Calibri"/>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rPr>
            </w:pPr>
            <w:r>
              <w:rPr>
                <w:rFonts w:ascii="Calibri" w:hAnsi="Calibri"/>
                <w:noProof/>
                <w:color w:val="000000"/>
                <w:sz w:val="18"/>
                <w:szCs w:val="18"/>
              </w:rPr>
              <w:t xml:space="preserve">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rPr>
              <w:t>Други видове</w:t>
            </w:r>
          </w:p>
        </w:tc>
        <w:tc>
          <w:tcPr>
            <w:tcW w:w="1134" w:type="dxa"/>
            <w:tcBorders>
              <w:top w:val="nil"/>
              <w:left w:val="nil"/>
              <w:bottom w:val="nil"/>
              <w:right w:val="single" w:sz="8" w:space="0" w:color="auto"/>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Норвежки води от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(OTH/04-N.)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Белгия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Дания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Германия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Франция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Нидерландия</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Швеция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Не се прилага</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Обединено кралство</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Квота, която Норвегия предоставя на Швеция за „други видове“ на обичайно равнище.</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Включително риболов, който не е посочен изрично. При необходимост и след консултации могат да бъдат въведени изключения.</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Вид:</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rPr>
            </w:pPr>
            <w:r>
              <w:rPr>
                <w:noProof/>
                <w:sz w:val="18"/>
                <w:szCs w:val="18"/>
              </w:rPr>
              <w:t>Други видове</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Зона:</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Води на Съюза от 2a, 4 и 6a на север от 56° 30' с.ш.</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rPr>
            </w:pPr>
            <w:r>
              <w:rPr>
                <w:i/>
                <w:iCs/>
                <w:noProof/>
                <w:sz w:val="18"/>
                <w:szCs w:val="18"/>
              </w:rPr>
              <w:t xml:space="preserve">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rPr>
            </w:pPr>
            <w:r>
              <w:rPr>
                <w:noProof/>
                <w:color w:val="000000"/>
                <w:sz w:val="18"/>
                <w:szCs w:val="18"/>
              </w:rPr>
              <w:t xml:space="preserve">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(OTH/2A46AN)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rPr>
            </w:pPr>
            <w:r>
              <w:rPr>
                <w:noProof/>
                <w:color w:val="000000"/>
                <w:sz w:val="18"/>
                <w:szCs w:val="18"/>
              </w:rPr>
              <w:t xml:space="preserve">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Съюз</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Предпазен ОДУ</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Норвегия</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Фарьорски острови</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rPr>
              <w:t>ОДУ</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rPr>
            </w:pPr>
            <w:r>
              <w:rPr>
                <w:noProof/>
                <w:sz w:val="18"/>
                <w:szCs w:val="18"/>
              </w:rPr>
              <w:t>Не се прилага</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(1)</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Ограничава се до 2a и 4 (OTH/*2A4-C).</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rPr>
            </w:pPr>
            <w:r>
              <w:rPr>
                <w:noProof/>
                <w:color w:val="000000"/>
                <w:sz w:val="18"/>
                <w:szCs w:val="18"/>
                <w:vertAlign w:val="superscript"/>
              </w:rPr>
              <w:t>(2)</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rPr>
            </w:pPr>
            <w:r>
              <w:rPr>
                <w:noProof/>
                <w:sz w:val="18"/>
                <w:szCs w:val="18"/>
                <w:vertAlign w:val="superscript"/>
              </w:rPr>
              <w:t>Включително риболов, който не е посочен изрично. При необходимост и след консултации могат да бъдат въведени изключения.</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(3)</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vertAlign w:val="superscript"/>
              </w:rPr>
              <w:t>Риболовът се извършва в 4 и 6a на север от 56° 30' с.ш. (OTH/*46AN).</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18"/>
                <w:szCs w:val="18"/>
              </w:rPr>
            </w:pPr>
            <w:r>
              <w:rPr>
                <w:noProof/>
                <w:sz w:val="18"/>
                <w:szCs w:val="18"/>
              </w:rPr>
              <w:t xml:space="preserve"> </w:t>
            </w:r>
          </w:p>
        </w:tc>
      </w:tr>
    </w:tbl>
    <w:p>
      <w:pPr>
        <w:pStyle w:val="Lignefinal"/>
        <w:rPr>
          <w:noProof/>
        </w:rPr>
      </w:pPr>
    </w:p>
    <w:p>
      <w:pPr>
        <w:spacing w:before="0" w:after="200" w:line="276" w:lineRule="auto"/>
        <w:jc w:val="left"/>
        <w:rPr>
          <w:noProof/>
        </w:rPr>
      </w:pPr>
      <w:r>
        <w:rPr>
          <w:noProof/>
        </w:rPr>
        <w:br w:type="page"/>
      </w:r>
    </w:p>
    <w:p>
      <w:pPr>
        <w:jc w:val="center"/>
        <w:rPr>
          <w:b/>
          <w:noProof/>
        </w:rPr>
      </w:pPr>
      <w:r>
        <w:rPr>
          <w:b/>
          <w:noProof/>
        </w:rPr>
        <w:t>ПРИЛОЖЕНИЕ IБ</w:t>
      </w:r>
    </w:p>
    <w:p>
      <w:pPr>
        <w:pStyle w:val="NormalCentered"/>
        <w:rPr>
          <w:noProof/>
        </w:rPr>
      </w:pPr>
      <w:r>
        <w:rPr>
          <w:noProof/>
        </w:rPr>
        <w:t>СЕВЕРОИЗТОЧНА ЧАСТ НА АТЛАНТИЧЕСКИЯ ОКЕАН И ГРЕНЛАНДИЯ, ПОДЗОНИ 1, 2, 5, 12 И 14 НА ICES И ГРЕНЛАНДСКИ ВОДИ ОТ NAFO 1</w:t>
      </w:r>
    </w:p>
    <w:tbl>
      <w:tblPr>
        <w:tblW w:w="9747" w:type="dxa"/>
        <w:tblInd w:w="108" w:type="dxa"/>
        <w:tblLayout w:type="fixed"/>
        <w:tblLook w:val="04A0" w:firstRow="1" w:lastRow="0" w:firstColumn="1" w:lastColumn="0" w:noHBand="0" w:noVBand="1"/>
      </w:tblPr>
      <w:tblGrid>
        <w:gridCol w:w="1980"/>
        <w:gridCol w:w="1355"/>
        <w:gridCol w:w="988"/>
        <w:gridCol w:w="367"/>
        <w:gridCol w:w="436"/>
        <w:gridCol w:w="919"/>
        <w:gridCol w:w="3702"/>
      </w:tblGrid>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Херинга</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Води на Съюза, фарьорски, норвежки и международни води от 1 и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Clupea harengus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(HER/1/2-)</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Белгия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Дания</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Испания</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Ирландия</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Нидерландия</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Полша</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Португалия</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Финландия</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Швеция</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szCs w:val="24"/>
              </w:rPr>
            </w:pPr>
            <w:r>
              <w:rPr>
                <w:rFonts w:asciiTheme="majorBidi" w:hAnsiTheme="majorBidi"/>
                <w:noProof/>
              </w:rPr>
              <w:t>Фарьорски острови</w:t>
            </w:r>
          </w:p>
        </w:tc>
        <w:tc>
          <w:tcPr>
            <w:tcW w:w="2343" w:type="dxa"/>
            <w:gridSpan w:val="2"/>
            <w:noWrap/>
            <w:hideMark/>
          </w:tcPr>
          <w:p>
            <w:pPr>
              <w:spacing w:before="60" w:after="60"/>
              <w:jc w:val="right"/>
              <w:rPr>
                <w:rFonts w:asciiTheme="majorBidi" w:hAnsiTheme="majorBidi" w:cstheme="majorBidi"/>
                <w:noProof/>
              </w:rPr>
            </w:pPr>
            <w:r>
              <w:rPr>
                <w:noProof/>
              </w:rPr>
              <w:t>pm</w:t>
            </w:r>
          </w:p>
        </w:tc>
        <w:tc>
          <w:tcPr>
            <w:tcW w:w="803" w:type="dxa"/>
            <w:gridSpan w:val="2"/>
            <w:noWrap/>
            <w:hideMark/>
          </w:tcPr>
          <w:p>
            <w:pPr>
              <w:spacing w:before="60" w:after="60"/>
              <w:rPr>
                <w:rFonts w:asciiTheme="majorBidi" w:hAnsiTheme="majorBidi" w:cstheme="majorBidi"/>
                <w:b/>
                <w:bCs/>
                <w:noProof/>
              </w:rPr>
            </w:pPr>
            <w:r>
              <w:rPr>
                <w:rFonts w:asciiTheme="majorBidi" w:hAnsiTheme="majorBidi"/>
                <w:b/>
                <w:bCs/>
                <w:noProof/>
                <w:vertAlign w:val="superscript"/>
              </w:rPr>
              <w:t>(2)(3)</w:t>
            </w:r>
          </w:p>
        </w:tc>
        <w:tc>
          <w:tcPr>
            <w:tcW w:w="919" w:type="dxa"/>
            <w:noWrap/>
            <w:hideMark/>
          </w:tcPr>
          <w:p>
            <w:pPr>
              <w:rPr>
                <w:rFonts w:asciiTheme="majorBidi" w:hAnsiTheme="majorBidi" w:cstheme="majorBidi"/>
                <w:b/>
                <w:bCs/>
                <w:noProof/>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szCs w:val="24"/>
              </w:rPr>
            </w:pPr>
            <w:r>
              <w:rPr>
                <w:rFonts w:asciiTheme="majorBidi" w:hAnsiTheme="majorBidi"/>
                <w:noProof/>
              </w:rPr>
              <w:t>Норвегия</w:t>
            </w:r>
          </w:p>
        </w:tc>
        <w:tc>
          <w:tcPr>
            <w:tcW w:w="2343" w:type="dxa"/>
            <w:gridSpan w:val="2"/>
            <w:noWrap/>
            <w:hideMark/>
          </w:tcPr>
          <w:p>
            <w:pPr>
              <w:spacing w:before="60" w:after="60"/>
              <w:jc w:val="right"/>
              <w:rPr>
                <w:rFonts w:asciiTheme="majorBidi" w:hAnsiTheme="majorBidi" w:cstheme="majorBidi"/>
                <w:noProof/>
              </w:rPr>
            </w:pPr>
            <w:r>
              <w:rPr>
                <w:noProof/>
              </w:rPr>
              <w:t>pm</w:t>
            </w:r>
          </w:p>
        </w:tc>
        <w:tc>
          <w:tcPr>
            <w:tcW w:w="803" w:type="dxa"/>
            <w:gridSpan w:val="2"/>
            <w:noWrap/>
            <w:hideMark/>
          </w:tcPr>
          <w:p>
            <w:pPr>
              <w:spacing w:before="60" w:after="60"/>
              <w:rPr>
                <w:rFonts w:asciiTheme="majorBidi" w:hAnsiTheme="majorBidi" w:cstheme="majorBidi"/>
                <w:b/>
                <w:bCs/>
                <w:noProof/>
              </w:rPr>
            </w:pPr>
            <w:r>
              <w:rPr>
                <w:rFonts w:asciiTheme="majorBidi" w:hAnsiTheme="majorBidi"/>
                <w:b/>
                <w:bCs/>
                <w:noProof/>
                <w:vertAlign w:val="superscript"/>
              </w:rPr>
              <w:t>(2)(4)</w:t>
            </w:r>
          </w:p>
        </w:tc>
        <w:tc>
          <w:tcPr>
            <w:tcW w:w="919" w:type="dxa"/>
            <w:noWrap/>
            <w:hideMark/>
          </w:tcPr>
          <w:p>
            <w:pPr>
              <w:rPr>
                <w:rFonts w:asciiTheme="majorBidi" w:hAnsiTheme="majorBidi" w:cstheme="majorBidi"/>
                <w:b/>
                <w:bCs/>
                <w:noProof/>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color w:val="000000"/>
              </w:rPr>
            </w:pPr>
            <w:r>
              <w:rPr>
                <w:noProof/>
              </w:rPr>
              <w:t>pm</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lang w:eastAsia="en-GB"/>
              </w:rPr>
            </w:pPr>
          </w:p>
        </w:tc>
        <w:tc>
          <w:tcPr>
            <w:tcW w:w="7767" w:type="dxa"/>
            <w:gridSpan w:val="6"/>
            <w:noWrap/>
            <w:hideMark/>
          </w:tcPr>
          <w:p>
            <w:pPr>
              <w:spacing w:before="60" w:after="60"/>
              <w:rPr>
                <w:rFonts w:asciiTheme="majorBidi" w:hAnsiTheme="majorBidi" w:cstheme="majorBidi"/>
                <w:noProof/>
                <w:color w:val="000000"/>
                <w:lang w:eastAsia="en-GB"/>
              </w:rPr>
            </w:pPr>
          </w:p>
        </w:tc>
      </w:tr>
      <w:tr>
        <w:trPr>
          <w:trHeight w:val="270"/>
        </w:trPr>
        <w:tc>
          <w:tcPr>
            <w:tcW w:w="1980" w:type="dxa"/>
            <w:noWrap/>
            <w:hideMark/>
          </w:tcPr>
          <w:p>
            <w:pPr>
              <w:spacing w:before="60" w:after="60"/>
              <w:jc w:val="right"/>
              <w:rPr>
                <w:rFonts w:asciiTheme="majorBidi" w:hAnsiTheme="majorBidi" w:cstheme="majorBidi"/>
                <w:b/>
                <w:bCs/>
                <w:noProof/>
              </w:rPr>
            </w:pPr>
            <w:r>
              <w:rPr>
                <w:rFonts w:asciiTheme="majorBidi" w:hAnsiTheme="majorBidi"/>
                <w:b/>
                <w:bCs/>
                <w:noProof/>
                <w:vertAlign w:val="superscript"/>
              </w:rPr>
              <w:t>(1)</w:t>
            </w:r>
          </w:p>
        </w:tc>
        <w:tc>
          <w:tcPr>
            <w:tcW w:w="7767" w:type="dxa"/>
            <w:gridSpan w:val="6"/>
            <w:noWrap/>
            <w:hideMark/>
          </w:tcPr>
          <w:p>
            <w:pPr>
              <w:spacing w:before="60" w:after="60"/>
              <w:rPr>
                <w:rFonts w:asciiTheme="majorBidi" w:hAnsiTheme="majorBidi" w:cstheme="majorBidi"/>
                <w:noProof/>
              </w:rPr>
            </w:pPr>
            <w:r>
              <w:rPr>
                <w:rFonts w:asciiTheme="majorBidi" w:hAnsiTheme="majorBidi"/>
                <w:noProof/>
              </w:rPr>
              <w:t>Може да се лови във водите на Съюза на север от 62° с.ш.</w:t>
            </w:r>
          </w:p>
        </w:tc>
      </w:tr>
      <w:tr>
        <w:trPr>
          <w:trHeight w:val="270"/>
        </w:trPr>
        <w:tc>
          <w:tcPr>
            <w:tcW w:w="1980" w:type="dxa"/>
            <w:noWrap/>
            <w:hideMark/>
          </w:tcPr>
          <w:p>
            <w:pPr>
              <w:spacing w:before="60" w:after="60"/>
              <w:jc w:val="right"/>
              <w:rPr>
                <w:rFonts w:asciiTheme="majorBidi" w:hAnsiTheme="majorBidi" w:cstheme="majorBidi"/>
                <w:b/>
                <w:bCs/>
                <w:noProof/>
              </w:rPr>
            </w:pPr>
            <w:r>
              <w:rPr>
                <w:rFonts w:asciiTheme="majorBidi" w:hAnsiTheme="majorBidi"/>
                <w:b/>
                <w:bCs/>
                <w:noProof/>
                <w:vertAlign w:val="superscript"/>
              </w:rPr>
              <w:t>(2)</w:t>
            </w:r>
          </w:p>
        </w:tc>
        <w:tc>
          <w:tcPr>
            <w:tcW w:w="7767" w:type="dxa"/>
            <w:gridSpan w:val="6"/>
            <w:noWrap/>
            <w:hideMark/>
          </w:tcPr>
          <w:p>
            <w:pPr>
              <w:spacing w:before="60" w:after="60"/>
              <w:rPr>
                <w:rFonts w:asciiTheme="majorBidi" w:hAnsiTheme="majorBidi" w:cstheme="majorBidi"/>
                <w:noProof/>
              </w:rPr>
            </w:pPr>
            <w:r>
              <w:rPr>
                <w:rFonts w:asciiTheme="majorBidi" w:hAnsiTheme="majorBidi"/>
                <w:noProof/>
              </w:rPr>
              <w:t>Приспадат се от ограниченията на улова за Фарьорските острови.</w:t>
            </w:r>
          </w:p>
        </w:tc>
      </w:tr>
      <w:tr>
        <w:trPr>
          <w:trHeight w:val="270"/>
        </w:trPr>
        <w:tc>
          <w:tcPr>
            <w:tcW w:w="1980" w:type="dxa"/>
            <w:noWrap/>
            <w:hideMark/>
          </w:tcPr>
          <w:p>
            <w:pPr>
              <w:spacing w:before="60" w:after="60"/>
              <w:jc w:val="right"/>
              <w:rPr>
                <w:rFonts w:asciiTheme="majorBidi" w:hAnsiTheme="majorBidi" w:cstheme="majorBidi"/>
                <w:b/>
                <w:bCs/>
                <w:noProof/>
              </w:rPr>
            </w:pPr>
            <w:r>
              <w:rPr>
                <w:rFonts w:asciiTheme="majorBidi" w:hAnsiTheme="majorBidi"/>
                <w:b/>
                <w:bCs/>
                <w:noProof/>
                <w:vertAlign w:val="superscript"/>
              </w:rPr>
              <w:t>(3)</w:t>
            </w:r>
          </w:p>
        </w:tc>
        <w:tc>
          <w:tcPr>
            <w:tcW w:w="7767" w:type="dxa"/>
            <w:gridSpan w:val="6"/>
            <w:noWrap/>
            <w:hideMark/>
          </w:tcPr>
          <w:p>
            <w:pPr>
              <w:spacing w:before="60" w:after="60"/>
              <w:rPr>
                <w:rFonts w:asciiTheme="majorBidi" w:hAnsiTheme="majorBidi" w:cstheme="majorBidi"/>
                <w:noProof/>
              </w:rPr>
            </w:pPr>
            <w:r>
              <w:rPr>
                <w:rFonts w:asciiTheme="majorBidi" w:hAnsiTheme="majorBidi"/>
                <w:noProof/>
              </w:rPr>
              <w:t>Приспада се от ограниченията на улова за Норвегия.</w:t>
            </w:r>
          </w:p>
        </w:tc>
      </w:tr>
      <w:tr>
        <w:trPr>
          <w:trHeight w:val="255"/>
        </w:trPr>
        <w:tc>
          <w:tcPr>
            <w:tcW w:w="9747" w:type="dxa"/>
            <w:gridSpan w:val="7"/>
            <w:tcBorders>
              <w:top w:val="single" w:sz="4" w:space="0" w:color="auto"/>
              <w:left w:val="nil"/>
              <w:bottom w:val="nil"/>
              <w:right w:val="nil"/>
            </w:tcBorders>
            <w:noWrap/>
            <w:hideMark/>
          </w:tcPr>
          <w:p>
            <w:pPr>
              <w:pageBreakBefore/>
              <w:spacing w:before="60" w:after="60"/>
              <w:rPr>
                <w:rFonts w:asciiTheme="majorBidi" w:hAnsiTheme="majorBidi" w:cstheme="majorBidi"/>
                <w:noProof/>
                <w:color w:val="000000"/>
              </w:rPr>
            </w:pPr>
            <w:r>
              <w:rPr>
                <w:rFonts w:asciiTheme="majorBidi" w:hAnsiTheme="majorBidi"/>
                <w:noProof/>
                <w:color w:val="000000"/>
              </w:rPr>
              <w:t>Специално условие: уловът в рамките на определените по-горе квоти не може да надвишава посочените по-долу количества в следните зони:</w:t>
            </w:r>
          </w:p>
        </w:tc>
      </w:tr>
      <w:tr>
        <w:trPr>
          <w:trHeight w:val="255"/>
        </w:trPr>
        <w:tc>
          <w:tcPr>
            <w:tcW w:w="9747" w:type="dxa"/>
            <w:gridSpan w:val="7"/>
            <w:noWrap/>
            <w:hideMark/>
          </w:tcPr>
          <w:p>
            <w:pPr>
              <w:spacing w:before="60" w:after="60"/>
              <w:rPr>
                <w:rFonts w:asciiTheme="majorBidi" w:hAnsiTheme="majorBidi" w:cstheme="majorBidi"/>
                <w:noProof/>
                <w:color w:val="000000"/>
              </w:rPr>
            </w:pPr>
            <w:r>
              <w:rPr>
                <w:rFonts w:asciiTheme="majorBidi" w:hAnsiTheme="majorBidi"/>
                <w:noProof/>
                <w:color w:val="000000"/>
              </w:rPr>
              <w:t>Норвежки води на север от 62° с.ш. и риболовната зона около остров Ян Майен (HER/*2AJMN)</w:t>
            </w:r>
          </w:p>
        </w:tc>
      </w:tr>
      <w:tr>
        <w:trPr>
          <w:trHeight w:val="25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60" w:after="60"/>
              <w:jc w:val="right"/>
              <w:rPr>
                <w:rFonts w:asciiTheme="majorBidi" w:hAnsiTheme="majorBidi" w:cstheme="majorBidi"/>
                <w:noProof/>
                <w:szCs w:val="24"/>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9747" w:type="dxa"/>
            <w:gridSpan w:val="7"/>
            <w:noWrap/>
            <w:hideMark/>
          </w:tcPr>
          <w:p>
            <w:pPr>
              <w:spacing w:before="60" w:after="60"/>
              <w:rPr>
                <w:rFonts w:asciiTheme="majorBidi" w:hAnsiTheme="majorBidi" w:cstheme="majorBidi"/>
                <w:noProof/>
                <w:color w:val="000000"/>
                <w:szCs w:val="24"/>
              </w:rPr>
            </w:pPr>
            <w:r>
              <w:rPr>
                <w:rFonts w:asciiTheme="majorBidi" w:hAnsiTheme="majorBidi"/>
                <w:noProof/>
                <w:color w:val="000000"/>
              </w:rPr>
              <w:t>2, 5b на север от 62° с.ш. (фарьорски води) (HER/*25B-F)</w:t>
            </w:r>
          </w:p>
        </w:tc>
      </w:tr>
      <w:tr>
        <w:trPr>
          <w:trHeight w:val="255"/>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Белгия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Дания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Испания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Ирландия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Нидерландия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Полша</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Португалия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Финландия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Швеция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szCs w:val="24"/>
                <w:lang w:eastAsia="en-GB"/>
              </w:rPr>
            </w:pPr>
          </w:p>
        </w:tc>
        <w:tc>
          <w:tcPr>
            <w:tcW w:w="2343" w:type="dxa"/>
            <w:gridSpan w:val="2"/>
            <w:tcBorders>
              <w:top w:val="nil"/>
              <w:left w:val="nil"/>
              <w:bottom w:val="single" w:sz="8" w:space="0" w:color="auto"/>
              <w:right w:val="nil"/>
            </w:tcBorders>
            <w:noWrap/>
          </w:tcPr>
          <w:p>
            <w:pPr>
              <w:spacing w:before="60" w:after="60"/>
              <w:jc w:val="right"/>
              <w:rPr>
                <w:rFonts w:asciiTheme="majorBidi" w:hAnsiTheme="majorBidi" w:cstheme="majorBidi"/>
                <w:noProof/>
                <w:lang w:eastAsia="en-GB"/>
              </w:rPr>
            </w:pPr>
          </w:p>
        </w:tc>
        <w:tc>
          <w:tcPr>
            <w:tcW w:w="803" w:type="dxa"/>
            <w:gridSpan w:val="2"/>
            <w:tcBorders>
              <w:top w:val="nil"/>
              <w:left w:val="nil"/>
              <w:bottom w:val="single" w:sz="8" w:space="0" w:color="auto"/>
              <w:right w:val="nil"/>
            </w:tcBorders>
            <w:noWrap/>
            <w:hideMark/>
          </w:tcPr>
          <w:p>
            <w:pPr>
              <w:rPr>
                <w:rFonts w:asciiTheme="majorBidi" w:hAnsiTheme="majorBidi" w:cstheme="majorBidi"/>
                <w:noProof/>
                <w:lang w:eastAsia="en-GB"/>
              </w:rPr>
            </w:pPr>
          </w:p>
        </w:tc>
        <w:tc>
          <w:tcPr>
            <w:tcW w:w="919" w:type="dxa"/>
            <w:tcBorders>
              <w:top w:val="nil"/>
              <w:left w:val="nil"/>
              <w:bottom w:val="single" w:sz="8" w:space="0" w:color="auto"/>
              <w:right w:val="nil"/>
            </w:tcBorders>
            <w:noWrap/>
            <w:hideMark/>
          </w:tcPr>
          <w:p>
            <w:pPr>
              <w:spacing w:before="0" w:after="0"/>
              <w:rPr>
                <w:noProof/>
                <w:sz w:val="20"/>
                <w:szCs w:val="20"/>
                <w:lang w:eastAsia="en-GB"/>
              </w:rPr>
            </w:pPr>
          </w:p>
        </w:tc>
        <w:tc>
          <w:tcPr>
            <w:tcW w:w="3702" w:type="dxa"/>
            <w:tcBorders>
              <w:top w:val="nil"/>
              <w:left w:val="nil"/>
              <w:bottom w:val="single" w:sz="8" w:space="0" w:color="auto"/>
              <w:right w:val="nil"/>
            </w:tcBorders>
            <w:noWrap/>
            <w:hideMark/>
          </w:tcPr>
          <w:p>
            <w:pPr>
              <w:spacing w:before="0" w:after="0"/>
              <w:rPr>
                <w:noProof/>
                <w:sz w:val="20"/>
                <w:szCs w:val="20"/>
                <w:lang w:eastAsia="en-GB"/>
              </w:rPr>
            </w:pPr>
          </w:p>
        </w:tc>
      </w:tr>
      <w:tr>
        <w:trPr>
          <w:trHeight w:val="285"/>
        </w:trPr>
        <w:tc>
          <w:tcPr>
            <w:tcW w:w="1980" w:type="dxa"/>
            <w:tcBorders>
              <w:top w:val="nil"/>
              <w:left w:val="nil"/>
              <w:bottom w:val="single" w:sz="4" w:space="0" w:color="auto"/>
              <w:right w:val="nil"/>
            </w:tcBorders>
            <w:noWrap/>
            <w:hideMark/>
          </w:tcPr>
          <w:p>
            <w:pPr>
              <w:spacing w:before="0" w:after="0"/>
              <w:rPr>
                <w:noProof/>
                <w:sz w:val="20"/>
                <w:szCs w:val="20"/>
                <w:lang w:eastAsia="en-GB"/>
              </w:rPr>
            </w:pPr>
          </w:p>
        </w:tc>
        <w:tc>
          <w:tcPr>
            <w:tcW w:w="234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80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70"/>
        </w:trPr>
        <w:tc>
          <w:tcPr>
            <w:tcW w:w="1980" w:type="dxa"/>
            <w:tcBorders>
              <w:top w:val="single" w:sz="4"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4"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Атлантическа треска</w:t>
            </w:r>
          </w:p>
        </w:tc>
        <w:tc>
          <w:tcPr>
            <w:tcW w:w="803" w:type="dxa"/>
            <w:gridSpan w:val="2"/>
            <w:tcBorders>
              <w:top w:val="single" w:sz="4"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4"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4"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Норвежки води от 1 и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Gadus morhua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(COD/1N2AB.)</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Гърция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Испания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Ирландия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Португалия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4621" w:type="dxa"/>
            <w:gridSpan w:val="2"/>
            <w:tcBorders>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noWrap/>
            <w:hideMark/>
          </w:tcPr>
          <w:p>
            <w:pPr>
              <w:spacing w:before="0" w:after="0"/>
              <w:rPr>
                <w:noProof/>
                <w:sz w:val="20"/>
                <w:szCs w:val="2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Атлантическа треска</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Гренландски води от NAFO 1F и гренландски води от 5, 12 и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Gadus morhua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(COD/N1GL14)</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Съюз</w:t>
            </w:r>
          </w:p>
        </w:tc>
        <w:tc>
          <w:tcPr>
            <w:tcW w:w="2343" w:type="dxa"/>
            <w:gridSpan w:val="2"/>
            <w:noWrap/>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tcPr>
          <w:p>
            <w:pPr>
              <w:spacing w:before="60" w:after="60"/>
              <w:rPr>
                <w:rFonts w:asciiTheme="majorBidi" w:hAnsiTheme="majorBidi" w:cstheme="majorBidi"/>
                <w:b/>
                <w:bCs/>
                <w:noProof/>
                <w:color w:val="000000"/>
                <w:lang w:eastAsia="en-GB"/>
              </w:rPr>
            </w:pP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tcPr>
          <w:p>
            <w:pPr>
              <w:rPr>
                <w:rFonts w:asciiTheme="majorBidi" w:hAnsiTheme="majorBidi" w:cstheme="majorBidi"/>
                <w:noProof/>
                <w:color w:val="000000"/>
                <w:lang w:eastAsia="en-GB"/>
              </w:rPr>
            </w:pPr>
          </w:p>
        </w:tc>
        <w:tc>
          <w:tcPr>
            <w:tcW w:w="919" w:type="dxa"/>
            <w:noWrap/>
          </w:tcPr>
          <w:p>
            <w:pPr>
              <w:spacing w:before="0" w:after="0"/>
              <w:rPr>
                <w:noProof/>
                <w:sz w:val="20"/>
                <w:szCs w:val="20"/>
                <w:lang w:eastAsia="en-GB"/>
              </w:rPr>
            </w:pPr>
          </w:p>
        </w:tc>
        <w:tc>
          <w:tcPr>
            <w:tcW w:w="3702" w:type="dxa"/>
            <w:noWrap/>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szCs w:val="24"/>
              </w:rPr>
            </w:pPr>
            <w:r>
              <w:rPr>
                <w:rFonts w:asciiTheme="majorBidi" w:hAnsiTheme="majorBidi"/>
                <w:b/>
                <w:bCs/>
                <w:noProof/>
                <w:vertAlign w:val="superscript"/>
              </w:rPr>
              <w:t>(1)</w:t>
            </w:r>
          </w:p>
        </w:tc>
        <w:tc>
          <w:tcPr>
            <w:tcW w:w="7767" w:type="dxa"/>
            <w:gridSpan w:val="6"/>
            <w:noWrap/>
            <w:hideMark/>
          </w:tcPr>
          <w:p>
            <w:pPr>
              <w:spacing w:before="60" w:after="60"/>
              <w:rPr>
                <w:rFonts w:asciiTheme="majorBidi" w:hAnsiTheme="majorBidi" w:cstheme="majorBidi"/>
                <w:noProof/>
              </w:rPr>
            </w:pPr>
            <w:r>
              <w:rPr>
                <w:rFonts w:asciiTheme="majorBidi" w:hAnsiTheme="majorBidi"/>
                <w:noProof/>
              </w:rPr>
              <w:t>С изключение на прилова, по отношение на посочените квоти се прилагат следните условия:</w:t>
            </w:r>
          </w:p>
        </w:tc>
      </w:tr>
      <w:tr>
        <w:trPr>
          <w:trHeight w:val="270"/>
        </w:trPr>
        <w:tc>
          <w:tcPr>
            <w:tcW w:w="1980" w:type="dxa"/>
            <w:noWrap/>
            <w:hideMark/>
          </w:tcPr>
          <w:p>
            <w:pPr>
              <w:rPr>
                <w:rFonts w:asciiTheme="majorBidi" w:hAnsiTheme="majorBidi" w:cstheme="majorBidi"/>
                <w:noProof/>
                <w:lang w:eastAsia="en-GB"/>
              </w:rPr>
            </w:pPr>
          </w:p>
        </w:tc>
        <w:tc>
          <w:tcPr>
            <w:tcW w:w="7767" w:type="dxa"/>
            <w:gridSpan w:val="6"/>
            <w:noWrap/>
            <w:hideMark/>
          </w:tcPr>
          <w:p>
            <w:pPr>
              <w:spacing w:before="60" w:after="60"/>
              <w:rPr>
                <w:rFonts w:asciiTheme="majorBidi" w:hAnsiTheme="majorBidi" w:cstheme="majorBidi"/>
                <w:noProof/>
                <w:szCs w:val="24"/>
              </w:rPr>
            </w:pPr>
            <w:r>
              <w:rPr>
                <w:rFonts w:asciiTheme="majorBidi" w:hAnsiTheme="majorBidi"/>
                <w:noProof/>
              </w:rPr>
              <w:t>1.</w:t>
            </w:r>
            <w:r>
              <w:rPr>
                <w:noProof/>
              </w:rPr>
              <w:tab/>
            </w:r>
            <w:r>
              <w:rPr>
                <w:rFonts w:asciiTheme="majorBidi" w:hAnsiTheme="majorBidi"/>
                <w:noProof/>
              </w:rPr>
              <w:t>Риболовът по тези квоти е забранен в периода от 1 април до 31 май.</w:t>
            </w:r>
          </w:p>
        </w:tc>
      </w:tr>
      <w:tr>
        <w:trPr>
          <w:trHeight w:val="270"/>
        </w:trPr>
        <w:tc>
          <w:tcPr>
            <w:tcW w:w="1980" w:type="dxa"/>
            <w:noWrap/>
            <w:hideMark/>
          </w:tcPr>
          <w:p>
            <w:pPr>
              <w:rPr>
                <w:rFonts w:asciiTheme="majorBidi" w:hAnsiTheme="majorBidi" w:cstheme="majorBidi"/>
                <w:noProof/>
                <w:lang w:eastAsia="en-GB"/>
              </w:rPr>
            </w:pPr>
          </w:p>
        </w:tc>
        <w:tc>
          <w:tcPr>
            <w:tcW w:w="7767" w:type="dxa"/>
            <w:gridSpan w:val="6"/>
            <w:noWrap/>
            <w:hideMark/>
          </w:tcPr>
          <w:p>
            <w:pPr>
              <w:spacing w:before="60" w:after="60"/>
              <w:rPr>
                <w:rFonts w:asciiTheme="majorBidi" w:hAnsiTheme="majorBidi" w:cstheme="majorBidi"/>
                <w:noProof/>
                <w:szCs w:val="24"/>
              </w:rPr>
            </w:pPr>
            <w:r>
              <w:rPr>
                <w:rFonts w:asciiTheme="majorBidi" w:hAnsiTheme="majorBidi"/>
                <w:noProof/>
              </w:rPr>
              <w:t>2.</w:t>
            </w:r>
            <w:r>
              <w:rPr>
                <w:noProof/>
              </w:rPr>
              <w:tab/>
            </w:r>
            <w:r>
              <w:rPr>
                <w:rFonts w:asciiTheme="majorBidi" w:hAnsiTheme="majorBidi"/>
                <w:noProof/>
              </w:rPr>
              <w:t>Корабите на ЕС могат да извършват риболов в едната или двете от следните зони:</w:t>
            </w:r>
          </w:p>
        </w:tc>
      </w:tr>
      <w:tr>
        <w:trPr>
          <w:trHeight w:val="285"/>
        </w:trPr>
        <w:tc>
          <w:tcPr>
            <w:tcW w:w="1980" w:type="dxa"/>
            <w:noWrap/>
            <w:hideMark/>
          </w:tcPr>
          <w:p>
            <w:pPr>
              <w:rPr>
                <w:rFonts w:asciiTheme="majorBidi" w:hAnsiTheme="majorBidi" w:cstheme="majorBidi"/>
                <w:noProof/>
                <w:lang w:eastAsia="en-GB"/>
              </w:rPr>
            </w:pPr>
          </w:p>
        </w:tc>
        <w:tc>
          <w:tcPr>
            <w:tcW w:w="2343" w:type="dxa"/>
            <w:gridSpan w:val="2"/>
            <w:noWrap/>
            <w:hideMark/>
          </w:tcPr>
          <w:p>
            <w:pPr>
              <w:spacing w:before="60" w:after="60"/>
              <w:rPr>
                <w:rFonts w:asciiTheme="majorBidi" w:hAnsiTheme="majorBidi" w:cstheme="majorBidi"/>
                <w:noProof/>
                <w:szCs w:val="24"/>
              </w:rPr>
            </w:pPr>
            <w:r>
              <w:rPr>
                <w:rFonts w:asciiTheme="majorBidi" w:hAnsiTheme="majorBidi"/>
                <w:noProof/>
              </w:rPr>
              <w:t>Код за докладване</w:t>
            </w:r>
          </w:p>
        </w:tc>
        <w:tc>
          <w:tcPr>
            <w:tcW w:w="5424" w:type="dxa"/>
            <w:gridSpan w:val="4"/>
            <w:noWrap/>
            <w:hideMark/>
          </w:tcPr>
          <w:p>
            <w:pPr>
              <w:spacing w:before="60" w:after="60"/>
              <w:rPr>
                <w:rFonts w:asciiTheme="majorBidi" w:hAnsiTheme="majorBidi" w:cstheme="majorBidi"/>
                <w:noProof/>
              </w:rPr>
            </w:pPr>
            <w:r>
              <w:rPr>
                <w:rFonts w:asciiTheme="majorBidi" w:hAnsiTheme="majorBidi"/>
                <w:noProof/>
              </w:rPr>
              <w:t>Географски граници</w:t>
            </w:r>
          </w:p>
        </w:tc>
      </w:tr>
      <w:tr>
        <w:trPr>
          <w:trHeight w:val="270"/>
        </w:trPr>
        <w:tc>
          <w:tcPr>
            <w:tcW w:w="1980" w:type="dxa"/>
            <w:noWrap/>
            <w:hideMark/>
          </w:tcPr>
          <w:p>
            <w:pPr>
              <w:rPr>
                <w:rFonts w:asciiTheme="majorBidi" w:hAnsiTheme="majorBidi" w:cstheme="majorBidi"/>
                <w:noProof/>
                <w:lang w:eastAsia="en-GB"/>
              </w:rPr>
            </w:pPr>
          </w:p>
        </w:tc>
        <w:tc>
          <w:tcPr>
            <w:tcW w:w="2343" w:type="dxa"/>
            <w:gridSpan w:val="2"/>
            <w:noWrap/>
            <w:hideMark/>
          </w:tcPr>
          <w:p>
            <w:pPr>
              <w:spacing w:before="60" w:after="60"/>
              <w:rPr>
                <w:rFonts w:asciiTheme="majorBidi" w:hAnsiTheme="majorBidi" w:cstheme="majorBidi"/>
                <w:noProof/>
                <w:szCs w:val="24"/>
              </w:rPr>
            </w:pPr>
            <w:r>
              <w:rPr>
                <w:rFonts w:asciiTheme="majorBidi" w:hAnsiTheme="majorBidi"/>
                <w:noProof/>
              </w:rPr>
              <w:t>COD/GRL1</w:t>
            </w:r>
          </w:p>
        </w:tc>
        <w:tc>
          <w:tcPr>
            <w:tcW w:w="5424" w:type="dxa"/>
            <w:gridSpan w:val="4"/>
            <w:noWrap/>
            <w:hideMark/>
          </w:tcPr>
          <w:p>
            <w:pPr>
              <w:spacing w:before="60" w:after="60"/>
              <w:rPr>
                <w:rFonts w:asciiTheme="majorBidi" w:hAnsiTheme="majorBidi" w:cstheme="majorBidi"/>
                <w:noProof/>
              </w:rPr>
            </w:pPr>
            <w:r>
              <w:rPr>
                <w:rFonts w:asciiTheme="majorBidi" w:hAnsiTheme="majorBidi"/>
                <w:noProof/>
              </w:rPr>
              <w:t>Частта от риболовната зона на Гренландия, която се намира между подзона 1F на NAFO на запад от 44° 00' з.д. и на юг от 60° 45' с.ш., частта от подзона 1 на NAFO, разположена на юг от паралела на 60° 45' с.ш. (нос Desolation), и частта от риболовната зона на Гренландия в участък 14b на ICES, която се намира на изток от 44° 00' з.д. и на юг от 62° 30' с.ш.</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lang w:eastAsia="en-GB"/>
              </w:rPr>
            </w:pPr>
          </w:p>
        </w:tc>
        <w:tc>
          <w:tcPr>
            <w:tcW w:w="2343" w:type="dxa"/>
            <w:gridSpan w:val="2"/>
            <w:tcBorders>
              <w:top w:val="nil"/>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COD/GRL2</w:t>
            </w:r>
          </w:p>
        </w:tc>
        <w:tc>
          <w:tcPr>
            <w:tcW w:w="5424"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Частта от риболовната зона на Гренландия, която се намира в участък 14b на ICES на север от 62° 30' с.ш.</w:t>
            </w:r>
          </w:p>
        </w:tc>
      </w:tr>
      <w:tr>
        <w:trPr>
          <w:trHeight w:val="285"/>
        </w:trPr>
        <w:tc>
          <w:tcPr>
            <w:tcW w:w="1980" w:type="dxa"/>
            <w:noWrap/>
            <w:hideMark/>
          </w:tcPr>
          <w:p>
            <w:pPr>
              <w:rPr>
                <w:rFonts w:asciiTheme="majorBidi" w:hAnsiTheme="majorBidi" w:cstheme="majorBidi"/>
                <w:noProof/>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Атлантическа треска</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1 и 2b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Gadus morhua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(COD/1/2B.)</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Испания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Полша</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Португалия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Други държави членки</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(3)</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(2) (3)</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С изключение на Германия, Испания, Франция, Полша и Португалия. Уловът, който се приспада от тази обща квота, се докладва отделно (COD/1/2B_AMS).</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Разпределянето на дела от запаса на атлантическа треска, с който разполага Съюзът в зоната Spitzbergen и Bear Island, и съответният прилов на пикша не засягат правата и задълженията, произтичащи от Парижкия договор от 1920 г.</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(3)</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Приловът на пикша може да представлява до 14 % от количеството на всяко изтегляне. Количествата прилов на пикша са в допълнение към квотата за атлантическа треска.</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Атлантическа треска и пикша</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Фарьорски води от 5b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 xml:space="preserve">Gadus morhua </w:t>
            </w:r>
            <w:r>
              <w:rPr>
                <w:rFonts w:asciiTheme="majorBidi" w:hAnsiTheme="majorBidi"/>
                <w:iCs/>
                <w:noProof/>
                <w:color w:val="000000"/>
              </w:rPr>
              <w:t>и</w:t>
            </w:r>
            <w:r>
              <w:rPr>
                <w:rFonts w:asciiTheme="majorBidi" w:hAnsiTheme="majorBidi"/>
                <w:i/>
                <w:iCs/>
                <w:noProof/>
                <w:color w:val="000000"/>
              </w:rPr>
              <w:t xml:space="preserve"> Melanogrammus aeglefinus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(C/H/05B-F.)</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3146" w:type="dxa"/>
            <w:gridSpan w:val="4"/>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color w:val="00000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Макрурус, видове</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Гренландски води от 5 и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 xml:space="preserve">Macrourus </w:t>
            </w:r>
            <w:r>
              <w:rPr>
                <w:rFonts w:asciiTheme="majorBidi" w:hAnsiTheme="majorBidi"/>
                <w:noProof/>
                <w:color w:val="000000"/>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(GRV/514GRN)</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Специално условие: не се извършва целеви риболов на гренадир (</w:t>
            </w:r>
            <w:r>
              <w:rPr>
                <w:rFonts w:asciiTheme="majorBidi" w:hAnsiTheme="majorBidi"/>
                <w:i/>
                <w:iCs/>
                <w:noProof/>
                <w:color w:val="000000"/>
              </w:rPr>
              <w:t>Coryphaenoides rupestris</w:t>
            </w:r>
            <w:r>
              <w:rPr>
                <w:rFonts w:asciiTheme="majorBidi" w:hAnsiTheme="majorBidi"/>
                <w:noProof/>
                <w:color w:val="000000"/>
              </w:rPr>
              <w:t>) (RNG/514GRN) и дългоопашата риба (</w:t>
            </w:r>
            <w:r>
              <w:rPr>
                <w:rFonts w:asciiTheme="majorBidi" w:hAnsiTheme="majorBidi"/>
                <w:i/>
                <w:iCs/>
                <w:noProof/>
                <w:color w:val="000000"/>
              </w:rPr>
              <w:t>Macrourus berglax</w:t>
            </w:r>
            <w:r>
              <w:rPr>
                <w:rFonts w:asciiTheme="majorBidi" w:hAnsiTheme="majorBidi"/>
                <w:noProof/>
                <w:color w:val="000000"/>
              </w:rPr>
              <w:t>) (RHG/514GRN). Те се ловят само като прилов и се докладват отделно.</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Количеството по-долу, в тонове, е разпределено на Норвегия. Специално условие за това количество: не се извършва целеви риболов на гренадир (</w:t>
            </w:r>
            <w:r>
              <w:rPr>
                <w:rFonts w:asciiTheme="majorBidi" w:hAnsiTheme="majorBidi"/>
                <w:i/>
                <w:iCs/>
                <w:noProof/>
                <w:color w:val="000000"/>
              </w:rPr>
              <w:t>Coryphaenoides rupestris</w:t>
            </w:r>
            <w:r>
              <w:rPr>
                <w:rFonts w:asciiTheme="majorBidi" w:hAnsiTheme="majorBidi"/>
                <w:noProof/>
                <w:color w:val="000000"/>
              </w:rPr>
              <w:t>) (RNG/514GRN) и дългоопашата риба (</w:t>
            </w:r>
            <w:r>
              <w:rPr>
                <w:rFonts w:asciiTheme="majorBidi" w:hAnsiTheme="majorBidi"/>
                <w:i/>
                <w:iCs/>
                <w:noProof/>
                <w:color w:val="000000"/>
              </w:rPr>
              <w:t>Macrourus berglax</w:t>
            </w:r>
            <w:r>
              <w:rPr>
                <w:rFonts w:asciiTheme="majorBidi" w:hAnsiTheme="majorBidi"/>
                <w:noProof/>
                <w:color w:val="000000"/>
              </w:rPr>
              <w:t>) (RHG/514GRN). Те се ловят само като прилов и се докладват отделно.</w:t>
            </w:r>
          </w:p>
        </w:tc>
      </w:tr>
      <w:tr>
        <w:trPr>
          <w:trHeight w:val="270"/>
        </w:trPr>
        <w:tc>
          <w:tcPr>
            <w:tcW w:w="1980" w:type="dxa"/>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234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80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szCs w:val="24"/>
              </w:rPr>
            </w:pPr>
            <w:r>
              <w:rPr>
                <w:rFonts w:asciiTheme="majorBidi" w:hAnsiTheme="majorBidi"/>
                <w:noProof/>
                <w:color w:val="000000"/>
              </w:rPr>
              <w:t>25</w:t>
            </w:r>
          </w:p>
        </w:tc>
        <w:tc>
          <w:tcPr>
            <w:tcW w:w="919" w:type="dxa"/>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Макрурус, видове</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Гренландски води от NAFO 1</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 xml:space="preserve">Macrourus </w:t>
            </w:r>
            <w:r>
              <w:rPr>
                <w:rFonts w:asciiTheme="majorBidi" w:hAnsiTheme="majorBidi"/>
                <w:noProof/>
                <w:color w:val="000000"/>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(GRV/N1GRN.)</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Специално условие: не се извършва целеви риболов на гренадир (</w:t>
            </w:r>
            <w:r>
              <w:rPr>
                <w:rFonts w:asciiTheme="majorBidi" w:hAnsiTheme="majorBidi"/>
                <w:i/>
                <w:iCs/>
                <w:noProof/>
                <w:color w:val="000000"/>
              </w:rPr>
              <w:t>Coryphaenoides rupestris</w:t>
            </w:r>
            <w:r>
              <w:rPr>
                <w:rFonts w:asciiTheme="majorBidi" w:hAnsiTheme="majorBidi"/>
                <w:noProof/>
                <w:color w:val="000000"/>
              </w:rPr>
              <w:t>) (RNG/N1GRN.) и дългоопашата риба (</w:t>
            </w:r>
            <w:r>
              <w:rPr>
                <w:rFonts w:asciiTheme="majorBidi" w:hAnsiTheme="majorBidi"/>
                <w:i/>
                <w:iCs/>
                <w:noProof/>
                <w:color w:val="000000"/>
              </w:rPr>
              <w:t>Macrourus berglax</w:t>
            </w:r>
            <w:r>
              <w:rPr>
                <w:rFonts w:asciiTheme="majorBidi" w:hAnsiTheme="majorBidi"/>
                <w:noProof/>
                <w:color w:val="000000"/>
              </w:rPr>
              <w:t>) (RHG/N1GRN.). Те се ловят само като прилов и се докладват отделно.</w:t>
            </w:r>
          </w:p>
        </w:tc>
      </w:tr>
      <w:tr>
        <w:trPr>
          <w:trHeight w:val="1234"/>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Количеството по-долу, в тонове, е разпределено на Норвегия. Специално условие за това количество: не се извършва целеви риболов на гренадир (</w:t>
            </w:r>
            <w:r>
              <w:rPr>
                <w:rFonts w:asciiTheme="majorBidi" w:hAnsiTheme="majorBidi"/>
                <w:i/>
                <w:iCs/>
                <w:noProof/>
                <w:color w:val="000000"/>
              </w:rPr>
              <w:t>Coryphaenoides rupestris</w:t>
            </w:r>
            <w:r>
              <w:rPr>
                <w:rFonts w:asciiTheme="majorBidi" w:hAnsiTheme="majorBidi"/>
                <w:noProof/>
                <w:color w:val="000000"/>
              </w:rPr>
              <w:t>) (RNG/N1GRN.) и дългоопашата риба (</w:t>
            </w:r>
            <w:r>
              <w:rPr>
                <w:rFonts w:asciiTheme="majorBidi" w:hAnsiTheme="majorBidi"/>
                <w:i/>
                <w:iCs/>
                <w:noProof/>
                <w:color w:val="000000"/>
              </w:rPr>
              <w:t>Macrourus berglax</w:t>
            </w:r>
            <w:r>
              <w:rPr>
                <w:rFonts w:asciiTheme="majorBidi" w:hAnsiTheme="majorBidi"/>
                <w:noProof/>
                <w:color w:val="000000"/>
              </w:rPr>
              <w:t>) (RHG/N1GRN.). Те се ловят само като прилов и се докладват отделно.</w:t>
            </w:r>
          </w:p>
        </w:tc>
      </w:tr>
      <w:tr>
        <w:trPr>
          <w:trHeight w:val="270"/>
        </w:trPr>
        <w:tc>
          <w:tcPr>
            <w:tcW w:w="1980" w:type="dxa"/>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234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80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szCs w:val="24"/>
              </w:rPr>
            </w:pPr>
            <w:r>
              <w:rPr>
                <w:rFonts w:asciiTheme="majorBidi" w:hAnsiTheme="majorBidi"/>
                <w:noProof/>
                <w:color w:val="000000"/>
              </w:rPr>
              <w:t>40</w:t>
            </w:r>
          </w:p>
        </w:tc>
        <w:tc>
          <w:tcPr>
            <w:tcW w:w="919" w:type="dxa"/>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Мойва</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2b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Mallotus villosus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(CAP/02B.)</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ОДУ</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919" w:type="dxa"/>
            <w:tcBorders>
              <w:top w:val="nil"/>
              <w:left w:val="nil"/>
              <w:bottom w:val="single" w:sz="8" w:space="0" w:color="auto"/>
              <w:right w:val="nil"/>
            </w:tcBorders>
            <w:noWrap/>
            <w:hideMark/>
          </w:tcPr>
          <w:p>
            <w:pPr>
              <w:spacing w:before="0" w:after="0"/>
              <w:rPr>
                <w:noProof/>
                <w:sz w:val="20"/>
                <w:szCs w:val="20"/>
                <w:lang w:eastAsia="en-GB"/>
              </w:rPr>
            </w:pPr>
          </w:p>
        </w:tc>
        <w:tc>
          <w:tcPr>
            <w:tcW w:w="3702" w:type="dxa"/>
            <w:tcBorders>
              <w:top w:val="nil"/>
              <w:left w:val="nil"/>
              <w:bottom w:val="single" w:sz="8" w:space="0" w:color="auto"/>
              <w:right w:val="nil"/>
            </w:tcBorders>
            <w:noWrap/>
            <w:hideMark/>
          </w:tcPr>
          <w:p>
            <w:pPr>
              <w:spacing w:before="0" w:after="0"/>
              <w:rPr>
                <w:noProof/>
                <w:sz w:val="20"/>
                <w:szCs w:val="20"/>
                <w:lang w:eastAsia="en-GB"/>
              </w:rPr>
            </w:pPr>
          </w:p>
        </w:tc>
      </w:tr>
      <w:tr>
        <w:trPr>
          <w:trHeight w:val="285"/>
        </w:trPr>
        <w:tc>
          <w:tcPr>
            <w:tcW w:w="1980" w:type="dxa"/>
            <w:noWrap/>
            <w:hideMark/>
          </w:tcPr>
          <w:p>
            <w:pPr>
              <w:spacing w:before="0" w:after="0"/>
              <w:rPr>
                <w:noProof/>
                <w:sz w:val="20"/>
                <w:szCs w:val="2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Мойва</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Гренландски води от 5 и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Mallotus villosus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(CAP/514GRN)</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Дания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Швеция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Всички държави членки</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Норвегия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Дания, Германия и Швеция могат да получат достъп до квотата за всички държави членки единствено след като са изчерпали своята собствена квота. Държавите членки, разполагащи с над 10 % от квотата на Съюза, нямат право на достъп до квотата за всички държави членки. Уловът, който се приспада от тази обща квота, се докладва отделно (CAP/514GRN_AMS).</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За риболовен период от 20 юни 2021 г. до 30 април 2022 г.</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Пикша</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Норвежки води от 1 и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Melanogrammus aeglefinus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(HAD/1N2AB.)</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 xml:space="preserve">Съюз </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Син меджид</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Фарьорски води</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Micromesistius poutassou</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(WHB/2A4AXF)</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Дания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Нидерландия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 xml:space="preserve">Съюз </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rPr>
            </w:pPr>
            <w:r>
              <w:rPr>
                <w:rFonts w:asciiTheme="majorBidi" w:hAnsiTheme="majorBidi"/>
                <w:b/>
                <w:bCs/>
                <w:noProof/>
                <w:color w:val="000000"/>
                <w:vertAlign w:val="superscript"/>
              </w:rPr>
              <w:t>(1)</w:t>
            </w: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spacing w:before="60" w:after="60"/>
              <w:rPr>
                <w:rFonts w:asciiTheme="majorBidi" w:hAnsiTheme="majorBidi" w:cstheme="majorBidi"/>
                <w:b/>
                <w:bCs/>
                <w:noProof/>
                <w:color w:val="000000"/>
                <w:lang w:eastAsia="en-GB"/>
              </w:rPr>
            </w:pP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Уловът на син меджид може да включва неизбежен прилов на атлантическа аргентина.</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Молва и синя молва</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Фарьорски води от 5b</w:t>
            </w:r>
          </w:p>
        </w:tc>
      </w:tr>
      <w:tr>
        <w:trPr>
          <w:trHeight w:val="270"/>
        </w:trPr>
        <w:tc>
          <w:tcPr>
            <w:tcW w:w="1980" w:type="dxa"/>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4"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 xml:space="preserve">Molva molva </w:t>
            </w:r>
            <w:r>
              <w:rPr>
                <w:rFonts w:asciiTheme="majorBidi" w:hAnsiTheme="majorBidi"/>
                <w:iCs/>
                <w:noProof/>
                <w:color w:val="000000"/>
              </w:rPr>
              <w:t>и</w:t>
            </w:r>
            <w:r>
              <w:rPr>
                <w:rFonts w:asciiTheme="majorBidi" w:hAnsiTheme="majorBidi"/>
                <w:i/>
                <w:iCs/>
                <w:noProof/>
                <w:color w:val="000000"/>
              </w:rPr>
              <w:t xml:space="preserve"> molva dypterygia</w:t>
            </w:r>
          </w:p>
        </w:tc>
        <w:tc>
          <w:tcPr>
            <w:tcW w:w="919" w:type="dxa"/>
            <w:tcBorders>
              <w:top w:val="nil"/>
              <w:left w:val="single" w:sz="8" w:space="0" w:color="auto"/>
              <w:bottom w:val="single" w:sz="4"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(B/L/05B-F.)</w:t>
            </w:r>
          </w:p>
        </w:tc>
      </w:tr>
      <w:tr>
        <w:trPr>
          <w:trHeight w:val="270"/>
        </w:trPr>
        <w:tc>
          <w:tcPr>
            <w:tcW w:w="1980" w:type="dxa"/>
            <w:tcBorders>
              <w:top w:val="single" w:sz="4"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tcBorders>
              <w:top w:val="single" w:sz="4" w:space="0" w:color="auto"/>
              <w:left w:val="nil"/>
              <w:bottom w:val="nil"/>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tcBorders>
              <w:top w:val="single" w:sz="4" w:space="0" w:color="auto"/>
              <w:left w:val="nil"/>
              <w:bottom w:val="nil"/>
              <w:right w:val="nil"/>
            </w:tcBorders>
            <w:noWrap/>
            <w:hideMark/>
          </w:tcPr>
          <w:p>
            <w:pPr>
              <w:rPr>
                <w:rFonts w:asciiTheme="majorBidi" w:hAnsiTheme="majorBidi" w:cstheme="majorBidi"/>
                <w:noProof/>
                <w:color w:val="000000"/>
                <w:lang w:eastAsia="en-GB"/>
              </w:rPr>
            </w:pPr>
          </w:p>
        </w:tc>
        <w:tc>
          <w:tcPr>
            <w:tcW w:w="4621" w:type="dxa"/>
            <w:gridSpan w:val="2"/>
            <w:tcBorders>
              <w:top w:val="single" w:sz="4"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Съюз </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4 от Регламент (ЕО) № 847/96 не се прилага.</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Приловът на гренадир и афанопус може да се приспадне от тази квота до следното ограничение (OTH/*05B-F):</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szCs w:val="24"/>
              </w:rPr>
            </w:pPr>
            <w:r>
              <w:rPr>
                <w:rFonts w:asciiTheme="majorBidi" w:hAnsiTheme="majorBidi"/>
                <w:noProof/>
                <w:color w:val="000000"/>
              </w:rPr>
              <w:t>pm</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Северна скарида</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Гренландски води от 5 и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Pandalus borealis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(PRA/514GRN)</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Дания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Норвегия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Фарьорски острови</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Северна скарида</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Гренландски води от NAFO 1</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Pandalus borealis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(PRA/N1GRN.)</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Дания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Сайда</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Норвежки води от 1 и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Pollachius virens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(POK/1N2AB.)</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Сайда</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Международни води от 1 и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Pollachius virens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(POK/1/2INT)</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ОДУ</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Сайда</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Фарьорски води от 5b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Pollachius virens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(POK/05B-F.)</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Белгия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Нидерландия</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hideMark/>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Черна писия</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Норвежки води от 1 и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(GHL/1N2AB.)</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Съюз</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tc>
      </w:tr>
      <w:tr>
        <w:trPr>
          <w:trHeight w:val="270"/>
        </w:trPr>
        <w:tc>
          <w:tcPr>
            <w:tcW w:w="1980" w:type="dxa"/>
            <w:noWrap/>
          </w:tcPr>
          <w:p>
            <w:pPr>
              <w:spacing w:before="60" w:after="60"/>
              <w:rPr>
                <w:rFonts w:asciiTheme="majorBidi" w:hAnsiTheme="majorBidi" w:cstheme="majorBidi"/>
                <w:noProof/>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ОДУ</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Не се прилага</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4"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Изключително за прилов. В рамките на тази квота не се разрешава целеви риболов.</w:t>
            </w: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color w:val="00000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Черна писия</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Международни води от 1 и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(GHL/1/2INT)</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Съюз</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Предпазен ОДУ</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ОДУ</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Не се прилага</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Изключително за прилов. В рамките на тази квота не се разрешава целеви риболов.</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Черна писия</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Гренландски води от NAFO 1</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(GHL/N1G-S68)</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Съюз</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Норвегия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ОДУ</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Не се прилага</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color w:val="000000"/>
              </w:rPr>
              <w:t>Риболовът се извършва на юг от 68° с.ш.</w:t>
            </w: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Черна писия</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Гренландски води от 5, 12 и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(GHL/5-14GL)</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tc>
      </w:tr>
      <w:tr>
        <w:trPr>
          <w:trHeight w:val="270"/>
        </w:trPr>
        <w:tc>
          <w:tcPr>
            <w:tcW w:w="1980" w:type="dxa"/>
            <w:noWrap/>
          </w:tcPr>
          <w:p>
            <w:pPr>
              <w:spacing w:before="60" w:after="60"/>
              <w:rPr>
                <w:rFonts w:asciiTheme="majorBidi" w:hAnsiTheme="majorBidi" w:cstheme="majorBidi"/>
                <w:noProof/>
                <w:color w:val="000000"/>
              </w:rPr>
            </w:pPr>
            <w:r>
              <w:rPr>
                <w:rFonts w:asciiTheme="majorBidi" w:hAnsiTheme="majorBidi"/>
                <w:noProof/>
              </w:rPr>
              <w:t>Съюз</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tcPr>
          <w:p>
            <w:pPr>
              <w:spacing w:before="60" w:after="60"/>
              <w:rPr>
                <w:rFonts w:asciiTheme="majorBidi" w:hAnsiTheme="majorBidi" w:cstheme="majorBidi"/>
                <w:noProof/>
              </w:rPr>
            </w:pPr>
            <w:r>
              <w:rPr>
                <w:rFonts w:asciiTheme="majorBidi" w:hAnsiTheme="majorBidi"/>
                <w:noProof/>
                <w:color w:val="000000"/>
              </w:rPr>
              <w:t>Норвегия</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tcPr>
          <w:p>
            <w:pPr>
              <w:spacing w:before="60" w:after="60"/>
              <w:rPr>
                <w:rFonts w:asciiTheme="majorBidi" w:hAnsiTheme="majorBidi" w:cstheme="majorBidi"/>
                <w:b/>
                <w:bCs/>
                <w:noProof/>
                <w:color w:val="000000"/>
                <w:lang w:eastAsia="en-GB"/>
              </w:rPr>
            </w:pP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tcPr>
          <w:p>
            <w:pPr>
              <w:spacing w:before="60" w:after="60"/>
              <w:rPr>
                <w:rFonts w:asciiTheme="majorBidi" w:hAnsiTheme="majorBidi" w:cstheme="majorBidi"/>
                <w:noProof/>
                <w:color w:val="000000"/>
              </w:rPr>
            </w:pPr>
            <w:r>
              <w:rPr>
                <w:rFonts w:asciiTheme="majorBidi" w:hAnsiTheme="majorBidi"/>
                <w:noProof/>
                <w:color w:val="000000"/>
              </w:rPr>
              <w:t>Фарьорски острови</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tcPr>
          <w:p>
            <w:pPr>
              <w:rPr>
                <w:rFonts w:asciiTheme="majorBidi" w:hAnsiTheme="majorBidi" w:cstheme="majorBidi"/>
                <w:noProof/>
                <w:color w:val="00000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szCs w:val="24"/>
              </w:rPr>
            </w:pPr>
            <w:r>
              <w:rPr>
                <w:rFonts w:asciiTheme="majorBidi" w:hAnsiTheme="majorBidi"/>
                <w:noProof/>
              </w:rPr>
              <w:t>ОДУ</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Не се прилага</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Риболовът се извършва с не повече от 6 кораба едновременно.</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Морски костур, видове (плитководен пелагичен)</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Води на Съюза и международни води от 5; международни води от 12 и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 xml:space="preserve">Sebastes </w:t>
            </w:r>
            <w:r>
              <w:rPr>
                <w:rFonts w:asciiTheme="majorBidi" w:hAnsiTheme="majorBidi"/>
                <w:noProof/>
                <w:color w:val="000000"/>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(RED/51214S)</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Естония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 xml:space="preserve">Испания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Ирландия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Латвия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Нидерландия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Полша</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Португалия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Морски костур, видове (дълбоководен пелагичен)</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Води на Съюза и международни води от 5; международни води от 12 и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 xml:space="preserve">Sebastes </w:t>
            </w:r>
            <w:r>
              <w:rPr>
                <w:rFonts w:asciiTheme="majorBidi" w:hAnsiTheme="majorBidi"/>
                <w:noProof/>
                <w:color w:val="000000"/>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(RED/51214D)</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Естония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 xml:space="preserve">Испания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Ирландия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Латвия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Нидерландия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Полша</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Португалия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color w:val="000000"/>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pageBreakBefore/>
              <w:spacing w:before="60" w:after="60"/>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Може да се лови само в зоната, ограничена от линиите, съединяващи точките със следните координати:</w:t>
            </w:r>
          </w:p>
        </w:tc>
      </w:tr>
      <w:tr>
        <w:trPr>
          <w:trHeight w:val="285"/>
        </w:trPr>
        <w:tc>
          <w:tcPr>
            <w:tcW w:w="1980" w:type="dxa"/>
            <w:noWrap/>
            <w:hideMark/>
          </w:tcPr>
          <w:p>
            <w:pPr>
              <w:rPr>
                <w:rFonts w:asciiTheme="majorBidi" w:hAnsiTheme="majorBidi" w:cstheme="majorBidi"/>
                <w:noProof/>
                <w:color w:val="00000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Точка</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Географска ширина</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Географска дължина</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1</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64° 45'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28° 30'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2</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62° 50'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25° 45'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3</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55'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26° 45'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4</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00'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26° 30'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5</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59° 00'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30° 00'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6</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59° 00'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34° 00'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7</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30'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34° 00'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8</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62° 50'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36° 00'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9</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64° 45'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28° 30' з.д.</w:t>
            </w:r>
          </w:p>
        </w:tc>
        <w:tc>
          <w:tcPr>
            <w:tcW w:w="3702" w:type="dxa"/>
            <w:noWrap/>
            <w:hideMark/>
          </w:tcPr>
          <w:p>
            <w:pPr>
              <w:rPr>
                <w:rFonts w:asciiTheme="majorBidi" w:hAnsiTheme="majorBidi" w:cstheme="majorBidi"/>
                <w:noProof/>
                <w:color w:val="000000"/>
                <w:lang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(2)</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Може да се лови само от 10 май до 31 декември.</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Морски костур, видове</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Норвежки води от 1 и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Sebastes mentella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(REB/1N2AB.)</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Испания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Франция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Португалия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rPr>
            </w:pPr>
            <w:r>
              <w:rPr>
                <w:rFonts w:asciiTheme="majorBidi" w:hAnsiTheme="majorBidi"/>
                <w:noProof/>
              </w:rPr>
              <w:t>Не се прилага</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lang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Морски костур, видове</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Международни води от 1 и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 xml:space="preserve">Sebastes </w:t>
            </w:r>
            <w:r>
              <w:rPr>
                <w:rFonts w:asciiTheme="majorBidi" w:hAnsiTheme="majorBidi"/>
                <w:noProof/>
                <w:color w:val="000000"/>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(RED/1/2INT)</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Съюз</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Предстои да бъде определен</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 (2)</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 xml:space="preserve">(1) </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Риболовът се преустановява след пълно изчерпване на ОДУ от договарящите страни по NEAFC. От датата на преустановяване на риболова държавите членки забраняват целевия риболов на морски костур от кораби, плаващи под тяхното знаме.</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Корабите ограничават своя прилов на морски костур при други риболовни дейности до не повече от 1 % от общия улов, задържан на борда.</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(3)</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Временно ограничение на улова, така че да обхване количествата, уловени от всички договарящи страни по NEAFC.</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Морски костур, видове (пелагичен)</w:t>
            </w:r>
          </w:p>
        </w:tc>
        <w:tc>
          <w:tcPr>
            <w:tcW w:w="919" w:type="dxa"/>
            <w:tcBorders>
              <w:top w:val="nil"/>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noWrap/>
            <w:hideMark/>
          </w:tcPr>
          <w:p>
            <w:pPr>
              <w:spacing w:before="60" w:after="60"/>
              <w:rPr>
                <w:rFonts w:asciiTheme="majorBidi" w:hAnsiTheme="majorBidi" w:cstheme="majorBidi"/>
                <w:noProof/>
                <w:color w:val="000000"/>
              </w:rPr>
            </w:pPr>
            <w:r>
              <w:rPr>
                <w:rFonts w:asciiTheme="majorBidi" w:hAnsiTheme="majorBidi"/>
                <w:noProof/>
                <w:color w:val="000000"/>
              </w:rPr>
              <w:t>Гренландски води от NAFO 1F и гренландски води от 5, 12 и 14</w:t>
            </w: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 </w:t>
            </w: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rPr>
            </w:pPr>
            <w:r>
              <w:rPr>
                <w:rFonts w:asciiTheme="majorBidi" w:hAnsiTheme="majorBidi"/>
                <w:i/>
                <w:iCs/>
                <w:noProof/>
                <w:color w:val="000000"/>
              </w:rPr>
              <w:t xml:space="preserve">Sebastes </w:t>
            </w:r>
            <w:r>
              <w:rPr>
                <w:rFonts w:asciiTheme="majorBidi" w:hAnsiTheme="majorBidi"/>
                <w:noProof/>
                <w:color w:val="000000"/>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(RED/N1G14P)</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(1)(2)(3)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(1)(2)(3)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tc>
      </w:tr>
      <w:tr>
        <w:trPr>
          <w:trHeight w:val="270"/>
        </w:trPr>
        <w:tc>
          <w:tcPr>
            <w:tcW w:w="1980" w:type="dxa"/>
            <w:noWrap/>
          </w:tcPr>
          <w:p>
            <w:pPr>
              <w:spacing w:before="60" w:after="60"/>
              <w:rPr>
                <w:rFonts w:asciiTheme="majorBidi" w:hAnsiTheme="majorBidi" w:cstheme="majorBidi"/>
                <w:noProof/>
                <w:color w:val="000000"/>
              </w:rPr>
            </w:pPr>
            <w:r>
              <w:rPr>
                <w:rFonts w:asciiTheme="majorBidi" w:hAnsiTheme="majorBidi"/>
                <w:noProof/>
                <w:color w:val="000000"/>
              </w:rPr>
              <w:t>Съюз</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(1)(2)(3)</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tcPr>
          <w:p>
            <w:pPr>
              <w:spacing w:before="60" w:after="60"/>
              <w:rPr>
                <w:rFonts w:asciiTheme="majorBidi" w:hAnsiTheme="majorBidi" w:cstheme="majorBidi"/>
                <w:noProof/>
                <w:color w:val="000000"/>
              </w:rPr>
            </w:pPr>
            <w:r>
              <w:rPr>
                <w:rFonts w:asciiTheme="majorBidi" w:hAnsiTheme="majorBidi"/>
                <w:noProof/>
                <w:color w:val="000000"/>
              </w:rPr>
              <w:t>Норвегия</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(1)(2)</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rPr>
            </w:pPr>
            <w:r>
              <w:rPr>
                <w:rFonts w:asciiTheme="majorBidi" w:hAnsiTheme="majorBidi"/>
                <w:noProof/>
                <w:color w:val="000000"/>
              </w:rPr>
              <w:t>Фарьорски острови</w:t>
            </w:r>
          </w:p>
        </w:tc>
        <w:tc>
          <w:tcPr>
            <w:tcW w:w="2343" w:type="dxa"/>
            <w:gridSpan w:val="2"/>
            <w:noWrap/>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(1)(2)(4)</w:t>
            </w: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eastAsia="en-GB"/>
              </w:rPr>
            </w:pPr>
          </w:p>
        </w:tc>
        <w:tc>
          <w:tcPr>
            <w:tcW w:w="2343" w:type="dxa"/>
            <w:gridSpan w:val="2"/>
            <w:noWrap/>
          </w:tcPr>
          <w:p>
            <w:pPr>
              <w:spacing w:before="60" w:after="60"/>
              <w:jc w:val="right"/>
              <w:rPr>
                <w:rFonts w:asciiTheme="majorBidi" w:hAnsiTheme="majorBidi" w:cstheme="majorBidi"/>
                <w:noProof/>
                <w:color w:val="000000"/>
                <w:lang w:eastAsia="en-GB"/>
              </w:rPr>
            </w:pPr>
          </w:p>
        </w:tc>
        <w:tc>
          <w:tcPr>
            <w:tcW w:w="803" w:type="dxa"/>
            <w:gridSpan w:val="2"/>
            <w:noWrap/>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3146" w:type="dxa"/>
            <w:gridSpan w:val="4"/>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919" w:type="dxa"/>
            <w:noWrap/>
            <w:hideMark/>
          </w:tcPr>
          <w:p>
            <w:pPr>
              <w:rPr>
                <w:rFonts w:asciiTheme="majorBidi" w:hAnsiTheme="majorBidi" w:cstheme="majorBidi"/>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pageBreakBefore/>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Може да се лови само от 10 май до 31 декември.</w:t>
            </w:r>
          </w:p>
        </w:tc>
      </w:tr>
      <w:tr>
        <w:trPr>
          <w:trHeight w:val="270"/>
        </w:trPr>
        <w:tc>
          <w:tcPr>
            <w:tcW w:w="1980" w:type="dxa"/>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(2)</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Риболовът може да се извършва само в гренландски води в рамките на зоната за опазване на морския костур, ограничена от линиите, съединяващи точките със следните координати:</w:t>
            </w:r>
          </w:p>
        </w:tc>
      </w:tr>
      <w:tr>
        <w:trPr>
          <w:trHeight w:val="285"/>
        </w:trPr>
        <w:tc>
          <w:tcPr>
            <w:tcW w:w="1980" w:type="dxa"/>
            <w:noWrap/>
            <w:hideMark/>
          </w:tcPr>
          <w:p>
            <w:pPr>
              <w:rPr>
                <w:rFonts w:asciiTheme="majorBidi" w:hAnsiTheme="majorBidi" w:cstheme="majorBidi"/>
                <w:noProof/>
                <w:color w:val="00000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Точка</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Географска ширина</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Географска дължина</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1</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64° 45'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28° 30'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2</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62° 50'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25° 45'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3</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55'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26° 45'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4</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00'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26° 30'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5</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59° 00'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30° 00'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6</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59° 00'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34° 00'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7</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61° 30'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34° 00'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8</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62° 50'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36° 00'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9</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64° 45' с.ш.</w:t>
            </w:r>
          </w:p>
        </w:tc>
        <w:tc>
          <w:tcPr>
            <w:tcW w:w="1355"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28° 30' з.д.</w:t>
            </w:r>
          </w:p>
        </w:tc>
        <w:tc>
          <w:tcPr>
            <w:tcW w:w="3702" w:type="dxa"/>
            <w:noWrap/>
            <w:hideMark/>
          </w:tcPr>
          <w:p>
            <w:pPr>
              <w:rPr>
                <w:rFonts w:asciiTheme="majorBidi" w:hAnsiTheme="majorBidi" w:cstheme="majorBidi"/>
                <w:noProof/>
                <w:color w:val="00000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(3)</w:t>
            </w:r>
          </w:p>
        </w:tc>
        <w:tc>
          <w:tcPr>
            <w:tcW w:w="7767" w:type="dxa"/>
            <w:gridSpan w:val="6"/>
            <w:noWrap/>
            <w:hideMark/>
          </w:tcPr>
          <w:p>
            <w:pPr>
              <w:spacing w:before="60" w:after="60"/>
              <w:rPr>
                <w:rFonts w:asciiTheme="majorBidi" w:hAnsiTheme="majorBidi" w:cstheme="majorBidi"/>
                <w:noProof/>
                <w:color w:val="000000"/>
              </w:rPr>
            </w:pPr>
            <w:r>
              <w:rPr>
                <w:rFonts w:asciiTheme="majorBidi" w:hAnsiTheme="majorBidi"/>
                <w:noProof/>
                <w:color w:val="000000"/>
              </w:rPr>
              <w:t>Специално условие: риболов по тази квота може да се извършва и в международните води на зоната за опазване на морския костур, посочена по-горе (RED/*5-14P).</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(4)</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Риболовът може да се извършва само в гренландски води от 5 и 14 (RED/*514GN).</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Морски костур, видове (дънен)</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Гренландски води от NAFO 1F и гренландски води от 5 и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 xml:space="preserve">Sebastes </w:t>
            </w:r>
            <w:r>
              <w:rPr>
                <w:rFonts w:asciiTheme="majorBidi" w:hAnsiTheme="majorBidi"/>
                <w:noProof/>
                <w:color w:val="000000"/>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(RED/N1G14D)</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Съюз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3146" w:type="dxa"/>
            <w:gridSpan w:val="4"/>
            <w:noWrap/>
            <w:hideMark/>
          </w:tcPr>
          <w:p>
            <w:pPr>
              <w:spacing w:before="60" w:after="60"/>
              <w:jc w:val="right"/>
              <w:rPr>
                <w:rFonts w:asciiTheme="majorBidi" w:hAnsiTheme="majorBidi" w:cstheme="majorBidi"/>
                <w:noProof/>
                <w:color w:val="000000"/>
              </w:rPr>
            </w:pPr>
            <w:r>
              <w:rPr>
                <w:rFonts w:asciiTheme="majorBidi" w:hAnsiTheme="majorBidi"/>
                <w:noProof/>
                <w:color w:val="000000"/>
              </w:rPr>
              <w:t>Не се прилага</w:t>
            </w:r>
          </w:p>
        </w:tc>
        <w:tc>
          <w:tcPr>
            <w:tcW w:w="919" w:type="dxa"/>
            <w:noWrap/>
            <w:hideMark/>
          </w:tcPr>
          <w:p>
            <w:pPr>
              <w:rPr>
                <w:rFonts w:asciiTheme="majorBidi" w:hAnsiTheme="majorBidi" w:cstheme="majorBidi"/>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noWrap/>
            <w:hideMark/>
          </w:tcPr>
          <w:p>
            <w:pPr>
              <w:spacing w:before="60" w:after="60"/>
              <w:rPr>
                <w:rFonts w:asciiTheme="majorBidi" w:hAnsiTheme="majorBidi" w:cstheme="majorBidi"/>
                <w:noProof/>
              </w:rPr>
            </w:pPr>
            <w:r>
              <w:rPr>
                <w:rFonts w:asciiTheme="majorBidi" w:hAnsiTheme="majorBidi"/>
                <w:noProof/>
              </w:rPr>
              <w:t>Риболовът може да се извършва само с трал и само на север и на запад от линията, определена от точките със следните координати:</w:t>
            </w:r>
          </w:p>
        </w:tc>
      </w:tr>
      <w:tr>
        <w:trPr>
          <w:trHeight w:val="285"/>
        </w:trPr>
        <w:tc>
          <w:tcPr>
            <w:tcW w:w="1980" w:type="dxa"/>
            <w:noWrap/>
            <w:hideMark/>
          </w:tcPr>
          <w:p>
            <w:pPr>
              <w:rPr>
                <w:rFonts w:asciiTheme="majorBidi" w:hAnsiTheme="majorBidi" w:cstheme="majorBidi"/>
                <w:noProof/>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Точка</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Географска ширина</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Географска дължина</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1</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59° 15' с.ш.</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54° 26' з.д.</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2</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59° 15' с.ш.</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44° 00' з.д.</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3</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59° 30' с.ш.</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42° 45' з.д.</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4</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60° 00' с.ш.</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42° 00' з.д.</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5</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62° 00' с.ш.</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40° 30' з.д.</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6</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62° 00' с.ш.</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40° 00' з.д.</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7</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62° 40' с.ш.</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40° 15' з.д.</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8</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63° 09' с.ш.</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39° 40' з.д.</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9</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63° 30' с.ш.</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37° 15' з.д.</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10</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64° 20' с.ш.</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35° 00' з.д.</w:t>
            </w:r>
          </w:p>
        </w:tc>
        <w:tc>
          <w:tcPr>
            <w:tcW w:w="3702" w:type="dxa"/>
            <w:noWrap/>
            <w:hideMark/>
          </w:tcPr>
          <w:p>
            <w:pPr>
              <w:rPr>
                <w:rFonts w:asciiTheme="majorBidi" w:hAnsiTheme="majorBidi" w:cstheme="majorBidi"/>
                <w:noProof/>
                <w:lang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rPr>
            </w:pPr>
            <w:r>
              <w:rPr>
                <w:rFonts w:asciiTheme="majorBidi" w:hAnsiTheme="majorBidi"/>
                <w:noProof/>
              </w:rPr>
              <w:t>11</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65° 15' с.ш.</w:t>
            </w:r>
          </w:p>
        </w:tc>
        <w:tc>
          <w:tcPr>
            <w:tcW w:w="1355" w:type="dxa"/>
            <w:gridSpan w:val="2"/>
            <w:noWrap/>
            <w:hideMark/>
          </w:tcPr>
          <w:p>
            <w:pPr>
              <w:spacing w:before="60" w:after="60"/>
              <w:rPr>
                <w:rFonts w:asciiTheme="majorBidi" w:hAnsiTheme="majorBidi" w:cstheme="majorBidi"/>
                <w:noProof/>
              </w:rPr>
            </w:pPr>
            <w:r>
              <w:rPr>
                <w:rFonts w:asciiTheme="majorBidi" w:hAnsiTheme="majorBidi"/>
                <w:noProof/>
              </w:rPr>
              <w:t>32° 30' з.д.</w:t>
            </w:r>
          </w:p>
        </w:tc>
        <w:tc>
          <w:tcPr>
            <w:tcW w:w="3702" w:type="dxa"/>
            <w:noWrap/>
            <w:hideMark/>
          </w:tcPr>
          <w:p>
            <w:pPr>
              <w:rPr>
                <w:rFonts w:asciiTheme="majorBidi" w:hAnsiTheme="majorBidi" w:cstheme="majorBidi"/>
                <w:noProof/>
                <w:lang w:eastAsia="en-GB"/>
              </w:rPr>
            </w:pPr>
          </w:p>
        </w:tc>
      </w:tr>
      <w:tr>
        <w:trPr>
          <w:trHeight w:val="270"/>
        </w:trPr>
        <w:tc>
          <w:tcPr>
            <w:tcW w:w="1980" w:type="dxa"/>
            <w:tcBorders>
              <w:top w:val="nil"/>
              <w:left w:val="nil"/>
              <w:bottom w:val="single" w:sz="4" w:space="0" w:color="auto"/>
              <w:right w:val="nil"/>
            </w:tcBorders>
            <w:noWrap/>
            <w:hideMark/>
          </w:tcPr>
          <w:p>
            <w:pPr>
              <w:spacing w:before="0" w:after="0"/>
              <w:rPr>
                <w:noProof/>
                <w:sz w:val="20"/>
                <w:szCs w:val="20"/>
                <w:lang w:eastAsia="en-GB"/>
              </w:rPr>
            </w:pPr>
          </w:p>
        </w:tc>
        <w:tc>
          <w:tcPr>
            <w:tcW w:w="1355" w:type="dxa"/>
            <w:tcBorders>
              <w:top w:val="nil"/>
              <w:left w:val="nil"/>
              <w:bottom w:val="single" w:sz="4"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12</w:t>
            </w:r>
          </w:p>
        </w:tc>
        <w:tc>
          <w:tcPr>
            <w:tcW w:w="1355" w:type="dxa"/>
            <w:gridSpan w:val="2"/>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65° 15' с.ш.</w:t>
            </w:r>
          </w:p>
        </w:tc>
        <w:tc>
          <w:tcPr>
            <w:tcW w:w="1355" w:type="dxa"/>
            <w:gridSpan w:val="2"/>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29° 50' з.д.</w:t>
            </w:r>
          </w:p>
        </w:tc>
        <w:tc>
          <w:tcPr>
            <w:tcW w:w="3702" w:type="dxa"/>
            <w:tcBorders>
              <w:top w:val="nil"/>
              <w:left w:val="nil"/>
              <w:bottom w:val="single" w:sz="4" w:space="0" w:color="auto"/>
              <w:right w:val="nil"/>
            </w:tcBorders>
            <w:noWrap/>
            <w:hideMark/>
          </w:tcPr>
          <w:p>
            <w:pPr>
              <w:rPr>
                <w:rFonts w:asciiTheme="majorBidi" w:hAnsiTheme="majorBidi" w:cstheme="majorBidi"/>
                <w:noProof/>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Морски костур, видове</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Фарьорски води от 5b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rPr>
            </w:pPr>
            <w:r>
              <w:rPr>
                <w:rFonts w:asciiTheme="majorBidi" w:hAnsiTheme="majorBidi"/>
                <w:i/>
                <w:iCs/>
                <w:noProof/>
                <w:color w:val="000000"/>
              </w:rPr>
              <w:t xml:space="preserve">Sebastes </w:t>
            </w:r>
            <w:r>
              <w:rPr>
                <w:rFonts w:asciiTheme="majorBidi" w:hAnsiTheme="majorBidi"/>
                <w:noProof/>
                <w:color w:val="000000"/>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(RED/05B-F.)</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Белгия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4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Съюз</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rPr>
            </w:pPr>
            <w:r>
              <w:rPr>
                <w:rFonts w:asciiTheme="majorBidi" w:hAnsiTheme="majorBidi"/>
                <w:noProof/>
              </w:rPr>
              <w:t>Не се прилага</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lang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szCs w:val="24"/>
                <w:lang w:eastAsia="en-GB"/>
              </w:rPr>
            </w:pPr>
          </w:p>
        </w:tc>
        <w:tc>
          <w:tcPr>
            <w:tcW w:w="2343" w:type="dxa"/>
            <w:gridSpan w:val="2"/>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803" w:type="dxa"/>
            <w:gridSpan w:val="2"/>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eastAsia="en-GB"/>
              </w:rPr>
            </w:pP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Други видове</w:t>
            </w:r>
          </w:p>
        </w:tc>
        <w:tc>
          <w:tcPr>
            <w:tcW w:w="919" w:type="dxa"/>
            <w:tcBorders>
              <w:top w:val="nil"/>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noWrap/>
            <w:hideMark/>
          </w:tcPr>
          <w:p>
            <w:pPr>
              <w:spacing w:before="60" w:after="60"/>
              <w:rPr>
                <w:rFonts w:asciiTheme="majorBidi" w:hAnsiTheme="majorBidi" w:cstheme="majorBidi"/>
                <w:noProof/>
                <w:color w:val="000000"/>
              </w:rPr>
            </w:pPr>
            <w:r>
              <w:rPr>
                <w:rFonts w:asciiTheme="majorBidi" w:hAnsiTheme="majorBidi"/>
                <w:noProof/>
                <w:color w:val="000000"/>
              </w:rPr>
              <w:t>Норвежки води от 1 и 2</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(OTH/1N2AB.)</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Съюз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4621" w:type="dxa"/>
            <w:gridSpan w:val="2"/>
            <w:noWrap/>
            <w:hideMark/>
          </w:tcPr>
          <w:p>
            <w:pPr>
              <w:spacing w:before="60" w:after="60"/>
              <w:rPr>
                <w:rFonts w:asciiTheme="majorBidi" w:hAnsiTheme="majorBidi" w:cstheme="majorBidi"/>
                <w:noProof/>
                <w:color w:val="000000"/>
              </w:rPr>
            </w:pPr>
            <w:r>
              <w:rPr>
                <w:rFonts w:asciiTheme="majorBidi" w:hAnsiTheme="majorBidi"/>
                <w:noProof/>
                <w:color w:val="000000"/>
              </w:rPr>
              <w:t>Член 4 от Регламент (ЕО) № 847/96 не се прилага.</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tcPr>
          <w:p>
            <w:pPr>
              <w:spacing w:before="60" w:after="60"/>
              <w:rPr>
                <w:rFonts w:asciiTheme="majorBidi" w:hAnsiTheme="majorBidi" w:cstheme="majorBidi"/>
                <w:b/>
                <w:bCs/>
                <w:noProof/>
                <w:color w:val="000000"/>
                <w:lang w:eastAsia="en-GB"/>
              </w:rPr>
            </w:pPr>
          </w:p>
        </w:tc>
        <w:tc>
          <w:tcPr>
            <w:tcW w:w="919" w:type="dxa"/>
            <w:noWrap/>
            <w:hideMark/>
          </w:tcPr>
          <w:p>
            <w:pPr>
              <w:rPr>
                <w:rFonts w:asciiTheme="majorBidi" w:hAnsiTheme="majorBidi" w:cstheme="majorBidi"/>
                <w:b/>
                <w:bCs/>
                <w:noProof/>
                <w:color w:val="00000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Не се прилага</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Изключително за прилов. В рамките на тази квота не се разрешава целеви риболов.</w:t>
            </w:r>
          </w:p>
        </w:tc>
      </w:tr>
      <w:tr>
        <w:trPr>
          <w:trHeight w:val="285"/>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Други видове</w:t>
            </w:r>
          </w:p>
        </w:tc>
        <w:tc>
          <w:tcPr>
            <w:tcW w:w="803" w:type="dxa"/>
            <w:gridSpan w:val="2"/>
            <w:tcBorders>
              <w:top w:val="single" w:sz="8" w:space="0" w:color="auto"/>
              <w:left w:val="nil"/>
              <w:bottom w:val="nil"/>
              <w:right w:val="nil"/>
            </w:tcBorders>
            <w:noWrap/>
            <w:hideMark/>
          </w:tcPr>
          <w:p>
            <w:pPr>
              <w:spacing w:before="60" w:after="60"/>
              <w:rPr>
                <w:rFonts w:asciiTheme="majorBidi" w:hAnsiTheme="majorBidi" w:cstheme="majorBidi"/>
                <w:b/>
                <w:bCs/>
                <w:noProof/>
                <w:color w:val="000000"/>
              </w:rPr>
            </w:pPr>
            <w:r>
              <w:rPr>
                <w:rFonts w:asciiTheme="majorBidi" w:hAnsiTheme="majorBidi"/>
                <w:b/>
                <w:bCs/>
                <w:noProof/>
                <w:color w:val="000000"/>
                <w:vertAlign w:val="superscript"/>
              </w:rPr>
              <w:t>(1)</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Фарьорски води от 5b</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(OTH/05B-F.)</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Съюз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4 от Регламент (ЕО) № 847/96 не се прилага.</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Не се прилага</w:t>
            </w: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jc w:val="right"/>
              <w:rPr>
                <w:rFonts w:asciiTheme="majorBidi" w:hAnsiTheme="majorBidi" w:cstheme="majorBidi"/>
                <w:b/>
                <w:bCs/>
                <w:noProof/>
                <w:color w:val="000000"/>
                <w:szCs w:val="24"/>
              </w:rPr>
            </w:pPr>
            <w:r>
              <w:rPr>
                <w:rFonts w:asciiTheme="majorBidi" w:hAnsiTheme="majorBidi"/>
                <w:b/>
                <w:bCs/>
                <w:noProof/>
                <w:color w:val="000000"/>
                <w:vertAlign w:val="superscript"/>
              </w:rPr>
              <w:t>(1)</w:t>
            </w:r>
          </w:p>
        </w:tc>
        <w:tc>
          <w:tcPr>
            <w:tcW w:w="7767" w:type="dxa"/>
            <w:gridSpan w:val="6"/>
            <w:tcBorders>
              <w:top w:val="nil"/>
              <w:left w:val="nil"/>
              <w:bottom w:val="single" w:sz="4"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С изключение на рибни видове без търговска стойност.</w:t>
            </w: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color w:val="00000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Калканоподобни</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Фарьорски води от 5b</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(FLX/05B-F.)</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Аналитичен ОДУ</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Франция</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 xml:space="preserve">Съюз </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4 от Регламент (ЕО) № 847/96 не се прилага.</w:t>
            </w:r>
          </w:p>
        </w:tc>
      </w:tr>
      <w:tr>
        <w:trPr>
          <w:trHeight w:val="270"/>
        </w:trPr>
        <w:tc>
          <w:tcPr>
            <w:tcW w:w="1980" w:type="dxa"/>
            <w:noWrap/>
          </w:tcPr>
          <w:p>
            <w:pPr>
              <w:spacing w:before="60" w:after="60"/>
              <w:rPr>
                <w:rFonts w:asciiTheme="majorBidi" w:hAnsiTheme="majorBidi" w:cstheme="majorBidi"/>
                <w:noProof/>
                <w:color w:val="000000"/>
                <w:lang w:eastAsia="en-GB"/>
              </w:rPr>
            </w:pPr>
          </w:p>
        </w:tc>
        <w:tc>
          <w:tcPr>
            <w:tcW w:w="2343" w:type="dxa"/>
            <w:gridSpan w:val="2"/>
            <w:noWrap/>
          </w:tcPr>
          <w:p>
            <w:pPr>
              <w:spacing w:before="60" w:after="60"/>
              <w:jc w:val="right"/>
              <w:rPr>
                <w:rFonts w:asciiTheme="majorBidi" w:hAnsiTheme="majorBidi" w:cstheme="majorBidi"/>
                <w:noProof/>
                <w:lang w:eastAsia="en-GB"/>
              </w:rPr>
            </w:pPr>
          </w:p>
        </w:tc>
        <w:tc>
          <w:tcPr>
            <w:tcW w:w="803" w:type="dxa"/>
            <w:gridSpan w:val="2"/>
            <w:noWrap/>
            <w:hideMark/>
          </w:tcPr>
          <w:p>
            <w:pPr>
              <w:rPr>
                <w:rFonts w:asciiTheme="majorBidi" w:hAnsiTheme="majorBidi" w:cstheme="majorBidi"/>
                <w:noProof/>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rPr>
            </w:pPr>
            <w:r>
              <w:rPr>
                <w:rFonts w:asciiTheme="majorBidi" w:hAnsiTheme="majorBidi"/>
                <w:noProof/>
                <w:color w:val="000000"/>
              </w:rPr>
              <w:t>ОДУ</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rPr>
            </w:pPr>
            <w:r>
              <w:rPr>
                <w:rFonts w:asciiTheme="majorBidi" w:hAnsiTheme="majorBidi"/>
                <w:noProof/>
              </w:rPr>
              <w:t>Не се прилага</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lang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rPr>
            </w:pPr>
            <w:r>
              <w:rPr>
                <w:rFonts w:asciiTheme="majorBidi" w:hAnsiTheme="majorBidi"/>
                <w:noProof/>
                <w:color w:val="000000"/>
              </w:rPr>
              <w:t>Вид:</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Прилов</w:t>
            </w:r>
            <w:r>
              <w:rPr>
                <w:rFonts w:asciiTheme="majorBidi" w:hAnsiTheme="majorBidi"/>
                <w:b/>
                <w:bCs/>
                <w:noProof/>
                <w:color w:val="000000"/>
                <w:vertAlign w:val="superscript"/>
              </w:rPr>
              <w:t>(1)</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Зона:</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Гренландски води</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(B-C/GRL)</w:t>
            </w:r>
          </w:p>
        </w:tc>
      </w:tr>
      <w:tr>
        <w:trPr>
          <w:trHeight w:val="270"/>
        </w:trPr>
        <w:tc>
          <w:tcPr>
            <w:tcW w:w="1980" w:type="dxa"/>
            <w:noWrap/>
            <w:hideMark/>
          </w:tcPr>
          <w:p>
            <w:pPr>
              <w:spacing w:before="60" w:after="60"/>
              <w:rPr>
                <w:rFonts w:asciiTheme="majorBidi" w:hAnsiTheme="majorBidi" w:cstheme="majorBidi"/>
                <w:noProof/>
              </w:rPr>
            </w:pPr>
            <w:r>
              <w:rPr>
                <w:rFonts w:asciiTheme="majorBidi" w:hAnsiTheme="majorBidi"/>
                <w:noProof/>
              </w:rPr>
              <w:t>Съюз</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color w:val="000000"/>
              </w:rPr>
              <w:t>pm</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Предпазен ОДУ</w:t>
            </w:r>
          </w:p>
        </w:tc>
      </w:tr>
      <w:tr>
        <w:trPr>
          <w:trHeight w:val="270"/>
        </w:trPr>
        <w:tc>
          <w:tcPr>
            <w:tcW w:w="1980" w:type="dxa"/>
            <w:noWrap/>
            <w:hideMark/>
          </w:tcPr>
          <w:p>
            <w:pPr>
              <w:rPr>
                <w:rFonts w:asciiTheme="majorBidi" w:hAnsiTheme="majorBidi" w:cstheme="majorBidi"/>
                <w:noProof/>
                <w:color w:val="00000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3 от Регламент (ЕО) № 847/96 не се прилага.</w:t>
            </w:r>
          </w:p>
        </w:tc>
      </w:tr>
      <w:tr>
        <w:trPr>
          <w:trHeight w:val="270"/>
        </w:trPr>
        <w:tc>
          <w:tcPr>
            <w:tcW w:w="1980" w:type="dxa"/>
            <w:noWrap/>
            <w:hideMark/>
          </w:tcPr>
          <w:p>
            <w:pPr>
              <w:spacing w:before="60" w:after="60"/>
              <w:rPr>
                <w:rFonts w:asciiTheme="majorBidi" w:hAnsiTheme="majorBidi" w:cstheme="majorBidi"/>
                <w:noProof/>
                <w:color w:val="000000"/>
              </w:rPr>
            </w:pPr>
            <w:r>
              <w:rPr>
                <w:rFonts w:asciiTheme="majorBidi" w:hAnsiTheme="majorBidi"/>
                <w:noProof/>
                <w:color w:val="000000"/>
              </w:rPr>
              <w:t>ОДУ</w:t>
            </w:r>
          </w:p>
        </w:tc>
        <w:tc>
          <w:tcPr>
            <w:tcW w:w="2343" w:type="dxa"/>
            <w:gridSpan w:val="2"/>
            <w:noWrap/>
            <w:hideMark/>
          </w:tcPr>
          <w:p>
            <w:pPr>
              <w:spacing w:before="60" w:after="60"/>
              <w:jc w:val="right"/>
              <w:rPr>
                <w:rFonts w:asciiTheme="majorBidi" w:hAnsiTheme="majorBidi" w:cstheme="majorBidi"/>
                <w:noProof/>
              </w:rPr>
            </w:pPr>
            <w:r>
              <w:rPr>
                <w:rFonts w:asciiTheme="majorBidi" w:hAnsiTheme="majorBidi"/>
                <w:noProof/>
              </w:rPr>
              <w:t>Не се прилага</w:t>
            </w:r>
          </w:p>
        </w:tc>
        <w:tc>
          <w:tcPr>
            <w:tcW w:w="803" w:type="dxa"/>
            <w:gridSpan w:val="2"/>
            <w:noWrap/>
            <w:hideMark/>
          </w:tcPr>
          <w:p>
            <w:pPr>
              <w:rPr>
                <w:rFonts w:asciiTheme="majorBidi" w:hAnsiTheme="majorBidi" w:cstheme="majorBidi"/>
                <w:noProof/>
                <w:lang w:eastAsia="en-GB"/>
              </w:rPr>
            </w:pPr>
          </w:p>
        </w:tc>
        <w:tc>
          <w:tcPr>
            <w:tcW w:w="4621" w:type="dxa"/>
            <w:gridSpan w:val="2"/>
            <w:noWrap/>
            <w:hideMark/>
          </w:tcPr>
          <w:p>
            <w:pPr>
              <w:spacing w:before="60" w:after="60"/>
              <w:rPr>
                <w:rFonts w:asciiTheme="majorBidi" w:hAnsiTheme="majorBidi" w:cstheme="majorBidi"/>
                <w:noProof/>
                <w:color w:val="000000"/>
                <w:szCs w:val="24"/>
              </w:rPr>
            </w:pPr>
            <w:r>
              <w:rPr>
                <w:rFonts w:asciiTheme="majorBidi" w:hAnsiTheme="majorBidi"/>
                <w:noProof/>
                <w:color w:val="000000"/>
              </w:rPr>
              <w:t>Член 4 от Регламент (ЕО) № 847/96 не се прилага.</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rPr>
            </w:pPr>
            <w:r>
              <w:rPr>
                <w:rFonts w:asciiTheme="majorBidi" w:hAnsiTheme="majorBidi"/>
                <w:b/>
                <w:bCs/>
                <w:noProof/>
                <w:color w:val="000000"/>
                <w:vertAlign w:val="superscript"/>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rPr>
            </w:pPr>
            <w:r>
              <w:rPr>
                <w:rFonts w:asciiTheme="majorBidi" w:hAnsiTheme="majorBidi"/>
                <w:noProof/>
                <w:color w:val="000000"/>
              </w:rPr>
              <w:t>Приловът на видовете макрурус (</w:t>
            </w:r>
            <w:r>
              <w:rPr>
                <w:rFonts w:asciiTheme="majorBidi" w:hAnsiTheme="majorBidi"/>
                <w:i/>
                <w:iCs/>
                <w:noProof/>
                <w:color w:val="000000"/>
              </w:rPr>
              <w:t>Macrourus</w:t>
            </w:r>
            <w:r>
              <w:rPr>
                <w:rFonts w:asciiTheme="majorBidi" w:hAnsiTheme="majorBidi"/>
                <w:noProof/>
                <w:color w:val="000000"/>
              </w:rPr>
              <w:t xml:space="preserve"> spp.) се докладва в съответствие със следните таблици на възможностите за риболов: видове макрурус в гренландски води от 5 и 14 (GRV/514GRN) и видове макрурус в гренландски води от NAFO 1 (GRV/N1GRN.)</w:t>
            </w:r>
          </w:p>
        </w:tc>
      </w:tr>
    </w:tbl>
    <w:p>
      <w:pPr>
        <w:pStyle w:val="Lignefinal"/>
        <w:rPr>
          <w:noProof/>
        </w:rPr>
      </w:pPr>
    </w:p>
    <w:p>
      <w:pPr>
        <w:spacing w:before="0" w:after="0"/>
        <w:rPr>
          <w:noProof/>
        </w:rPr>
        <w:sectPr>
          <w:pgSz w:w="11907" w:h="16840"/>
          <w:pgMar w:top="1134" w:right="1134" w:bottom="1134" w:left="1134" w:header="567" w:footer="567" w:gutter="0"/>
          <w:pgNumType w:start="14"/>
          <w:cols w:space="720"/>
          <w:docGrid w:linePitch="326"/>
        </w:sectPr>
      </w:pPr>
    </w:p>
    <w:p>
      <w:pPr>
        <w:jc w:val="center"/>
        <w:rPr>
          <w:b/>
          <w:noProof/>
        </w:rPr>
      </w:pPr>
      <w:r>
        <w:rPr>
          <w:b/>
          <w:noProof/>
        </w:rPr>
        <w:t>ПРИЛОЖЕНИЕ IВ</w:t>
      </w:r>
    </w:p>
    <w:p>
      <w:pPr>
        <w:pStyle w:val="NormalCentered"/>
        <w:rPr>
          <w:noProof/>
        </w:rPr>
      </w:pPr>
      <w:r>
        <w:rPr>
          <w:noProof/>
        </w:rPr>
        <w:t>СЕВЕРОЗАПАДНА ЧАСТ НА АТЛАНТИЧЕСКИЯ ОКЕАН — ЗОНА НА КОНВЕНЦИЯТА NAFO</w:t>
      </w:r>
    </w:p>
    <w:tbl>
      <w:tblPr>
        <w:tblW w:w="9747" w:type="dxa"/>
        <w:tblInd w:w="108" w:type="dxa"/>
        <w:tblLook w:val="04A0" w:firstRow="1" w:lastRow="0" w:firstColumn="1" w:lastColumn="0" w:noHBand="0" w:noVBand="1"/>
      </w:tblPr>
      <w:tblGrid>
        <w:gridCol w:w="1678"/>
        <w:gridCol w:w="2367"/>
        <w:gridCol w:w="1196"/>
        <w:gridCol w:w="1203"/>
        <w:gridCol w:w="3303"/>
      </w:tblGrid>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Атлантическа треска</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Gadus morhua</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2J3KL</w:t>
            </w:r>
          </w:p>
          <w:p>
            <w:pPr>
              <w:spacing w:before="60" w:after="60"/>
              <w:rPr>
                <w:rFonts w:asciiTheme="majorBidi" w:hAnsiTheme="majorBidi" w:cstheme="majorBidi"/>
                <w:noProof/>
              </w:rPr>
            </w:pPr>
            <w:r>
              <w:rPr>
                <w:rFonts w:asciiTheme="majorBidi" w:hAnsiTheme="majorBidi"/>
                <w:noProof/>
              </w:rPr>
              <w:t>(COD/N2J3KL)</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В рамките на тази квота не се разрешава целеви риболов. Видът се лови само като прилов при следните ограничения: не повече от 1250 kg или 5 % — която от двете стойности е по-голяма.</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Атлантическа треска</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Gadus morhua</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3NO</w:t>
            </w:r>
          </w:p>
          <w:p>
            <w:pPr>
              <w:spacing w:before="60" w:after="60"/>
              <w:rPr>
                <w:rFonts w:asciiTheme="majorBidi" w:hAnsiTheme="majorBidi" w:cstheme="majorBidi"/>
                <w:noProof/>
              </w:rPr>
            </w:pPr>
            <w:r>
              <w:rPr>
                <w:rFonts w:asciiTheme="majorBidi" w:hAnsiTheme="majorBidi"/>
                <w:noProof/>
              </w:rPr>
              <w:t>(COD/N3NO.)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В рамките на тази квота не се разрешава целеви риболов. Видът се лови само като прилов при следните ограничения: не повече от 1000 kg или 4 % — която от двете стойности е по-голяма.</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Атлантическа треска</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Gadus morhua</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3M</w:t>
            </w:r>
          </w:p>
          <w:p>
            <w:pPr>
              <w:spacing w:before="60" w:after="60"/>
              <w:rPr>
                <w:rFonts w:asciiTheme="majorBidi" w:hAnsiTheme="majorBidi" w:cstheme="majorBidi"/>
                <w:noProof/>
              </w:rPr>
            </w:pPr>
            <w:r>
              <w:rPr>
                <w:rFonts w:asciiTheme="majorBidi" w:hAnsiTheme="majorBidi"/>
                <w:noProof/>
              </w:rPr>
              <w:t>(COD/N3M.)</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Естония</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17</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4506"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67" w:type="dxa"/>
            <w:noWrap/>
            <w:hideMark/>
          </w:tcPr>
          <w:p>
            <w:pPr>
              <w:spacing w:before="60" w:after="60"/>
              <w:jc w:val="right"/>
              <w:rPr>
                <w:noProof/>
                <w:color w:val="000000"/>
              </w:rPr>
            </w:pPr>
            <w:r>
              <w:rPr>
                <w:rFonts w:asciiTheme="majorBidi" w:hAnsiTheme="majorBidi"/>
                <w:noProof/>
                <w:color w:val="000000"/>
              </w:rPr>
              <w:t>70</w:t>
            </w:r>
          </w:p>
        </w:tc>
        <w:tc>
          <w:tcPr>
            <w:tcW w:w="1196"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Латвия</w:t>
            </w:r>
          </w:p>
        </w:tc>
        <w:tc>
          <w:tcPr>
            <w:tcW w:w="2367" w:type="dxa"/>
            <w:noWrap/>
            <w:hideMark/>
          </w:tcPr>
          <w:p>
            <w:pPr>
              <w:spacing w:before="60" w:after="60"/>
              <w:jc w:val="right"/>
              <w:rPr>
                <w:noProof/>
                <w:color w:val="000000"/>
              </w:rPr>
            </w:pPr>
            <w:r>
              <w:rPr>
                <w:rFonts w:asciiTheme="majorBidi" w:hAnsiTheme="majorBidi"/>
                <w:noProof/>
                <w:color w:val="000000"/>
              </w:rPr>
              <w:t>17</w:t>
            </w:r>
          </w:p>
        </w:tc>
        <w:tc>
          <w:tcPr>
            <w:tcW w:w="1196"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Литва</w:t>
            </w:r>
          </w:p>
        </w:tc>
        <w:tc>
          <w:tcPr>
            <w:tcW w:w="2367" w:type="dxa"/>
            <w:noWrap/>
            <w:hideMark/>
          </w:tcPr>
          <w:p>
            <w:pPr>
              <w:spacing w:before="60" w:after="60"/>
              <w:jc w:val="right"/>
              <w:rPr>
                <w:noProof/>
                <w:color w:val="000000"/>
              </w:rPr>
            </w:pPr>
            <w:r>
              <w:rPr>
                <w:rFonts w:asciiTheme="majorBidi" w:hAnsiTheme="majorBidi"/>
                <w:noProof/>
                <w:color w:val="000000"/>
              </w:rPr>
              <w:t>17</w:t>
            </w:r>
          </w:p>
        </w:tc>
        <w:tc>
          <w:tcPr>
            <w:tcW w:w="1196"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Полша</w:t>
            </w:r>
          </w:p>
        </w:tc>
        <w:tc>
          <w:tcPr>
            <w:tcW w:w="2367" w:type="dxa"/>
            <w:noWrap/>
            <w:hideMark/>
          </w:tcPr>
          <w:p>
            <w:pPr>
              <w:spacing w:before="60" w:after="60"/>
              <w:jc w:val="right"/>
              <w:rPr>
                <w:noProof/>
                <w:color w:val="000000"/>
              </w:rPr>
            </w:pPr>
            <w:r>
              <w:rPr>
                <w:rFonts w:asciiTheme="majorBidi" w:hAnsiTheme="majorBidi"/>
                <w:noProof/>
                <w:color w:val="000000"/>
              </w:rPr>
              <w:t>57</w:t>
            </w:r>
          </w:p>
        </w:tc>
        <w:tc>
          <w:tcPr>
            <w:tcW w:w="1196" w:type="dxa"/>
            <w:noWrap/>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Испания</w:t>
            </w:r>
          </w:p>
        </w:tc>
        <w:tc>
          <w:tcPr>
            <w:tcW w:w="2367" w:type="dxa"/>
            <w:noWrap/>
            <w:hideMark/>
          </w:tcPr>
          <w:p>
            <w:pPr>
              <w:spacing w:before="60" w:after="60"/>
              <w:jc w:val="right"/>
              <w:rPr>
                <w:noProof/>
                <w:color w:val="000000"/>
              </w:rPr>
            </w:pPr>
            <w:r>
              <w:rPr>
                <w:rFonts w:asciiTheme="majorBidi" w:hAnsiTheme="majorBidi"/>
                <w:noProof/>
                <w:color w:val="000000"/>
              </w:rPr>
              <w:t>215</w:t>
            </w:r>
          </w:p>
        </w:tc>
        <w:tc>
          <w:tcPr>
            <w:tcW w:w="1196"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Франция</w:t>
            </w:r>
          </w:p>
        </w:tc>
        <w:tc>
          <w:tcPr>
            <w:tcW w:w="2367" w:type="dxa"/>
            <w:noWrap/>
            <w:hideMark/>
          </w:tcPr>
          <w:p>
            <w:pPr>
              <w:spacing w:before="60" w:after="60"/>
              <w:jc w:val="right"/>
              <w:rPr>
                <w:noProof/>
                <w:color w:val="000000"/>
              </w:rPr>
            </w:pPr>
            <w:r>
              <w:rPr>
                <w:rFonts w:asciiTheme="majorBidi" w:hAnsiTheme="majorBidi"/>
                <w:noProof/>
                <w:color w:val="000000"/>
              </w:rPr>
              <w:t>30</w:t>
            </w:r>
          </w:p>
        </w:tc>
        <w:tc>
          <w:tcPr>
            <w:tcW w:w="1196"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Португалия</w:t>
            </w:r>
          </w:p>
        </w:tc>
        <w:tc>
          <w:tcPr>
            <w:tcW w:w="2367" w:type="dxa"/>
            <w:noWrap/>
            <w:hideMark/>
          </w:tcPr>
          <w:p>
            <w:pPr>
              <w:spacing w:before="60" w:after="60"/>
              <w:jc w:val="right"/>
              <w:rPr>
                <w:noProof/>
                <w:color w:val="000000"/>
              </w:rPr>
            </w:pPr>
            <w:r>
              <w:rPr>
                <w:rFonts w:asciiTheme="majorBidi" w:hAnsiTheme="majorBidi"/>
                <w:noProof/>
                <w:color w:val="000000"/>
              </w:rPr>
              <w:t>293</w:t>
            </w:r>
          </w:p>
        </w:tc>
        <w:tc>
          <w:tcPr>
            <w:tcW w:w="1196"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noWrap/>
            <w:hideMark/>
          </w:tcPr>
          <w:p>
            <w:pPr>
              <w:spacing w:before="60" w:after="60"/>
              <w:jc w:val="right"/>
              <w:rPr>
                <w:noProof/>
                <w:color w:val="000000"/>
              </w:rPr>
            </w:pPr>
            <w:r>
              <w:rPr>
                <w:rFonts w:asciiTheme="majorBidi" w:hAnsiTheme="majorBidi"/>
                <w:noProof/>
                <w:color w:val="000000"/>
              </w:rPr>
              <w:t>716</w:t>
            </w:r>
          </w:p>
        </w:tc>
        <w:tc>
          <w:tcPr>
            <w:tcW w:w="1196" w:type="dxa"/>
            <w:noWrap/>
          </w:tcPr>
          <w:p>
            <w:pPr>
              <w:spacing w:before="60" w:after="60"/>
              <w:rPr>
                <w:rFonts w:asciiTheme="majorBidi" w:hAnsiTheme="majorBidi" w:cstheme="majorBidi"/>
                <w:noProof/>
              </w:rPr>
            </w:pPr>
            <w:r>
              <w:rPr>
                <w:rFonts w:asciiTheme="majorBidi" w:hAnsiTheme="majorBidi"/>
                <w:b/>
                <w:bCs/>
                <w:noProof/>
                <w:vertAlign w:val="superscript"/>
              </w:rPr>
              <w:t>(1)</w:t>
            </w:r>
          </w:p>
        </w:tc>
        <w:tc>
          <w:tcPr>
            <w:tcW w:w="0" w:type="auto"/>
            <w:gridSpan w:val="2"/>
            <w:vMerge/>
            <w:tcBorders>
              <w:top w:val="single" w:sz="8" w:space="0" w:color="auto"/>
              <w:left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right w:val="nil"/>
            </w:tcBorders>
            <w:noWrap/>
            <w:hideMark/>
          </w:tcPr>
          <w:p>
            <w:pPr>
              <w:spacing w:before="60" w:after="60"/>
              <w:rPr>
                <w:rFonts w:asciiTheme="majorBidi" w:hAnsiTheme="majorBidi" w:cstheme="majorBidi"/>
                <w:noProof/>
              </w:rPr>
            </w:pPr>
            <w:r>
              <w:rPr>
                <w:rFonts w:asciiTheme="majorBidi" w:hAnsiTheme="majorBidi"/>
                <w:noProof/>
              </w:rPr>
              <w:t>ОДУ</w:t>
            </w:r>
          </w:p>
        </w:tc>
        <w:tc>
          <w:tcPr>
            <w:tcW w:w="2367" w:type="dxa"/>
            <w:tcBorders>
              <w:top w:val="nil"/>
              <w:left w:val="nil"/>
              <w:right w:val="nil"/>
            </w:tcBorders>
            <w:noWrap/>
            <w:hideMark/>
          </w:tcPr>
          <w:p>
            <w:pPr>
              <w:spacing w:before="60" w:after="60"/>
              <w:jc w:val="right"/>
              <w:rPr>
                <w:noProof/>
                <w:color w:val="000000"/>
              </w:rPr>
            </w:pPr>
            <w:r>
              <w:rPr>
                <w:rFonts w:asciiTheme="majorBidi" w:hAnsiTheme="majorBidi"/>
                <w:noProof/>
                <w:color w:val="000000"/>
              </w:rPr>
              <w:t>1 500</w:t>
            </w:r>
          </w:p>
        </w:tc>
        <w:tc>
          <w:tcPr>
            <w:tcW w:w="1196" w:type="dxa"/>
            <w:tcBorders>
              <w:top w:val="nil"/>
              <w:left w:val="nil"/>
              <w:right w:val="nil"/>
            </w:tcBorders>
            <w:noWrap/>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p>
            <w:pPr>
              <w:spacing w:before="60" w:after="60"/>
              <w:rPr>
                <w:rFonts w:asciiTheme="majorBidi" w:hAnsiTheme="majorBidi" w:cstheme="majorBidi"/>
                <w:noProof/>
              </w:rPr>
            </w:pPr>
          </w:p>
        </w:tc>
        <w:tc>
          <w:tcPr>
            <w:tcW w:w="0" w:type="auto"/>
            <w:gridSpan w:val="2"/>
            <w:tcBorders>
              <w:left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left w:val="nil"/>
              <w:right w:val="nil"/>
            </w:tcBorders>
            <w:noWrap/>
          </w:tcPr>
          <w:p>
            <w:pPr>
              <w:spacing w:before="60" w:after="60"/>
              <w:jc w:val="right"/>
              <w:rPr>
                <w:rFonts w:asciiTheme="majorBidi" w:hAnsiTheme="majorBidi" w:cstheme="majorBidi"/>
                <w:noProof/>
              </w:rPr>
            </w:pPr>
            <w:r>
              <w:rPr>
                <w:rFonts w:asciiTheme="majorBidi" w:hAnsiTheme="majorBidi"/>
                <w:b/>
                <w:bCs/>
                <w:noProof/>
                <w:vertAlign w:val="superscript"/>
              </w:rPr>
              <w:t>(1)</w:t>
            </w:r>
          </w:p>
        </w:tc>
        <w:tc>
          <w:tcPr>
            <w:tcW w:w="8069" w:type="dxa"/>
            <w:gridSpan w:val="4"/>
            <w:tcBorders>
              <w:top w:val="nil"/>
              <w:left w:val="nil"/>
              <w:bottom w:val="single" w:sz="4" w:space="0" w:color="auto"/>
              <w:right w:val="nil"/>
            </w:tcBorders>
            <w:noWrap/>
          </w:tcPr>
          <w:p>
            <w:pPr>
              <w:spacing w:before="60" w:after="60"/>
              <w:rPr>
                <w:rFonts w:asciiTheme="majorBidi" w:hAnsiTheme="majorBidi" w:cstheme="majorBidi"/>
                <w:noProof/>
                <w:szCs w:val="24"/>
              </w:rPr>
            </w:pPr>
            <w:r>
              <w:rPr>
                <w:rFonts w:asciiTheme="majorBidi" w:hAnsiTheme="majorBidi"/>
                <w:noProof/>
              </w:rPr>
              <w:t>В рамките на тази квота не се разрешава целеви риболов между 24,00 UTC на 31 декември 2020 г. и 24,00 UTC на 31 март 2021 г.</w:t>
            </w:r>
          </w:p>
        </w:tc>
      </w:tr>
      <w:tr>
        <w:trPr>
          <w:trHeight w:val="227"/>
        </w:trPr>
        <w:tc>
          <w:tcPr>
            <w:tcW w:w="9747" w:type="dxa"/>
            <w:gridSpan w:val="5"/>
            <w:tcBorders>
              <w:top w:val="single" w:sz="4" w:space="0" w:color="auto"/>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Червена писия</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Glyptocephalus cynoglossus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3L</w:t>
            </w:r>
          </w:p>
          <w:p>
            <w:pPr>
              <w:spacing w:before="60" w:after="60"/>
              <w:rPr>
                <w:rFonts w:asciiTheme="majorBidi" w:hAnsiTheme="majorBidi" w:cstheme="majorBidi"/>
                <w:noProof/>
              </w:rPr>
            </w:pPr>
            <w:r>
              <w:rPr>
                <w:rFonts w:asciiTheme="majorBidi" w:hAnsiTheme="majorBidi"/>
                <w:noProof/>
              </w:rPr>
              <w:t>(WIT/N3L.)</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В рамките на тази квота не се разрешава целеви риболов. Видът се лови само като прилов при следните ограничения: не повече от 1250 kg или 5 % — която от двете стойности е по-голяма.</w:t>
            </w:r>
          </w:p>
        </w:tc>
      </w:tr>
      <w:tr>
        <w:trPr>
          <w:trHeight w:val="227"/>
        </w:trPr>
        <w:tc>
          <w:tcPr>
            <w:tcW w:w="9747" w:type="dxa"/>
            <w:gridSpan w:val="5"/>
            <w:noWrap/>
            <w:hideMark/>
          </w:tcPr>
          <w:p>
            <w:pPr>
              <w:rPr>
                <w:rFonts w:asciiTheme="majorBidi" w:hAnsiTheme="majorBidi" w:cstheme="majorBidi"/>
                <w:noProof/>
              </w:rPr>
            </w:pPr>
          </w:p>
        </w:tc>
      </w:tr>
      <w:tr>
        <w:trPr>
          <w:trHeight w:val="227"/>
        </w:trPr>
        <w:tc>
          <w:tcPr>
            <w:tcW w:w="1678" w:type="dxa"/>
            <w:tcBorders>
              <w:top w:val="single" w:sz="8" w:space="0" w:color="auto"/>
              <w:left w:val="nil"/>
              <w:bottom w:val="nil"/>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Червена писия</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Glyptocephalus cynoglossus</w:t>
            </w:r>
          </w:p>
        </w:tc>
        <w:tc>
          <w:tcPr>
            <w:tcW w:w="1203"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NAFO 3NO</w:t>
            </w:r>
          </w:p>
          <w:p>
            <w:pPr>
              <w:spacing w:before="60" w:after="60"/>
              <w:rPr>
                <w:rFonts w:asciiTheme="majorBidi" w:hAnsiTheme="majorBidi" w:cstheme="majorBidi"/>
                <w:noProof/>
              </w:rPr>
            </w:pPr>
            <w:r>
              <w:rPr>
                <w:rFonts w:asciiTheme="majorBidi" w:hAnsiTheme="majorBidi"/>
                <w:noProof/>
              </w:rPr>
              <w:t>(WIT/N3NO.)</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Естония</w:t>
            </w:r>
          </w:p>
        </w:tc>
        <w:tc>
          <w:tcPr>
            <w:tcW w:w="2367" w:type="dxa"/>
            <w:noWrap/>
            <w:hideMark/>
          </w:tcPr>
          <w:p>
            <w:pPr>
              <w:spacing w:before="60" w:after="60"/>
              <w:jc w:val="right"/>
              <w:rPr>
                <w:noProof/>
                <w:color w:val="000000"/>
              </w:rPr>
            </w:pPr>
            <w:r>
              <w:rPr>
                <w:rFonts w:asciiTheme="majorBidi" w:hAnsiTheme="majorBidi"/>
                <w:noProof/>
                <w:color w:val="000000"/>
              </w:rPr>
              <w:t>52</w:t>
            </w:r>
          </w:p>
        </w:tc>
        <w:tc>
          <w:tcPr>
            <w:tcW w:w="1196" w:type="dxa"/>
            <w:noWrap/>
          </w:tcPr>
          <w:p>
            <w:pPr>
              <w:spacing w:before="60" w:after="60"/>
              <w:rPr>
                <w:rFonts w:asciiTheme="majorBidi" w:hAnsiTheme="majorBidi" w:cstheme="majorBidi"/>
                <w:noProof/>
              </w:rPr>
            </w:pPr>
          </w:p>
        </w:tc>
        <w:tc>
          <w:tcPr>
            <w:tcW w:w="4506" w:type="dxa"/>
            <w:gridSpan w:val="2"/>
            <w:vMerge w:val="restart"/>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Латвия</w:t>
            </w:r>
          </w:p>
        </w:tc>
        <w:tc>
          <w:tcPr>
            <w:tcW w:w="2367" w:type="dxa"/>
            <w:noWrap/>
            <w:hideMark/>
          </w:tcPr>
          <w:p>
            <w:pPr>
              <w:spacing w:before="60" w:after="60"/>
              <w:jc w:val="right"/>
              <w:rPr>
                <w:noProof/>
                <w:color w:val="000000"/>
              </w:rPr>
            </w:pPr>
            <w:r>
              <w:rPr>
                <w:rFonts w:asciiTheme="majorBidi" w:hAnsiTheme="majorBidi"/>
                <w:noProof/>
                <w:color w:val="000000"/>
              </w:rPr>
              <w:t>52</w:t>
            </w:r>
          </w:p>
        </w:tc>
        <w:tc>
          <w:tcPr>
            <w:tcW w:w="1196" w:type="dxa"/>
            <w:noWrap/>
          </w:tcPr>
          <w:p>
            <w:pPr>
              <w:spacing w:before="60" w:after="60"/>
              <w:rPr>
                <w:rFonts w:asciiTheme="majorBidi" w:hAnsiTheme="majorBidi" w:cstheme="majorBidi"/>
                <w:noProof/>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Литва</w:t>
            </w:r>
          </w:p>
        </w:tc>
        <w:tc>
          <w:tcPr>
            <w:tcW w:w="2367" w:type="dxa"/>
            <w:noWrap/>
            <w:hideMark/>
          </w:tcPr>
          <w:p>
            <w:pPr>
              <w:spacing w:before="60" w:after="60"/>
              <w:jc w:val="right"/>
              <w:rPr>
                <w:noProof/>
                <w:color w:val="000000"/>
              </w:rPr>
            </w:pPr>
            <w:r>
              <w:rPr>
                <w:rFonts w:asciiTheme="majorBidi" w:hAnsiTheme="majorBidi"/>
                <w:noProof/>
                <w:color w:val="000000"/>
              </w:rPr>
              <w:t>52</w:t>
            </w:r>
          </w:p>
        </w:tc>
        <w:tc>
          <w:tcPr>
            <w:tcW w:w="1196" w:type="dxa"/>
            <w:noWrap/>
          </w:tcPr>
          <w:p>
            <w:pPr>
              <w:spacing w:before="60" w:after="60"/>
              <w:rPr>
                <w:rFonts w:asciiTheme="majorBidi" w:hAnsiTheme="majorBidi" w:cstheme="majorBidi"/>
                <w:noProof/>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noWrap/>
            <w:hideMark/>
          </w:tcPr>
          <w:p>
            <w:pPr>
              <w:spacing w:before="60" w:after="60"/>
              <w:jc w:val="right"/>
              <w:rPr>
                <w:noProof/>
                <w:color w:val="000000"/>
              </w:rPr>
            </w:pPr>
            <w:r>
              <w:rPr>
                <w:rFonts w:asciiTheme="majorBidi" w:hAnsiTheme="majorBidi"/>
                <w:noProof/>
                <w:color w:val="000000"/>
              </w:rPr>
              <w:t>156</w:t>
            </w:r>
          </w:p>
        </w:tc>
        <w:tc>
          <w:tcPr>
            <w:tcW w:w="1196" w:type="dxa"/>
            <w:noWrap/>
          </w:tcPr>
          <w:p>
            <w:pPr>
              <w:spacing w:before="60" w:after="60"/>
              <w:rPr>
                <w:rFonts w:asciiTheme="majorBidi" w:hAnsiTheme="majorBidi" w:cstheme="majorBidi"/>
                <w:noProof/>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ОДУ</w:t>
            </w:r>
          </w:p>
        </w:tc>
        <w:tc>
          <w:tcPr>
            <w:tcW w:w="2367" w:type="dxa"/>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1 175</w:t>
            </w:r>
          </w:p>
        </w:tc>
        <w:tc>
          <w:tcPr>
            <w:tcW w:w="1196"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Американска писия</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Hippoglossoides platessoides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3M</w:t>
            </w:r>
          </w:p>
          <w:p>
            <w:pPr>
              <w:spacing w:before="60" w:after="60"/>
              <w:rPr>
                <w:rFonts w:asciiTheme="majorBidi" w:hAnsiTheme="majorBidi" w:cstheme="majorBidi"/>
                <w:noProof/>
              </w:rPr>
            </w:pPr>
            <w:r>
              <w:rPr>
                <w:rFonts w:asciiTheme="majorBidi" w:hAnsiTheme="majorBidi"/>
                <w:noProof/>
              </w:rPr>
              <w:t>(PLA/N3M.)</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В рамките на тази квота не се разрешава целеви риболов. Видът се лови само като прилов при следните ограничения: не повече от 1250 kg или 5 % — която от двете стойности е по-голяма.</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Американска писия</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Hippoglossoides platessoides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3LNO</w:t>
            </w:r>
          </w:p>
          <w:p>
            <w:pPr>
              <w:spacing w:before="60" w:after="60"/>
              <w:rPr>
                <w:rFonts w:asciiTheme="majorBidi" w:hAnsiTheme="majorBidi" w:cstheme="majorBidi"/>
                <w:noProof/>
              </w:rPr>
            </w:pPr>
            <w:r>
              <w:rPr>
                <w:rFonts w:asciiTheme="majorBidi" w:hAnsiTheme="majorBidi"/>
                <w:noProof/>
              </w:rPr>
              <w:t>(PLA/N3LNO.)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В рамките на тази квота не се разрешава целеви риболов. Видът се лови само като прилов при следните ограничения: не повече от 1250 kg или 5 % — която от двете стойности е по-голяма.</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Късоопашат калмар</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Illex illecebrosus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Подзони 3 и 4 на NAFO</w:t>
            </w:r>
          </w:p>
          <w:p>
            <w:pPr>
              <w:spacing w:before="60" w:after="60"/>
              <w:rPr>
                <w:rFonts w:asciiTheme="majorBidi" w:hAnsiTheme="majorBidi" w:cstheme="majorBidi"/>
                <w:noProof/>
              </w:rPr>
            </w:pPr>
            <w:r>
              <w:rPr>
                <w:rFonts w:asciiTheme="majorBidi" w:hAnsiTheme="majorBidi"/>
                <w:noProof/>
              </w:rPr>
              <w:t>(SQI/N34.)</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Естония</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128</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Латвия</w:t>
            </w:r>
          </w:p>
        </w:tc>
        <w:tc>
          <w:tcPr>
            <w:tcW w:w="2367" w:type="dxa"/>
            <w:noWrap/>
            <w:hideMark/>
          </w:tcPr>
          <w:p>
            <w:pPr>
              <w:spacing w:before="60" w:after="60"/>
              <w:jc w:val="right"/>
              <w:rPr>
                <w:noProof/>
                <w:color w:val="000000"/>
              </w:rPr>
            </w:pPr>
            <w:r>
              <w:rPr>
                <w:rFonts w:asciiTheme="majorBidi" w:hAnsiTheme="majorBidi"/>
                <w:noProof/>
                <w:color w:val="000000"/>
              </w:rPr>
              <w:t>128</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Литва</w:t>
            </w:r>
          </w:p>
        </w:tc>
        <w:tc>
          <w:tcPr>
            <w:tcW w:w="2367" w:type="dxa"/>
            <w:noWrap/>
            <w:hideMark/>
          </w:tcPr>
          <w:p>
            <w:pPr>
              <w:spacing w:before="60" w:after="60"/>
              <w:jc w:val="right"/>
              <w:rPr>
                <w:noProof/>
                <w:color w:val="000000"/>
              </w:rPr>
            </w:pPr>
            <w:r>
              <w:rPr>
                <w:rFonts w:asciiTheme="majorBidi" w:hAnsiTheme="majorBidi"/>
                <w:noProof/>
                <w:color w:val="000000"/>
              </w:rPr>
              <w:t>128</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Полша</w:t>
            </w:r>
          </w:p>
        </w:tc>
        <w:tc>
          <w:tcPr>
            <w:tcW w:w="2367" w:type="dxa"/>
            <w:noWrap/>
            <w:hideMark/>
          </w:tcPr>
          <w:p>
            <w:pPr>
              <w:spacing w:before="60" w:after="60"/>
              <w:jc w:val="right"/>
              <w:rPr>
                <w:noProof/>
                <w:color w:val="000000"/>
              </w:rPr>
            </w:pPr>
            <w:r>
              <w:rPr>
                <w:rFonts w:asciiTheme="majorBidi" w:hAnsiTheme="majorBidi"/>
                <w:noProof/>
                <w:color w:val="000000"/>
              </w:rPr>
              <w:t>227</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noWrap/>
            <w:hideMark/>
          </w:tcPr>
          <w:p>
            <w:pPr>
              <w:spacing w:before="60" w:after="60"/>
              <w:jc w:val="right"/>
              <w:rPr>
                <w:rFonts w:asciiTheme="majorBidi" w:hAnsiTheme="majorBidi" w:cstheme="majorBidi"/>
                <w:noProof/>
              </w:rPr>
            </w:pPr>
            <w:r>
              <w:rPr>
                <w:rFonts w:asciiTheme="majorBidi" w:hAnsiTheme="majorBidi"/>
                <w:noProof/>
              </w:rPr>
              <w:t>Не се прилага</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 (2)</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34 000</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noWrap/>
            <w:hideMark/>
          </w:tcPr>
          <w:p>
            <w:pPr>
              <w:spacing w:before="60" w:after="60"/>
              <w:rPr>
                <w:rFonts w:asciiTheme="majorBidi" w:hAnsiTheme="majorBidi" w:cstheme="majorBidi"/>
                <w:noProof/>
              </w:rPr>
            </w:pPr>
            <w:r>
              <w:rPr>
                <w:rFonts w:asciiTheme="majorBidi" w:hAnsiTheme="majorBidi"/>
                <w:noProof/>
              </w:rPr>
              <w:t>Риболовът се извършва в периода от 1 юли до 31 декември 2021 г.</w:t>
            </w: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(2)</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Няма конкретен дял на Съюза. Посоченото по-долу количество в тонове е на разположение на Канада и държавите — членки на Съюза, с изключение на Естония, Латвия, Литва и Полша:</w:t>
            </w:r>
          </w:p>
          <w:p>
            <w:pPr>
              <w:spacing w:before="60" w:after="60"/>
              <w:rPr>
                <w:rFonts w:asciiTheme="majorBidi" w:hAnsiTheme="majorBidi" w:cstheme="majorBidi"/>
                <w:noProof/>
              </w:rPr>
            </w:pPr>
            <w:r>
              <w:rPr>
                <w:rFonts w:asciiTheme="majorBidi" w:hAnsiTheme="majorBidi"/>
                <w:noProof/>
                <w:color w:val="000000"/>
              </w:rPr>
              <w:t>29 647</w:t>
            </w: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Жълтоопашата лиманда</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Limanda ferruginea</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3LNO</w:t>
            </w:r>
          </w:p>
          <w:p>
            <w:pPr>
              <w:spacing w:before="60" w:after="60"/>
              <w:rPr>
                <w:rFonts w:asciiTheme="majorBidi" w:hAnsiTheme="majorBidi" w:cstheme="majorBidi"/>
                <w:noProof/>
              </w:rPr>
            </w:pPr>
            <w:r>
              <w:rPr>
                <w:rFonts w:asciiTheme="majorBidi" w:hAnsiTheme="majorBidi"/>
                <w:noProof/>
              </w:rPr>
              <w:t>(YEL/N3LNO.)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17 000</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 xml:space="preserve">В рамките на тази квота не се разрешава целеви риболов. Видът се лови само като прилов при следните ограничения: не повече от 2500 kg или 10 % — която от двете стойности е по-голяма. </w:t>
            </w: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Мойва</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Mallotus villosus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3NO</w:t>
            </w:r>
          </w:p>
          <w:p>
            <w:pPr>
              <w:spacing w:before="60" w:after="60"/>
              <w:rPr>
                <w:rFonts w:asciiTheme="majorBidi" w:hAnsiTheme="majorBidi" w:cstheme="majorBidi"/>
                <w:noProof/>
              </w:rPr>
            </w:pPr>
            <w:r>
              <w:rPr>
                <w:rFonts w:asciiTheme="majorBidi" w:hAnsiTheme="majorBidi"/>
                <w:noProof/>
              </w:rPr>
              <w:t>(CAP/N3NO.)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В рамките на тази квота не се разрешава целеви риболов. Видът се лови само като прилов при следните ограничения: не повече от 1250 kg или 5 % — която от двете стойности е по-голяма.</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Северна скарида</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Pandalus borealis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3LNO</w:t>
            </w:r>
            <w:r>
              <w:rPr>
                <w:rFonts w:asciiTheme="majorBidi" w:hAnsiTheme="majorBidi"/>
                <w:b/>
                <w:bCs/>
                <w:noProof/>
                <w:vertAlign w:val="superscript"/>
              </w:rPr>
              <w:t>(1)(2)</w:t>
            </w:r>
          </w:p>
          <w:p>
            <w:pPr>
              <w:spacing w:before="60" w:after="60"/>
              <w:rPr>
                <w:rFonts w:asciiTheme="majorBidi" w:hAnsiTheme="majorBidi" w:cstheme="majorBidi"/>
                <w:noProof/>
              </w:rPr>
            </w:pPr>
            <w:r>
              <w:rPr>
                <w:rFonts w:asciiTheme="majorBidi" w:hAnsiTheme="majorBidi"/>
                <w:noProof/>
              </w:rPr>
              <w:t>(PRA/N3LNOX)</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Естония</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Латвия</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Литва</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Полша</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Испания</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Португалия</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vMerge w:val="restart"/>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noWrap/>
            <w:hideMark/>
          </w:tcPr>
          <w:p>
            <w:pPr>
              <w:spacing w:before="60" w:after="60"/>
              <w:rPr>
                <w:rFonts w:asciiTheme="majorBidi" w:hAnsiTheme="majorBidi" w:cstheme="majorBidi"/>
                <w:noProof/>
              </w:rPr>
            </w:pPr>
            <w:r>
              <w:rPr>
                <w:rFonts w:asciiTheme="majorBidi" w:hAnsiTheme="majorBidi"/>
                <w:noProof/>
              </w:rPr>
              <w:t>Не се включва зоната, ограничена от следните координати:</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Точка №</w:t>
            </w:r>
          </w:p>
        </w:tc>
        <w:tc>
          <w:tcPr>
            <w:tcW w:w="1196"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Северна ширина</w:t>
            </w:r>
          </w:p>
        </w:tc>
        <w:tc>
          <w:tcPr>
            <w:tcW w:w="1203"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Западна дължина</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1</w:t>
            </w:r>
          </w:p>
        </w:tc>
        <w:tc>
          <w:tcPr>
            <w:tcW w:w="1196" w:type="dxa"/>
            <w:noWrap/>
            <w:hideMark/>
          </w:tcPr>
          <w:p>
            <w:pPr>
              <w:spacing w:before="60" w:after="60"/>
              <w:rPr>
                <w:rFonts w:asciiTheme="majorBidi" w:hAnsiTheme="majorBidi" w:cstheme="majorBidi"/>
                <w:noProof/>
              </w:rPr>
            </w:pPr>
            <w:r>
              <w:rPr>
                <w:rFonts w:asciiTheme="majorBidi" w:hAnsiTheme="majorBidi"/>
                <w:noProof/>
              </w:rPr>
              <w:t>47° 20' 0</w:t>
            </w:r>
          </w:p>
        </w:tc>
        <w:tc>
          <w:tcPr>
            <w:tcW w:w="1203" w:type="dxa"/>
            <w:noWrap/>
            <w:hideMark/>
          </w:tcPr>
          <w:p>
            <w:pPr>
              <w:spacing w:before="60" w:after="60"/>
              <w:rPr>
                <w:rFonts w:asciiTheme="majorBidi" w:hAnsiTheme="majorBidi" w:cstheme="majorBidi"/>
                <w:noProof/>
              </w:rPr>
            </w:pPr>
            <w:r>
              <w:rPr>
                <w:rFonts w:asciiTheme="majorBidi" w:hAnsiTheme="majorBidi"/>
                <w:noProof/>
              </w:rPr>
              <w:t>46° 40'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2</w:t>
            </w:r>
          </w:p>
        </w:tc>
        <w:tc>
          <w:tcPr>
            <w:tcW w:w="1196" w:type="dxa"/>
            <w:noWrap/>
            <w:hideMark/>
          </w:tcPr>
          <w:p>
            <w:pPr>
              <w:spacing w:before="60" w:after="60"/>
              <w:rPr>
                <w:rFonts w:asciiTheme="majorBidi" w:hAnsiTheme="majorBidi" w:cstheme="majorBidi"/>
                <w:noProof/>
              </w:rPr>
            </w:pPr>
            <w:r>
              <w:rPr>
                <w:rFonts w:asciiTheme="majorBidi" w:hAnsiTheme="majorBidi"/>
                <w:noProof/>
              </w:rPr>
              <w:t>47° 20' 0</w:t>
            </w:r>
          </w:p>
        </w:tc>
        <w:tc>
          <w:tcPr>
            <w:tcW w:w="1203" w:type="dxa"/>
            <w:noWrap/>
            <w:hideMark/>
          </w:tcPr>
          <w:p>
            <w:pPr>
              <w:spacing w:before="60" w:after="60"/>
              <w:rPr>
                <w:rFonts w:asciiTheme="majorBidi" w:hAnsiTheme="majorBidi" w:cstheme="majorBidi"/>
                <w:noProof/>
              </w:rPr>
            </w:pPr>
            <w:r>
              <w:rPr>
                <w:rFonts w:asciiTheme="majorBidi" w:hAnsiTheme="majorBidi"/>
                <w:noProof/>
              </w:rPr>
              <w:t>46° 30'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3</w:t>
            </w:r>
          </w:p>
        </w:tc>
        <w:tc>
          <w:tcPr>
            <w:tcW w:w="1196" w:type="dxa"/>
            <w:noWrap/>
            <w:hideMark/>
          </w:tcPr>
          <w:p>
            <w:pPr>
              <w:spacing w:before="60" w:after="60"/>
              <w:rPr>
                <w:rFonts w:asciiTheme="majorBidi" w:hAnsiTheme="majorBidi" w:cstheme="majorBidi"/>
                <w:noProof/>
              </w:rPr>
            </w:pPr>
            <w:r>
              <w:rPr>
                <w:rFonts w:asciiTheme="majorBidi" w:hAnsiTheme="majorBidi"/>
                <w:noProof/>
              </w:rPr>
              <w:t>46° 00' 0</w:t>
            </w:r>
          </w:p>
        </w:tc>
        <w:tc>
          <w:tcPr>
            <w:tcW w:w="1203" w:type="dxa"/>
            <w:noWrap/>
            <w:hideMark/>
          </w:tcPr>
          <w:p>
            <w:pPr>
              <w:spacing w:before="60" w:after="60"/>
              <w:rPr>
                <w:rFonts w:asciiTheme="majorBidi" w:hAnsiTheme="majorBidi" w:cstheme="majorBidi"/>
                <w:noProof/>
              </w:rPr>
            </w:pPr>
            <w:r>
              <w:rPr>
                <w:rFonts w:asciiTheme="majorBidi" w:hAnsiTheme="majorBidi"/>
                <w:noProof/>
              </w:rPr>
              <w:t>46° 30'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4</w:t>
            </w:r>
          </w:p>
        </w:tc>
        <w:tc>
          <w:tcPr>
            <w:tcW w:w="1196" w:type="dxa"/>
            <w:noWrap/>
            <w:hideMark/>
          </w:tcPr>
          <w:p>
            <w:pPr>
              <w:spacing w:before="60" w:after="60"/>
              <w:rPr>
                <w:rFonts w:asciiTheme="majorBidi" w:hAnsiTheme="majorBidi" w:cstheme="majorBidi"/>
                <w:noProof/>
              </w:rPr>
            </w:pPr>
            <w:r>
              <w:rPr>
                <w:rFonts w:asciiTheme="majorBidi" w:hAnsiTheme="majorBidi"/>
                <w:noProof/>
              </w:rPr>
              <w:t>46° 00' 0</w:t>
            </w:r>
          </w:p>
        </w:tc>
        <w:tc>
          <w:tcPr>
            <w:tcW w:w="1203" w:type="dxa"/>
            <w:noWrap/>
            <w:hideMark/>
          </w:tcPr>
          <w:p>
            <w:pPr>
              <w:spacing w:before="60" w:after="60"/>
              <w:rPr>
                <w:rFonts w:asciiTheme="majorBidi" w:hAnsiTheme="majorBidi" w:cstheme="majorBidi"/>
                <w:noProof/>
              </w:rPr>
            </w:pPr>
            <w:r>
              <w:rPr>
                <w:rFonts w:asciiTheme="majorBidi" w:hAnsiTheme="majorBidi"/>
                <w:noProof/>
              </w:rPr>
              <w:t>46° 40' 0</w:t>
            </w:r>
          </w:p>
        </w:tc>
        <w:tc>
          <w:tcPr>
            <w:tcW w:w="3303" w:type="dxa"/>
            <w:noWrap/>
            <w:hideMark/>
          </w:tcPr>
          <w:p>
            <w:pPr>
              <w:rPr>
                <w:rFonts w:asciiTheme="majorBidi" w:hAnsiTheme="majorBidi" w:cstheme="majorBidi"/>
                <w:noProof/>
              </w:rPr>
            </w:pPr>
          </w:p>
        </w:tc>
      </w:tr>
      <w:tr>
        <w:trPr>
          <w:trHeight w:val="227"/>
        </w:trPr>
        <w:tc>
          <w:tcPr>
            <w:tcW w:w="1678" w:type="dxa"/>
            <w:vMerge w:val="restart"/>
            <w:noWrap/>
            <w:hideMark/>
          </w:tcPr>
          <w:p>
            <w:pPr>
              <w:pageBreakBefore/>
              <w:spacing w:before="60" w:after="60"/>
              <w:rPr>
                <w:rFonts w:asciiTheme="majorBidi" w:hAnsiTheme="majorBidi" w:cstheme="majorBidi"/>
                <w:b/>
                <w:bCs/>
                <w:noProof/>
                <w:szCs w:val="24"/>
                <w:vertAlign w:val="superscript"/>
              </w:rPr>
            </w:pPr>
            <w:r>
              <w:rPr>
                <w:rFonts w:asciiTheme="majorBidi" w:hAnsiTheme="majorBidi"/>
                <w:b/>
                <w:bCs/>
                <w:noProof/>
                <w:vertAlign w:val="superscript"/>
              </w:rPr>
              <w:t>(2)</w:t>
            </w:r>
          </w:p>
        </w:tc>
        <w:tc>
          <w:tcPr>
            <w:tcW w:w="8069" w:type="dxa"/>
            <w:gridSpan w:val="4"/>
            <w:noWrap/>
            <w:hideMark/>
          </w:tcPr>
          <w:p>
            <w:pPr>
              <w:spacing w:before="60" w:after="60"/>
              <w:rPr>
                <w:rFonts w:asciiTheme="majorBidi" w:hAnsiTheme="majorBidi" w:cstheme="majorBidi"/>
                <w:noProof/>
              </w:rPr>
            </w:pPr>
            <w:r>
              <w:rPr>
                <w:rFonts w:asciiTheme="majorBidi" w:hAnsiTheme="majorBidi"/>
                <w:noProof/>
              </w:rPr>
              <w:t>Забранен е риболовът на дълбочина, по-малка от 200 m, в зоната на запад от линията, ограничена от точките със следните координати:</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Точка №</w:t>
            </w:r>
          </w:p>
        </w:tc>
        <w:tc>
          <w:tcPr>
            <w:tcW w:w="1196"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Северна ширина</w:t>
            </w:r>
          </w:p>
        </w:tc>
        <w:tc>
          <w:tcPr>
            <w:tcW w:w="1203"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Западна дължина</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1</w:t>
            </w:r>
          </w:p>
        </w:tc>
        <w:tc>
          <w:tcPr>
            <w:tcW w:w="1196" w:type="dxa"/>
            <w:noWrap/>
            <w:hideMark/>
          </w:tcPr>
          <w:p>
            <w:pPr>
              <w:spacing w:before="60" w:after="60"/>
              <w:rPr>
                <w:rFonts w:asciiTheme="majorBidi" w:hAnsiTheme="majorBidi" w:cstheme="majorBidi"/>
                <w:noProof/>
              </w:rPr>
            </w:pPr>
            <w:r>
              <w:rPr>
                <w:rFonts w:asciiTheme="majorBidi" w:hAnsiTheme="majorBidi"/>
                <w:noProof/>
              </w:rPr>
              <w:t>46° 00' 0</w:t>
            </w:r>
          </w:p>
        </w:tc>
        <w:tc>
          <w:tcPr>
            <w:tcW w:w="1203" w:type="dxa"/>
            <w:noWrap/>
            <w:hideMark/>
          </w:tcPr>
          <w:p>
            <w:pPr>
              <w:spacing w:before="60" w:after="60"/>
              <w:rPr>
                <w:rFonts w:asciiTheme="majorBidi" w:hAnsiTheme="majorBidi" w:cstheme="majorBidi"/>
                <w:noProof/>
              </w:rPr>
            </w:pPr>
            <w:r>
              <w:rPr>
                <w:rFonts w:asciiTheme="majorBidi" w:hAnsiTheme="majorBidi"/>
                <w:noProof/>
              </w:rPr>
              <w:t>47° 49'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2</w:t>
            </w:r>
          </w:p>
        </w:tc>
        <w:tc>
          <w:tcPr>
            <w:tcW w:w="1196" w:type="dxa"/>
            <w:noWrap/>
            <w:hideMark/>
          </w:tcPr>
          <w:p>
            <w:pPr>
              <w:spacing w:before="60" w:after="60"/>
              <w:rPr>
                <w:rFonts w:asciiTheme="majorBidi" w:hAnsiTheme="majorBidi" w:cstheme="majorBidi"/>
                <w:noProof/>
              </w:rPr>
            </w:pPr>
            <w:r>
              <w:rPr>
                <w:rFonts w:asciiTheme="majorBidi" w:hAnsiTheme="majorBidi"/>
                <w:noProof/>
              </w:rPr>
              <w:t>46° 25' 0</w:t>
            </w:r>
          </w:p>
        </w:tc>
        <w:tc>
          <w:tcPr>
            <w:tcW w:w="1203" w:type="dxa"/>
            <w:noWrap/>
            <w:hideMark/>
          </w:tcPr>
          <w:p>
            <w:pPr>
              <w:spacing w:before="60" w:after="60"/>
              <w:rPr>
                <w:rFonts w:asciiTheme="majorBidi" w:hAnsiTheme="majorBidi" w:cstheme="majorBidi"/>
                <w:noProof/>
              </w:rPr>
            </w:pPr>
            <w:r>
              <w:rPr>
                <w:rFonts w:asciiTheme="majorBidi" w:hAnsiTheme="majorBidi"/>
                <w:noProof/>
              </w:rPr>
              <w:t>47° 27'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3</w:t>
            </w:r>
          </w:p>
        </w:tc>
        <w:tc>
          <w:tcPr>
            <w:tcW w:w="1196" w:type="dxa"/>
            <w:noWrap/>
            <w:hideMark/>
          </w:tcPr>
          <w:p>
            <w:pPr>
              <w:spacing w:before="60" w:after="60"/>
              <w:rPr>
                <w:rFonts w:asciiTheme="majorBidi" w:hAnsiTheme="majorBidi" w:cstheme="majorBidi"/>
                <w:noProof/>
              </w:rPr>
            </w:pPr>
            <w:r>
              <w:rPr>
                <w:rFonts w:asciiTheme="majorBidi" w:hAnsiTheme="majorBidi"/>
                <w:noProof/>
              </w:rPr>
              <w:t>46 °42' 0</w:t>
            </w:r>
          </w:p>
        </w:tc>
        <w:tc>
          <w:tcPr>
            <w:tcW w:w="1203" w:type="dxa"/>
            <w:noWrap/>
            <w:hideMark/>
          </w:tcPr>
          <w:p>
            <w:pPr>
              <w:spacing w:before="60" w:after="60"/>
              <w:rPr>
                <w:rFonts w:asciiTheme="majorBidi" w:hAnsiTheme="majorBidi" w:cstheme="majorBidi"/>
                <w:noProof/>
              </w:rPr>
            </w:pPr>
            <w:r>
              <w:rPr>
                <w:rFonts w:asciiTheme="majorBidi" w:hAnsiTheme="majorBidi"/>
                <w:noProof/>
              </w:rPr>
              <w:t>47° 25'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4</w:t>
            </w:r>
          </w:p>
        </w:tc>
        <w:tc>
          <w:tcPr>
            <w:tcW w:w="1196" w:type="dxa"/>
            <w:noWrap/>
            <w:hideMark/>
          </w:tcPr>
          <w:p>
            <w:pPr>
              <w:spacing w:before="60" w:after="60"/>
              <w:rPr>
                <w:rFonts w:asciiTheme="majorBidi" w:hAnsiTheme="majorBidi" w:cstheme="majorBidi"/>
                <w:noProof/>
              </w:rPr>
            </w:pPr>
            <w:r>
              <w:rPr>
                <w:rFonts w:asciiTheme="majorBidi" w:hAnsiTheme="majorBidi"/>
                <w:noProof/>
              </w:rPr>
              <w:t>46° 48' 0</w:t>
            </w:r>
          </w:p>
        </w:tc>
        <w:tc>
          <w:tcPr>
            <w:tcW w:w="1203" w:type="dxa"/>
            <w:noWrap/>
            <w:hideMark/>
          </w:tcPr>
          <w:p>
            <w:pPr>
              <w:spacing w:before="60" w:after="60"/>
              <w:rPr>
                <w:rFonts w:asciiTheme="majorBidi" w:hAnsiTheme="majorBidi" w:cstheme="majorBidi"/>
                <w:noProof/>
              </w:rPr>
            </w:pPr>
            <w:r>
              <w:rPr>
                <w:rFonts w:asciiTheme="majorBidi" w:hAnsiTheme="majorBidi"/>
                <w:noProof/>
              </w:rPr>
              <w:t>47° 25' 50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5</w:t>
            </w:r>
          </w:p>
        </w:tc>
        <w:tc>
          <w:tcPr>
            <w:tcW w:w="1196" w:type="dxa"/>
            <w:noWrap/>
            <w:hideMark/>
          </w:tcPr>
          <w:p>
            <w:pPr>
              <w:spacing w:before="60" w:after="60"/>
              <w:rPr>
                <w:rFonts w:asciiTheme="majorBidi" w:hAnsiTheme="majorBidi" w:cstheme="majorBidi"/>
                <w:noProof/>
              </w:rPr>
            </w:pPr>
            <w:r>
              <w:rPr>
                <w:rFonts w:asciiTheme="majorBidi" w:hAnsiTheme="majorBidi"/>
                <w:noProof/>
              </w:rPr>
              <w:t>47° 16' 50</w:t>
            </w:r>
          </w:p>
        </w:tc>
        <w:tc>
          <w:tcPr>
            <w:tcW w:w="1203" w:type="dxa"/>
            <w:noWrap/>
            <w:hideMark/>
          </w:tcPr>
          <w:p>
            <w:pPr>
              <w:spacing w:before="60" w:after="60"/>
              <w:rPr>
                <w:rFonts w:asciiTheme="majorBidi" w:hAnsiTheme="majorBidi" w:cstheme="majorBidi"/>
                <w:noProof/>
              </w:rPr>
            </w:pPr>
            <w:r>
              <w:rPr>
                <w:rFonts w:asciiTheme="majorBidi" w:hAnsiTheme="majorBidi"/>
                <w:noProof/>
              </w:rPr>
              <w:t>47° 43' 50</w:t>
            </w:r>
          </w:p>
        </w:tc>
        <w:tc>
          <w:tcPr>
            <w:tcW w:w="3303" w:type="dxa"/>
            <w:noWrap/>
            <w:hideMark/>
          </w:tcPr>
          <w:p>
            <w:pPr>
              <w:rPr>
                <w:rFonts w:asciiTheme="majorBidi" w:hAnsiTheme="majorBidi" w:cstheme="majorBidi"/>
                <w:noProof/>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szCs w:val="24"/>
                <w:vertAlign w:val="superscript"/>
              </w:rPr>
            </w:pPr>
            <w:r>
              <w:rPr>
                <w:rFonts w:asciiTheme="majorBidi" w:hAnsiTheme="majorBidi"/>
                <w:b/>
                <w:bCs/>
                <w:noProof/>
                <w:vertAlign w:val="superscript"/>
              </w:rPr>
              <w:t>(3)</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В рамките на тази квота не се разрешава целеви риболов. Видът се лови само като прилов при следните ограничения: не повече от 1250 kg или 5 % — която от двете стойности е по-голяма.</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noProof/>
              </w:rPr>
              <w:br w:type="page"/>
            </w: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Северна скарида</w:t>
            </w:r>
          </w:p>
          <w:p>
            <w:pPr>
              <w:keepNext/>
              <w:tabs>
                <w:tab w:val="left" w:pos="850"/>
              </w:tabs>
              <w:spacing w:before="60" w:after="60"/>
              <w:ind w:left="850" w:hanging="850"/>
              <w:outlineLvl w:val="0"/>
              <w:rPr>
                <w:rFonts w:asciiTheme="majorBidi" w:hAnsiTheme="majorBidi" w:cstheme="majorBidi"/>
                <w:noProof/>
              </w:rPr>
            </w:pPr>
            <w:bookmarkStart w:id="1" w:name="_Toc26205847"/>
            <w:bookmarkStart w:id="2" w:name="_Toc26207264"/>
            <w:r>
              <w:rPr>
                <w:rFonts w:asciiTheme="majorBidi" w:hAnsiTheme="majorBidi"/>
                <w:i/>
                <w:iCs/>
                <w:noProof/>
              </w:rPr>
              <w:t>Pandalus borealis</w:t>
            </w:r>
            <w:bookmarkEnd w:id="1"/>
            <w:bookmarkEnd w:id="2"/>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3M</w:t>
            </w:r>
            <w:r>
              <w:rPr>
                <w:rFonts w:asciiTheme="majorBidi" w:hAnsiTheme="majorBidi"/>
                <w:b/>
                <w:bCs/>
                <w:noProof/>
                <w:vertAlign w:val="superscript"/>
              </w:rPr>
              <w:t>(1)</w:t>
            </w:r>
          </w:p>
          <w:p>
            <w:pPr>
              <w:spacing w:before="60" w:after="60"/>
              <w:rPr>
                <w:rFonts w:asciiTheme="majorBidi" w:hAnsiTheme="majorBidi" w:cstheme="majorBidi"/>
                <w:noProof/>
              </w:rPr>
            </w:pPr>
            <w:r>
              <w:rPr>
                <w:rFonts w:asciiTheme="majorBidi" w:hAnsiTheme="majorBidi"/>
                <w:noProof/>
              </w:rPr>
              <w:t>(PRA/*N3M.)</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ОДУ</w:t>
            </w:r>
          </w:p>
        </w:tc>
        <w:tc>
          <w:tcPr>
            <w:tcW w:w="2367"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Не се прилага</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(2)</w:t>
            </w:r>
          </w:p>
        </w:tc>
        <w:tc>
          <w:tcPr>
            <w:tcW w:w="4506" w:type="dxa"/>
            <w:gridSpan w:val="2"/>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tc>
      </w:tr>
      <w:tr>
        <w:trPr>
          <w:trHeight w:val="227"/>
        </w:trPr>
        <w:tc>
          <w:tcPr>
            <w:tcW w:w="1678" w:type="dxa"/>
            <w:vMerge w:val="restart"/>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noWrap/>
            <w:hideMark/>
          </w:tcPr>
          <w:p>
            <w:pPr>
              <w:spacing w:before="60" w:after="60"/>
              <w:rPr>
                <w:rFonts w:asciiTheme="majorBidi" w:hAnsiTheme="majorBidi" w:cstheme="majorBidi"/>
                <w:noProof/>
              </w:rPr>
            </w:pPr>
            <w:r>
              <w:rPr>
                <w:rFonts w:asciiTheme="majorBidi" w:hAnsiTheme="majorBidi"/>
                <w:noProof/>
              </w:rPr>
              <w:t>Корабите могат да извършват риболов на този запас също и в участък 3L в рамките на зоната, ограничена от точките със следните координати:</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Точка №</w:t>
            </w:r>
          </w:p>
        </w:tc>
        <w:tc>
          <w:tcPr>
            <w:tcW w:w="1196"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Северна ширина</w:t>
            </w:r>
          </w:p>
        </w:tc>
        <w:tc>
          <w:tcPr>
            <w:tcW w:w="1203"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Западна дължина</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1</w:t>
            </w:r>
          </w:p>
        </w:tc>
        <w:tc>
          <w:tcPr>
            <w:tcW w:w="1196" w:type="dxa"/>
            <w:noWrap/>
            <w:hideMark/>
          </w:tcPr>
          <w:p>
            <w:pPr>
              <w:spacing w:before="60" w:after="60"/>
              <w:rPr>
                <w:rFonts w:asciiTheme="majorBidi" w:hAnsiTheme="majorBidi" w:cstheme="majorBidi"/>
                <w:noProof/>
              </w:rPr>
            </w:pPr>
            <w:r>
              <w:rPr>
                <w:rFonts w:asciiTheme="majorBidi" w:hAnsiTheme="majorBidi"/>
                <w:noProof/>
              </w:rPr>
              <w:t>47° 20' 0</w:t>
            </w:r>
          </w:p>
        </w:tc>
        <w:tc>
          <w:tcPr>
            <w:tcW w:w="1203" w:type="dxa"/>
            <w:noWrap/>
            <w:hideMark/>
          </w:tcPr>
          <w:p>
            <w:pPr>
              <w:spacing w:before="60" w:after="60"/>
              <w:rPr>
                <w:rFonts w:asciiTheme="majorBidi" w:hAnsiTheme="majorBidi" w:cstheme="majorBidi"/>
                <w:noProof/>
              </w:rPr>
            </w:pPr>
            <w:r>
              <w:rPr>
                <w:rFonts w:asciiTheme="majorBidi" w:hAnsiTheme="majorBidi"/>
                <w:noProof/>
              </w:rPr>
              <w:t>46° 40'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2</w:t>
            </w:r>
          </w:p>
        </w:tc>
        <w:tc>
          <w:tcPr>
            <w:tcW w:w="1196" w:type="dxa"/>
            <w:noWrap/>
            <w:hideMark/>
          </w:tcPr>
          <w:p>
            <w:pPr>
              <w:spacing w:before="60" w:after="60"/>
              <w:rPr>
                <w:rFonts w:asciiTheme="majorBidi" w:hAnsiTheme="majorBidi" w:cstheme="majorBidi"/>
                <w:noProof/>
              </w:rPr>
            </w:pPr>
            <w:r>
              <w:rPr>
                <w:rFonts w:asciiTheme="majorBidi" w:hAnsiTheme="majorBidi"/>
                <w:noProof/>
              </w:rPr>
              <w:t>47° 20' 0</w:t>
            </w:r>
          </w:p>
        </w:tc>
        <w:tc>
          <w:tcPr>
            <w:tcW w:w="1203" w:type="dxa"/>
            <w:noWrap/>
            <w:hideMark/>
          </w:tcPr>
          <w:p>
            <w:pPr>
              <w:spacing w:before="60" w:after="60"/>
              <w:rPr>
                <w:rFonts w:asciiTheme="majorBidi" w:hAnsiTheme="majorBidi" w:cstheme="majorBidi"/>
                <w:noProof/>
              </w:rPr>
            </w:pPr>
            <w:r>
              <w:rPr>
                <w:rFonts w:asciiTheme="majorBidi" w:hAnsiTheme="majorBidi"/>
                <w:noProof/>
              </w:rPr>
              <w:t>46° 30'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3</w:t>
            </w:r>
          </w:p>
        </w:tc>
        <w:tc>
          <w:tcPr>
            <w:tcW w:w="1196" w:type="dxa"/>
            <w:noWrap/>
            <w:hideMark/>
          </w:tcPr>
          <w:p>
            <w:pPr>
              <w:spacing w:before="60" w:after="60"/>
              <w:rPr>
                <w:rFonts w:asciiTheme="majorBidi" w:hAnsiTheme="majorBidi" w:cstheme="majorBidi"/>
                <w:noProof/>
              </w:rPr>
            </w:pPr>
            <w:r>
              <w:rPr>
                <w:rFonts w:asciiTheme="majorBidi" w:hAnsiTheme="majorBidi"/>
                <w:noProof/>
              </w:rPr>
              <w:t>46° 00' 0</w:t>
            </w:r>
          </w:p>
        </w:tc>
        <w:tc>
          <w:tcPr>
            <w:tcW w:w="1203" w:type="dxa"/>
            <w:noWrap/>
            <w:hideMark/>
          </w:tcPr>
          <w:p>
            <w:pPr>
              <w:spacing w:before="60" w:after="60"/>
              <w:rPr>
                <w:rFonts w:asciiTheme="majorBidi" w:hAnsiTheme="majorBidi" w:cstheme="majorBidi"/>
                <w:noProof/>
              </w:rPr>
            </w:pPr>
            <w:r>
              <w:rPr>
                <w:rFonts w:asciiTheme="majorBidi" w:hAnsiTheme="majorBidi"/>
                <w:noProof/>
              </w:rPr>
              <w:t>46° 30'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4</w:t>
            </w:r>
          </w:p>
        </w:tc>
        <w:tc>
          <w:tcPr>
            <w:tcW w:w="1196" w:type="dxa"/>
            <w:noWrap/>
            <w:hideMark/>
          </w:tcPr>
          <w:p>
            <w:pPr>
              <w:spacing w:before="60" w:after="60"/>
              <w:rPr>
                <w:rFonts w:asciiTheme="majorBidi" w:hAnsiTheme="majorBidi" w:cstheme="majorBidi"/>
                <w:noProof/>
              </w:rPr>
            </w:pPr>
            <w:r>
              <w:rPr>
                <w:rFonts w:asciiTheme="majorBidi" w:hAnsiTheme="majorBidi"/>
                <w:noProof/>
              </w:rPr>
              <w:t>46° 00' 0</w:t>
            </w:r>
          </w:p>
        </w:tc>
        <w:tc>
          <w:tcPr>
            <w:tcW w:w="1203" w:type="dxa"/>
            <w:noWrap/>
            <w:hideMark/>
          </w:tcPr>
          <w:p>
            <w:pPr>
              <w:spacing w:before="60" w:after="60"/>
              <w:rPr>
                <w:rFonts w:asciiTheme="majorBidi" w:hAnsiTheme="majorBidi" w:cstheme="majorBidi"/>
                <w:noProof/>
              </w:rPr>
            </w:pPr>
            <w:r>
              <w:rPr>
                <w:rFonts w:asciiTheme="majorBidi" w:hAnsiTheme="majorBidi"/>
                <w:noProof/>
              </w:rPr>
              <w:t>46° 40'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8069" w:type="dxa"/>
            <w:gridSpan w:val="4"/>
            <w:noWrap/>
            <w:hideMark/>
          </w:tcPr>
          <w:p>
            <w:pPr>
              <w:spacing w:before="60" w:after="60"/>
              <w:rPr>
                <w:rFonts w:asciiTheme="majorBidi" w:hAnsiTheme="majorBidi" w:cstheme="majorBidi"/>
                <w:noProof/>
                <w:szCs w:val="24"/>
              </w:rPr>
            </w:pPr>
            <w:r>
              <w:rPr>
                <w:rFonts w:asciiTheme="majorBidi" w:hAnsiTheme="majorBidi"/>
                <w:noProof/>
              </w:rPr>
              <w:t>Освен това от 1 юни до 31 декември се забранява риболовът на скариди в зоната, ограничена от точките със следните координати:</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Точка №</w:t>
            </w:r>
          </w:p>
        </w:tc>
        <w:tc>
          <w:tcPr>
            <w:tcW w:w="1196"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Северна ширина</w:t>
            </w:r>
          </w:p>
        </w:tc>
        <w:tc>
          <w:tcPr>
            <w:tcW w:w="1203" w:type="dxa"/>
            <w:tcBorders>
              <w:top w:val="nil"/>
              <w:left w:val="nil"/>
              <w:bottom w:val="single" w:sz="4" w:space="0" w:color="auto"/>
              <w:right w:val="nil"/>
            </w:tcBorders>
            <w:noWrap/>
            <w:hideMark/>
          </w:tcPr>
          <w:p>
            <w:pPr>
              <w:spacing w:before="60" w:after="60"/>
              <w:rPr>
                <w:rFonts w:asciiTheme="majorBidi" w:hAnsiTheme="majorBidi" w:cstheme="majorBidi"/>
                <w:noProof/>
              </w:rPr>
            </w:pPr>
            <w:r>
              <w:rPr>
                <w:rFonts w:asciiTheme="majorBidi" w:hAnsiTheme="majorBidi"/>
                <w:noProof/>
              </w:rPr>
              <w:t>Западна дължина</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1</w:t>
            </w:r>
          </w:p>
        </w:tc>
        <w:tc>
          <w:tcPr>
            <w:tcW w:w="1196" w:type="dxa"/>
            <w:noWrap/>
            <w:hideMark/>
          </w:tcPr>
          <w:p>
            <w:pPr>
              <w:spacing w:before="60" w:after="60"/>
              <w:rPr>
                <w:rFonts w:asciiTheme="majorBidi" w:hAnsiTheme="majorBidi" w:cstheme="majorBidi"/>
                <w:noProof/>
              </w:rPr>
            </w:pPr>
            <w:r>
              <w:rPr>
                <w:rFonts w:asciiTheme="majorBidi" w:hAnsiTheme="majorBidi"/>
                <w:noProof/>
              </w:rPr>
              <w:t>47° 55' 0</w:t>
            </w:r>
          </w:p>
        </w:tc>
        <w:tc>
          <w:tcPr>
            <w:tcW w:w="1203" w:type="dxa"/>
            <w:noWrap/>
            <w:hideMark/>
          </w:tcPr>
          <w:p>
            <w:pPr>
              <w:spacing w:before="60" w:after="60"/>
              <w:rPr>
                <w:rFonts w:asciiTheme="majorBidi" w:hAnsiTheme="majorBidi" w:cstheme="majorBidi"/>
                <w:noProof/>
              </w:rPr>
            </w:pPr>
            <w:r>
              <w:rPr>
                <w:rFonts w:asciiTheme="majorBidi" w:hAnsiTheme="majorBidi"/>
                <w:noProof/>
              </w:rPr>
              <w:t>45° 00'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2</w:t>
            </w:r>
          </w:p>
        </w:tc>
        <w:tc>
          <w:tcPr>
            <w:tcW w:w="1196" w:type="dxa"/>
            <w:noWrap/>
            <w:hideMark/>
          </w:tcPr>
          <w:p>
            <w:pPr>
              <w:spacing w:before="60" w:after="60"/>
              <w:rPr>
                <w:rFonts w:asciiTheme="majorBidi" w:hAnsiTheme="majorBidi" w:cstheme="majorBidi"/>
                <w:noProof/>
              </w:rPr>
            </w:pPr>
            <w:r>
              <w:rPr>
                <w:rFonts w:asciiTheme="majorBidi" w:hAnsiTheme="majorBidi"/>
                <w:noProof/>
              </w:rPr>
              <w:t>47° 30' 0</w:t>
            </w:r>
          </w:p>
        </w:tc>
        <w:tc>
          <w:tcPr>
            <w:tcW w:w="1203" w:type="dxa"/>
            <w:noWrap/>
            <w:hideMark/>
          </w:tcPr>
          <w:p>
            <w:pPr>
              <w:spacing w:before="60" w:after="60"/>
              <w:rPr>
                <w:rFonts w:asciiTheme="majorBidi" w:hAnsiTheme="majorBidi" w:cstheme="majorBidi"/>
                <w:noProof/>
              </w:rPr>
            </w:pPr>
            <w:r>
              <w:rPr>
                <w:rFonts w:asciiTheme="majorBidi" w:hAnsiTheme="majorBidi"/>
                <w:noProof/>
              </w:rPr>
              <w:t>44° 15'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3</w:t>
            </w:r>
          </w:p>
        </w:tc>
        <w:tc>
          <w:tcPr>
            <w:tcW w:w="1196" w:type="dxa"/>
            <w:noWrap/>
            <w:hideMark/>
          </w:tcPr>
          <w:p>
            <w:pPr>
              <w:spacing w:before="60" w:after="60"/>
              <w:rPr>
                <w:rFonts w:asciiTheme="majorBidi" w:hAnsiTheme="majorBidi" w:cstheme="majorBidi"/>
                <w:noProof/>
              </w:rPr>
            </w:pPr>
            <w:r>
              <w:rPr>
                <w:rFonts w:asciiTheme="majorBidi" w:hAnsiTheme="majorBidi"/>
                <w:noProof/>
              </w:rPr>
              <w:t>46° 55' 0</w:t>
            </w:r>
          </w:p>
        </w:tc>
        <w:tc>
          <w:tcPr>
            <w:tcW w:w="1203" w:type="dxa"/>
            <w:noWrap/>
            <w:hideMark/>
          </w:tcPr>
          <w:p>
            <w:pPr>
              <w:spacing w:before="60" w:after="60"/>
              <w:rPr>
                <w:rFonts w:asciiTheme="majorBidi" w:hAnsiTheme="majorBidi" w:cstheme="majorBidi"/>
                <w:noProof/>
              </w:rPr>
            </w:pPr>
            <w:r>
              <w:rPr>
                <w:rFonts w:asciiTheme="majorBidi" w:hAnsiTheme="majorBidi"/>
                <w:noProof/>
              </w:rPr>
              <w:t>44° 15'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4</w:t>
            </w:r>
          </w:p>
        </w:tc>
        <w:tc>
          <w:tcPr>
            <w:tcW w:w="1196" w:type="dxa"/>
            <w:noWrap/>
            <w:hideMark/>
          </w:tcPr>
          <w:p>
            <w:pPr>
              <w:spacing w:before="60" w:after="60"/>
              <w:rPr>
                <w:rFonts w:asciiTheme="majorBidi" w:hAnsiTheme="majorBidi" w:cstheme="majorBidi"/>
                <w:noProof/>
              </w:rPr>
            </w:pPr>
            <w:r>
              <w:rPr>
                <w:rFonts w:asciiTheme="majorBidi" w:hAnsiTheme="majorBidi"/>
                <w:noProof/>
              </w:rPr>
              <w:t>46° 35' 0</w:t>
            </w:r>
          </w:p>
        </w:tc>
        <w:tc>
          <w:tcPr>
            <w:tcW w:w="1203" w:type="dxa"/>
            <w:noWrap/>
            <w:hideMark/>
          </w:tcPr>
          <w:p>
            <w:pPr>
              <w:spacing w:before="60" w:after="60"/>
              <w:rPr>
                <w:rFonts w:asciiTheme="majorBidi" w:hAnsiTheme="majorBidi" w:cstheme="majorBidi"/>
                <w:noProof/>
              </w:rPr>
            </w:pPr>
            <w:r>
              <w:rPr>
                <w:rFonts w:asciiTheme="majorBidi" w:hAnsiTheme="majorBidi"/>
                <w:noProof/>
              </w:rPr>
              <w:t>44° 30'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5</w:t>
            </w:r>
          </w:p>
        </w:tc>
        <w:tc>
          <w:tcPr>
            <w:tcW w:w="1196" w:type="dxa"/>
            <w:noWrap/>
            <w:hideMark/>
          </w:tcPr>
          <w:p>
            <w:pPr>
              <w:spacing w:before="60" w:after="60"/>
              <w:rPr>
                <w:rFonts w:asciiTheme="majorBidi" w:hAnsiTheme="majorBidi" w:cstheme="majorBidi"/>
                <w:noProof/>
              </w:rPr>
            </w:pPr>
            <w:r>
              <w:rPr>
                <w:rFonts w:asciiTheme="majorBidi" w:hAnsiTheme="majorBidi"/>
                <w:noProof/>
              </w:rPr>
              <w:t>46° 35' 0</w:t>
            </w:r>
          </w:p>
        </w:tc>
        <w:tc>
          <w:tcPr>
            <w:tcW w:w="1203" w:type="dxa"/>
            <w:noWrap/>
            <w:hideMark/>
          </w:tcPr>
          <w:p>
            <w:pPr>
              <w:spacing w:before="60" w:after="60"/>
              <w:rPr>
                <w:rFonts w:asciiTheme="majorBidi" w:hAnsiTheme="majorBidi" w:cstheme="majorBidi"/>
                <w:noProof/>
              </w:rPr>
            </w:pPr>
            <w:r>
              <w:rPr>
                <w:rFonts w:asciiTheme="majorBidi" w:hAnsiTheme="majorBidi"/>
                <w:noProof/>
              </w:rPr>
              <w:t>45° 40'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6</w:t>
            </w:r>
          </w:p>
        </w:tc>
        <w:tc>
          <w:tcPr>
            <w:tcW w:w="1196" w:type="dxa"/>
            <w:noWrap/>
            <w:hideMark/>
          </w:tcPr>
          <w:p>
            <w:pPr>
              <w:spacing w:before="60" w:after="60"/>
              <w:rPr>
                <w:rFonts w:asciiTheme="majorBidi" w:hAnsiTheme="majorBidi" w:cstheme="majorBidi"/>
                <w:noProof/>
              </w:rPr>
            </w:pPr>
            <w:r>
              <w:rPr>
                <w:rFonts w:asciiTheme="majorBidi" w:hAnsiTheme="majorBidi"/>
                <w:noProof/>
              </w:rPr>
              <w:t>47° 30' 0</w:t>
            </w:r>
          </w:p>
        </w:tc>
        <w:tc>
          <w:tcPr>
            <w:tcW w:w="1203" w:type="dxa"/>
            <w:noWrap/>
            <w:hideMark/>
          </w:tcPr>
          <w:p>
            <w:pPr>
              <w:spacing w:before="60" w:after="60"/>
              <w:rPr>
                <w:rFonts w:asciiTheme="majorBidi" w:hAnsiTheme="majorBidi" w:cstheme="majorBidi"/>
                <w:noProof/>
              </w:rPr>
            </w:pPr>
            <w:r>
              <w:rPr>
                <w:rFonts w:asciiTheme="majorBidi" w:hAnsiTheme="majorBidi"/>
                <w:noProof/>
              </w:rPr>
              <w:t>45° 40' 0</w:t>
            </w:r>
          </w:p>
        </w:tc>
        <w:tc>
          <w:tcPr>
            <w:tcW w:w="3303" w:type="dxa"/>
            <w:noWrap/>
            <w:hideMark/>
          </w:tcPr>
          <w:p>
            <w:pPr>
              <w:rPr>
                <w:rFonts w:asciiTheme="majorBidi" w:hAnsiTheme="majorBidi" w:cstheme="majorBidi"/>
                <w:noProof/>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7</w:t>
            </w:r>
          </w:p>
        </w:tc>
        <w:tc>
          <w:tcPr>
            <w:tcW w:w="1196" w:type="dxa"/>
            <w:noWrap/>
            <w:hideMark/>
          </w:tcPr>
          <w:p>
            <w:pPr>
              <w:spacing w:before="60" w:after="60"/>
              <w:rPr>
                <w:rFonts w:asciiTheme="majorBidi" w:hAnsiTheme="majorBidi" w:cstheme="majorBidi"/>
                <w:noProof/>
              </w:rPr>
            </w:pPr>
            <w:r>
              <w:rPr>
                <w:rFonts w:asciiTheme="majorBidi" w:hAnsiTheme="majorBidi"/>
                <w:noProof/>
              </w:rPr>
              <w:t>47° 55' 0</w:t>
            </w:r>
          </w:p>
        </w:tc>
        <w:tc>
          <w:tcPr>
            <w:tcW w:w="1203" w:type="dxa"/>
            <w:noWrap/>
            <w:hideMark/>
          </w:tcPr>
          <w:p>
            <w:pPr>
              <w:spacing w:before="60" w:after="60"/>
              <w:rPr>
                <w:rFonts w:asciiTheme="majorBidi" w:hAnsiTheme="majorBidi" w:cstheme="majorBidi"/>
                <w:noProof/>
              </w:rPr>
            </w:pPr>
            <w:r>
              <w:rPr>
                <w:rFonts w:asciiTheme="majorBidi" w:hAnsiTheme="majorBidi"/>
                <w:noProof/>
              </w:rPr>
              <w:t>45° 00' 0</w:t>
            </w:r>
          </w:p>
        </w:tc>
        <w:tc>
          <w:tcPr>
            <w:tcW w:w="3303" w:type="dxa"/>
            <w:noWrap/>
            <w:hideMark/>
          </w:tcPr>
          <w:p>
            <w:pPr>
              <w:rPr>
                <w:rFonts w:asciiTheme="majorBidi" w:hAnsiTheme="majorBidi" w:cstheme="majorBidi"/>
                <w:noProof/>
              </w:rPr>
            </w:pPr>
          </w:p>
        </w:tc>
      </w:tr>
      <w:tr>
        <w:trPr>
          <w:trHeight w:val="227"/>
        </w:trPr>
        <w:tc>
          <w:tcPr>
            <w:tcW w:w="1678" w:type="dxa"/>
            <w:vMerge w:val="restart"/>
            <w:noWrap/>
            <w:hideMark/>
          </w:tcPr>
          <w:p>
            <w:pPr>
              <w:pageBreakBefore/>
              <w:spacing w:before="60" w:after="60"/>
              <w:rPr>
                <w:rFonts w:asciiTheme="majorBidi" w:hAnsiTheme="majorBidi" w:cstheme="majorBidi"/>
                <w:b/>
                <w:bCs/>
                <w:noProof/>
                <w:szCs w:val="24"/>
                <w:vertAlign w:val="superscript"/>
              </w:rPr>
            </w:pPr>
            <w:r>
              <w:rPr>
                <w:rFonts w:asciiTheme="majorBidi" w:hAnsiTheme="majorBidi"/>
                <w:b/>
                <w:bCs/>
                <w:noProof/>
                <w:vertAlign w:val="superscript"/>
              </w:rPr>
              <w:t>(2)</w:t>
            </w:r>
          </w:p>
        </w:tc>
        <w:tc>
          <w:tcPr>
            <w:tcW w:w="8069" w:type="dxa"/>
            <w:gridSpan w:val="4"/>
            <w:noWrap/>
            <w:hideMark/>
          </w:tcPr>
          <w:p>
            <w:pPr>
              <w:spacing w:before="60" w:after="60"/>
              <w:rPr>
                <w:rFonts w:asciiTheme="majorBidi" w:hAnsiTheme="majorBidi" w:cstheme="majorBidi"/>
                <w:noProof/>
              </w:rPr>
            </w:pPr>
            <w:r>
              <w:rPr>
                <w:rFonts w:asciiTheme="majorBidi" w:hAnsiTheme="majorBidi"/>
                <w:noProof/>
              </w:rPr>
              <w:t>Не се прилага. Риболов, управляван с ограничения върху риболовното усилие (EFF/*N3M.). Съответните държави членки издават разрешения за риболов на своите риболовни кораби, участващи в този риболов, и уведомяват Комисията за тези разрешения преди започване на дейността на кораба съгласно Регламент (ЕО) № 1224/2009.</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rPr>
            </w:pPr>
          </w:p>
        </w:tc>
        <w:tc>
          <w:tcPr>
            <w:tcW w:w="2367" w:type="dxa"/>
            <w:tcBorders>
              <w:top w:val="nil"/>
              <w:left w:val="nil"/>
              <w:bottom w:val="single" w:sz="4" w:space="0" w:color="auto"/>
              <w:right w:val="nil"/>
            </w:tcBorders>
            <w:noWrap/>
            <w:vAlign w:val="center"/>
            <w:hideMark/>
          </w:tcPr>
          <w:p>
            <w:pPr>
              <w:spacing w:before="60" w:after="60"/>
              <w:jc w:val="center"/>
              <w:rPr>
                <w:rFonts w:asciiTheme="majorBidi" w:hAnsiTheme="majorBidi" w:cstheme="majorBidi"/>
                <w:noProof/>
              </w:rPr>
            </w:pPr>
            <w:r>
              <w:rPr>
                <w:rFonts w:asciiTheme="majorBidi" w:hAnsiTheme="majorBidi"/>
                <w:noProof/>
              </w:rPr>
              <w:t>Държава членка</w:t>
            </w:r>
          </w:p>
        </w:tc>
        <w:tc>
          <w:tcPr>
            <w:tcW w:w="2399" w:type="dxa"/>
            <w:gridSpan w:val="2"/>
            <w:tcBorders>
              <w:top w:val="nil"/>
              <w:left w:val="nil"/>
              <w:bottom w:val="single" w:sz="4" w:space="0" w:color="auto"/>
              <w:right w:val="nil"/>
            </w:tcBorders>
            <w:noWrap/>
            <w:vAlign w:val="center"/>
            <w:hideMark/>
          </w:tcPr>
          <w:p>
            <w:pPr>
              <w:spacing w:before="60" w:after="60"/>
              <w:jc w:val="center"/>
              <w:rPr>
                <w:rFonts w:asciiTheme="majorBidi" w:hAnsiTheme="majorBidi" w:cstheme="majorBidi"/>
                <w:noProof/>
              </w:rPr>
            </w:pPr>
            <w:r>
              <w:rPr>
                <w:rFonts w:asciiTheme="majorBidi" w:hAnsiTheme="majorBidi"/>
                <w:noProof/>
              </w:rPr>
              <w:t>Максимален брой риболовни дни</w:t>
            </w:r>
          </w:p>
        </w:tc>
        <w:tc>
          <w:tcPr>
            <w:tcW w:w="3303" w:type="dxa"/>
            <w:noWrap/>
            <w:hideMark/>
          </w:tcPr>
          <w:p>
            <w:pPr>
              <w:rPr>
                <w:rFonts w:asciiTheme="majorBidi" w:hAnsiTheme="majorBidi" w:cstheme="majorBidi"/>
                <w:noProof/>
              </w:rPr>
            </w:pPr>
          </w:p>
        </w:tc>
      </w:tr>
      <w:tr>
        <w:trPr>
          <w:trHeight w:val="227"/>
        </w:trPr>
        <w:tc>
          <w:tcPr>
            <w:tcW w:w="1678" w:type="dxa"/>
            <w:vMerge w:val="restart"/>
            <w:tcBorders>
              <w:top w:val="nil"/>
              <w:left w:val="nil"/>
              <w:bottom w:val="single" w:sz="8" w:space="0" w:color="auto"/>
              <w:right w:val="nil"/>
            </w:tcBorders>
            <w:noWrap/>
            <w:hideMark/>
          </w:tcPr>
          <w:p>
            <w:pPr>
              <w:spacing w:before="0" w:after="0"/>
              <w:rPr>
                <w:noProof/>
                <w:sz w:val="20"/>
                <w:szCs w:val="20"/>
              </w:rPr>
            </w:pPr>
            <w:r>
              <w:rPr>
                <w:noProof/>
              </w:rPr>
              <w:br w:type="page"/>
            </w:r>
          </w:p>
        </w:tc>
        <w:tc>
          <w:tcPr>
            <w:tcW w:w="2367" w:type="dxa"/>
            <w:noWrap/>
            <w:hideMark/>
          </w:tcPr>
          <w:p>
            <w:pPr>
              <w:spacing w:before="60" w:after="60"/>
              <w:rPr>
                <w:rFonts w:asciiTheme="majorBidi" w:hAnsiTheme="majorBidi" w:cstheme="majorBidi"/>
                <w:noProof/>
                <w:szCs w:val="24"/>
              </w:rPr>
            </w:pPr>
            <w:r>
              <w:rPr>
                <w:rFonts w:asciiTheme="majorBidi" w:hAnsiTheme="majorBidi"/>
                <w:noProof/>
              </w:rPr>
              <w:t>Дания</w:t>
            </w:r>
          </w:p>
        </w:tc>
        <w:tc>
          <w:tcPr>
            <w:tcW w:w="2399" w:type="dxa"/>
            <w:gridSpan w:val="2"/>
            <w:noWrap/>
            <w:hideMark/>
          </w:tcPr>
          <w:p>
            <w:pPr>
              <w:spacing w:before="60" w:after="60"/>
              <w:jc w:val="right"/>
              <w:rPr>
                <w:noProof/>
                <w:color w:val="000000"/>
              </w:rPr>
            </w:pPr>
            <w:r>
              <w:rPr>
                <w:rFonts w:asciiTheme="majorBidi" w:hAnsiTheme="majorBidi"/>
                <w:noProof/>
                <w:color w:val="000000"/>
              </w:rPr>
              <w:t>33</w:t>
            </w:r>
          </w:p>
        </w:tc>
        <w:tc>
          <w:tcPr>
            <w:tcW w:w="3303" w:type="dxa"/>
            <w:noWrap/>
            <w:hideMark/>
          </w:tcPr>
          <w:p>
            <w:pPr>
              <w:rPr>
                <w:noProof/>
                <w:color w:val="000000"/>
                <w:lang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Естония</w:t>
            </w:r>
          </w:p>
        </w:tc>
        <w:tc>
          <w:tcPr>
            <w:tcW w:w="2399" w:type="dxa"/>
            <w:gridSpan w:val="2"/>
            <w:noWrap/>
            <w:hideMark/>
          </w:tcPr>
          <w:p>
            <w:pPr>
              <w:spacing w:before="60" w:after="60"/>
              <w:jc w:val="right"/>
              <w:rPr>
                <w:noProof/>
                <w:color w:val="000000"/>
              </w:rPr>
            </w:pPr>
            <w:r>
              <w:rPr>
                <w:rFonts w:asciiTheme="majorBidi" w:hAnsiTheme="majorBidi"/>
                <w:noProof/>
                <w:color w:val="000000"/>
              </w:rPr>
              <w:t>391</w:t>
            </w:r>
          </w:p>
        </w:tc>
        <w:tc>
          <w:tcPr>
            <w:tcW w:w="3303"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w:t>
            </w: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noWrap/>
            <w:hideMark/>
          </w:tcPr>
          <w:p>
            <w:pPr>
              <w:spacing w:before="60" w:after="60"/>
              <w:rPr>
                <w:rFonts w:asciiTheme="majorBidi" w:hAnsiTheme="majorBidi" w:cstheme="majorBidi"/>
                <w:noProof/>
              </w:rPr>
            </w:pPr>
            <w:r>
              <w:rPr>
                <w:rFonts w:asciiTheme="majorBidi" w:hAnsiTheme="majorBidi"/>
                <w:noProof/>
              </w:rPr>
              <w:t>Испания</w:t>
            </w:r>
          </w:p>
        </w:tc>
        <w:tc>
          <w:tcPr>
            <w:tcW w:w="2399" w:type="dxa"/>
            <w:gridSpan w:val="2"/>
            <w:noWrap/>
            <w:hideMark/>
          </w:tcPr>
          <w:p>
            <w:pPr>
              <w:spacing w:before="60" w:after="60"/>
              <w:jc w:val="right"/>
              <w:rPr>
                <w:noProof/>
                <w:color w:val="000000"/>
              </w:rPr>
            </w:pPr>
            <w:r>
              <w:rPr>
                <w:rFonts w:asciiTheme="majorBidi" w:hAnsiTheme="majorBidi"/>
                <w:noProof/>
                <w:color w:val="000000"/>
              </w:rPr>
              <w:t>64</w:t>
            </w:r>
          </w:p>
        </w:tc>
        <w:tc>
          <w:tcPr>
            <w:tcW w:w="3303" w:type="dxa"/>
            <w:noWrap/>
            <w:hideMark/>
          </w:tcPr>
          <w:p>
            <w:pPr>
              <w:rPr>
                <w:noProof/>
                <w:color w:val="000000"/>
                <w:lang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Латвия</w:t>
            </w:r>
          </w:p>
        </w:tc>
        <w:tc>
          <w:tcPr>
            <w:tcW w:w="2399" w:type="dxa"/>
            <w:gridSpan w:val="2"/>
            <w:noWrap/>
            <w:hideMark/>
          </w:tcPr>
          <w:p>
            <w:pPr>
              <w:spacing w:before="60" w:after="60"/>
              <w:jc w:val="right"/>
              <w:rPr>
                <w:noProof/>
                <w:color w:val="000000"/>
              </w:rPr>
            </w:pPr>
            <w:r>
              <w:rPr>
                <w:rFonts w:asciiTheme="majorBidi" w:hAnsiTheme="majorBidi"/>
                <w:noProof/>
                <w:color w:val="000000"/>
              </w:rPr>
              <w:t>123</w:t>
            </w:r>
          </w:p>
        </w:tc>
        <w:tc>
          <w:tcPr>
            <w:tcW w:w="3303" w:type="dxa"/>
            <w:noWrap/>
            <w:hideMark/>
          </w:tcPr>
          <w:p>
            <w:pPr>
              <w:rPr>
                <w:noProof/>
                <w:color w:val="000000"/>
                <w:lang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Литва</w:t>
            </w:r>
          </w:p>
        </w:tc>
        <w:tc>
          <w:tcPr>
            <w:tcW w:w="2399" w:type="dxa"/>
            <w:gridSpan w:val="2"/>
            <w:noWrap/>
            <w:hideMark/>
          </w:tcPr>
          <w:p>
            <w:pPr>
              <w:spacing w:before="60" w:after="60"/>
              <w:jc w:val="right"/>
              <w:rPr>
                <w:noProof/>
                <w:color w:val="000000"/>
              </w:rPr>
            </w:pPr>
            <w:r>
              <w:rPr>
                <w:rFonts w:asciiTheme="majorBidi" w:hAnsiTheme="majorBidi"/>
                <w:noProof/>
                <w:color w:val="000000"/>
              </w:rPr>
              <w:t>145</w:t>
            </w:r>
          </w:p>
        </w:tc>
        <w:tc>
          <w:tcPr>
            <w:tcW w:w="3303" w:type="dxa"/>
            <w:noWrap/>
            <w:hideMark/>
          </w:tcPr>
          <w:p>
            <w:pPr>
              <w:rPr>
                <w:noProof/>
                <w:color w:val="000000"/>
                <w:lang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Полша</w:t>
            </w:r>
          </w:p>
        </w:tc>
        <w:tc>
          <w:tcPr>
            <w:tcW w:w="2399" w:type="dxa"/>
            <w:gridSpan w:val="2"/>
            <w:noWrap/>
            <w:hideMark/>
          </w:tcPr>
          <w:p>
            <w:pPr>
              <w:spacing w:before="60" w:after="60"/>
              <w:jc w:val="right"/>
              <w:rPr>
                <w:noProof/>
                <w:color w:val="000000"/>
              </w:rPr>
            </w:pPr>
            <w:r>
              <w:rPr>
                <w:rFonts w:asciiTheme="majorBidi" w:hAnsiTheme="majorBidi"/>
                <w:noProof/>
                <w:color w:val="000000"/>
              </w:rPr>
              <w:t>25</w:t>
            </w:r>
          </w:p>
        </w:tc>
        <w:tc>
          <w:tcPr>
            <w:tcW w:w="3303" w:type="dxa"/>
            <w:noWrap/>
            <w:hideMark/>
          </w:tcPr>
          <w:p>
            <w:pPr>
              <w:rPr>
                <w:noProof/>
                <w:color w:val="000000"/>
                <w:lang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tcBorders>
              <w:top w:val="nil"/>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Португалия</w:t>
            </w:r>
          </w:p>
        </w:tc>
        <w:tc>
          <w:tcPr>
            <w:tcW w:w="2399" w:type="dxa"/>
            <w:gridSpan w:val="2"/>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17</w:t>
            </w:r>
          </w:p>
        </w:tc>
        <w:tc>
          <w:tcPr>
            <w:tcW w:w="3303" w:type="dxa"/>
            <w:tcBorders>
              <w:top w:val="nil"/>
              <w:left w:val="nil"/>
              <w:bottom w:val="single" w:sz="8" w:space="0" w:color="auto"/>
              <w:right w:val="nil"/>
            </w:tcBorders>
            <w:noWrap/>
            <w:hideMark/>
          </w:tcPr>
          <w:p>
            <w:pPr>
              <w:rPr>
                <w:noProof/>
                <w:color w:val="000000"/>
                <w:lang w:eastAsia="en-GB"/>
              </w:rPr>
            </w:pPr>
          </w:p>
        </w:tc>
      </w:tr>
      <w:tr>
        <w:trPr>
          <w:trHeight w:val="227"/>
        </w:trPr>
        <w:tc>
          <w:tcPr>
            <w:tcW w:w="1678" w:type="dxa"/>
            <w:tcBorders>
              <w:top w:val="single" w:sz="8" w:space="0" w:color="auto"/>
              <w:left w:val="nil"/>
              <w:bottom w:val="single" w:sz="8" w:space="0" w:color="auto"/>
              <w:right w:val="nil"/>
            </w:tcBorders>
            <w:noWrap/>
            <w:hideMark/>
          </w:tcPr>
          <w:p>
            <w:pPr>
              <w:spacing w:before="0" w:after="0"/>
              <w:rPr>
                <w:noProof/>
                <w:sz w:val="20"/>
                <w:szCs w:val="20"/>
                <w:lang w:eastAsia="en-GB"/>
              </w:rPr>
            </w:pPr>
          </w:p>
        </w:tc>
        <w:tc>
          <w:tcPr>
            <w:tcW w:w="8069" w:type="dxa"/>
            <w:gridSpan w:val="4"/>
            <w:tcBorders>
              <w:top w:val="single" w:sz="8" w:space="0" w:color="auto"/>
              <w:left w:val="nil"/>
              <w:bottom w:val="single" w:sz="8" w:space="0" w:color="auto"/>
              <w:right w:val="nil"/>
            </w:tcBorders>
            <w:hideMark/>
          </w:tcPr>
          <w:p>
            <w:pPr>
              <w:spacing w:before="60" w:after="60"/>
              <w:ind w:left="567" w:hanging="567"/>
              <w:rPr>
                <w:noProof/>
                <w:szCs w:val="24"/>
                <w:vertAlign w:val="superscript"/>
              </w:rPr>
            </w:pPr>
            <w:r>
              <w:rPr>
                <w:b/>
                <w:bCs/>
                <w:noProof/>
                <w:vertAlign w:val="superscript"/>
              </w:rPr>
              <w:t>*</w:t>
            </w:r>
            <w:r>
              <w:rPr>
                <w:noProof/>
              </w:rPr>
              <w:tab/>
              <w:t>На годишното си заседание през 2020 г. Комисията NAFO постигна съгласие, че Европейският съюз (Естония) ще прехвърли 25 риболовни дни от разпределените му за 2021 г. на Франция, по отношение на Сен Пиер и Микелон. Тези 25 риболовни дни са приспаднати от броя риболовни дни на Естония, който в противен случай би бил 416 дни, съгласно този временен режим за 2020 г., който няма да доведе до никакви записи за улова.</w:t>
            </w:r>
          </w:p>
        </w:tc>
      </w:tr>
      <w:tr>
        <w:trPr>
          <w:trHeight w:val="227"/>
        </w:trPr>
        <w:tc>
          <w:tcPr>
            <w:tcW w:w="9747" w:type="dxa"/>
            <w:gridSpan w:val="5"/>
            <w:tcBorders>
              <w:top w:val="single" w:sz="8" w:space="0" w:color="auto"/>
              <w:left w:val="nil"/>
              <w:bottom w:val="single" w:sz="8" w:space="0" w:color="auto"/>
              <w:right w:val="nil"/>
            </w:tcBorders>
            <w:noWrap/>
            <w:hideMark/>
          </w:tcPr>
          <w:p>
            <w:pPr>
              <w:rPr>
                <w:noProof/>
                <w:vertAlign w:val="superscript"/>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Черна писия</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Reinhardtius hippoglossoides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3LMNO</w:t>
            </w:r>
          </w:p>
          <w:p>
            <w:pPr>
              <w:spacing w:before="60" w:after="60"/>
              <w:rPr>
                <w:rFonts w:asciiTheme="majorBidi" w:hAnsiTheme="majorBidi" w:cstheme="majorBidi"/>
                <w:noProof/>
              </w:rPr>
            </w:pPr>
            <w:r>
              <w:rPr>
                <w:rFonts w:asciiTheme="majorBidi" w:hAnsiTheme="majorBidi"/>
                <w:noProof/>
              </w:rPr>
              <w:t>(GHL/N3LMNO)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Естония</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331</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rPr>
            </w:pPr>
          </w:p>
        </w:tc>
        <w:tc>
          <w:tcPr>
            <w:tcW w:w="4506"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67" w:type="dxa"/>
            <w:noWrap/>
            <w:hideMark/>
          </w:tcPr>
          <w:p>
            <w:pPr>
              <w:spacing w:before="60" w:after="60"/>
              <w:jc w:val="right"/>
              <w:rPr>
                <w:noProof/>
                <w:color w:val="000000"/>
              </w:rPr>
            </w:pPr>
            <w:r>
              <w:rPr>
                <w:rFonts w:asciiTheme="majorBidi" w:hAnsiTheme="majorBidi"/>
                <w:noProof/>
                <w:color w:val="000000"/>
              </w:rPr>
              <w:t>338</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Латвия</w:t>
            </w:r>
          </w:p>
        </w:tc>
        <w:tc>
          <w:tcPr>
            <w:tcW w:w="2367" w:type="dxa"/>
            <w:noWrap/>
            <w:hideMark/>
          </w:tcPr>
          <w:p>
            <w:pPr>
              <w:spacing w:before="60" w:after="60"/>
              <w:jc w:val="right"/>
              <w:rPr>
                <w:noProof/>
                <w:color w:val="000000"/>
              </w:rPr>
            </w:pPr>
            <w:r>
              <w:rPr>
                <w:rFonts w:asciiTheme="majorBidi" w:hAnsiTheme="majorBidi"/>
                <w:noProof/>
                <w:color w:val="000000"/>
              </w:rPr>
              <w:t>47</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Литва</w:t>
            </w:r>
          </w:p>
        </w:tc>
        <w:tc>
          <w:tcPr>
            <w:tcW w:w="2367" w:type="dxa"/>
            <w:noWrap/>
            <w:hideMark/>
          </w:tcPr>
          <w:p>
            <w:pPr>
              <w:spacing w:before="60" w:after="60"/>
              <w:jc w:val="right"/>
              <w:rPr>
                <w:noProof/>
                <w:color w:val="000000"/>
              </w:rPr>
            </w:pPr>
            <w:r>
              <w:rPr>
                <w:rFonts w:asciiTheme="majorBidi" w:hAnsiTheme="majorBidi"/>
                <w:noProof/>
                <w:color w:val="000000"/>
              </w:rPr>
              <w:t>24</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Испания</w:t>
            </w:r>
          </w:p>
        </w:tc>
        <w:tc>
          <w:tcPr>
            <w:tcW w:w="2367" w:type="dxa"/>
            <w:noWrap/>
            <w:hideMark/>
          </w:tcPr>
          <w:p>
            <w:pPr>
              <w:spacing w:before="60" w:after="60"/>
              <w:jc w:val="right"/>
              <w:rPr>
                <w:noProof/>
                <w:color w:val="000000"/>
              </w:rPr>
            </w:pPr>
            <w:r>
              <w:rPr>
                <w:rFonts w:asciiTheme="majorBidi" w:hAnsiTheme="majorBidi"/>
                <w:noProof/>
                <w:color w:val="000000"/>
              </w:rPr>
              <w:t>4 533</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Португалия</w:t>
            </w:r>
          </w:p>
        </w:tc>
        <w:tc>
          <w:tcPr>
            <w:tcW w:w="2367" w:type="dxa"/>
            <w:noWrap/>
            <w:hideMark/>
          </w:tcPr>
          <w:p>
            <w:pPr>
              <w:spacing w:before="60" w:after="60"/>
              <w:jc w:val="right"/>
              <w:rPr>
                <w:noProof/>
                <w:color w:val="000000"/>
              </w:rPr>
            </w:pPr>
            <w:r>
              <w:rPr>
                <w:rFonts w:asciiTheme="majorBidi" w:hAnsiTheme="majorBidi"/>
                <w:noProof/>
                <w:color w:val="000000"/>
              </w:rPr>
              <w:t>1 895</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noWrap/>
            <w:hideMark/>
          </w:tcPr>
          <w:p>
            <w:pPr>
              <w:spacing w:before="60" w:after="60"/>
              <w:jc w:val="right"/>
              <w:rPr>
                <w:noProof/>
                <w:color w:val="000000"/>
              </w:rPr>
            </w:pPr>
            <w:r>
              <w:rPr>
                <w:rFonts w:asciiTheme="majorBidi" w:hAnsiTheme="majorBidi"/>
                <w:noProof/>
                <w:color w:val="000000"/>
              </w:rPr>
              <w:t xml:space="preserve"> 7 168</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ОДУ</w:t>
            </w:r>
          </w:p>
        </w:tc>
        <w:tc>
          <w:tcPr>
            <w:tcW w:w="2367" w:type="dxa"/>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12 225</w:t>
            </w:r>
          </w:p>
        </w:tc>
        <w:tc>
          <w:tcPr>
            <w:tcW w:w="1196"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Морски лисици</w:t>
            </w:r>
          </w:p>
          <w:p>
            <w:pPr>
              <w:spacing w:before="60" w:after="60"/>
              <w:rPr>
                <w:rFonts w:asciiTheme="majorBidi" w:hAnsiTheme="majorBidi" w:cstheme="majorBidi"/>
                <w:noProof/>
              </w:rPr>
            </w:pPr>
            <w:r>
              <w:rPr>
                <w:rFonts w:asciiTheme="majorBidi" w:hAnsiTheme="majorBidi"/>
                <w:i/>
                <w:iCs/>
                <w:noProof/>
              </w:rPr>
              <w:t>Rajidae</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3LNO</w:t>
            </w:r>
          </w:p>
          <w:p>
            <w:pPr>
              <w:spacing w:before="60" w:after="60"/>
              <w:rPr>
                <w:rFonts w:asciiTheme="majorBidi" w:hAnsiTheme="majorBidi" w:cstheme="majorBidi"/>
                <w:noProof/>
              </w:rPr>
            </w:pPr>
            <w:r>
              <w:rPr>
                <w:rFonts w:asciiTheme="majorBidi" w:hAnsiTheme="majorBidi"/>
                <w:noProof/>
              </w:rPr>
              <w:t>(SKA/N3LNO.)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Естония</w:t>
            </w:r>
          </w:p>
        </w:tc>
        <w:tc>
          <w:tcPr>
            <w:tcW w:w="2367" w:type="dxa"/>
            <w:tcBorders>
              <w:top w:val="single" w:sz="8" w:space="0" w:color="auto"/>
              <w:left w:val="nil"/>
              <w:bottom w:val="nil"/>
              <w:right w:val="nil"/>
            </w:tcBorders>
            <w:noWrap/>
            <w:hideMark/>
          </w:tcPr>
          <w:p>
            <w:pPr>
              <w:spacing w:before="60" w:after="60"/>
              <w:jc w:val="right"/>
              <w:rPr>
                <w:noProof/>
              </w:rPr>
            </w:pPr>
            <w:r>
              <w:rPr>
                <w:rFonts w:asciiTheme="majorBidi" w:hAnsiTheme="majorBidi"/>
                <w:noProof/>
                <w:color w:val="000000"/>
              </w:rPr>
              <w:t>283</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rPr>
            </w:pPr>
          </w:p>
        </w:tc>
        <w:tc>
          <w:tcPr>
            <w:tcW w:w="4506"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Литва</w:t>
            </w:r>
          </w:p>
        </w:tc>
        <w:tc>
          <w:tcPr>
            <w:tcW w:w="2367" w:type="dxa"/>
            <w:noWrap/>
            <w:hideMark/>
          </w:tcPr>
          <w:p>
            <w:pPr>
              <w:spacing w:before="60" w:after="60"/>
              <w:jc w:val="right"/>
              <w:rPr>
                <w:noProof/>
              </w:rPr>
            </w:pPr>
            <w:r>
              <w:rPr>
                <w:rFonts w:asciiTheme="majorBidi" w:hAnsiTheme="majorBidi"/>
                <w:noProof/>
                <w:color w:val="000000"/>
              </w:rPr>
              <w:t>62</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Испания</w:t>
            </w:r>
          </w:p>
        </w:tc>
        <w:tc>
          <w:tcPr>
            <w:tcW w:w="2367" w:type="dxa"/>
            <w:noWrap/>
            <w:hideMark/>
          </w:tcPr>
          <w:p>
            <w:pPr>
              <w:spacing w:before="60" w:after="60"/>
              <w:jc w:val="right"/>
              <w:rPr>
                <w:noProof/>
              </w:rPr>
            </w:pPr>
            <w:r>
              <w:rPr>
                <w:rFonts w:asciiTheme="majorBidi" w:hAnsiTheme="majorBidi"/>
                <w:noProof/>
                <w:color w:val="000000"/>
              </w:rPr>
              <w:t>3 403</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Португалия</w:t>
            </w:r>
          </w:p>
        </w:tc>
        <w:tc>
          <w:tcPr>
            <w:tcW w:w="2367" w:type="dxa"/>
            <w:noWrap/>
            <w:hideMark/>
          </w:tcPr>
          <w:p>
            <w:pPr>
              <w:spacing w:before="60" w:after="60"/>
              <w:jc w:val="right"/>
              <w:rPr>
                <w:noProof/>
              </w:rPr>
            </w:pPr>
            <w:r>
              <w:rPr>
                <w:rFonts w:asciiTheme="majorBidi" w:hAnsiTheme="majorBidi"/>
                <w:noProof/>
                <w:color w:val="000000"/>
              </w:rPr>
              <w:t>660</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noWrap/>
            <w:hideMark/>
          </w:tcPr>
          <w:p>
            <w:pPr>
              <w:spacing w:before="60" w:after="60"/>
              <w:jc w:val="right"/>
              <w:rPr>
                <w:noProof/>
              </w:rPr>
            </w:pPr>
            <w:r>
              <w:rPr>
                <w:rFonts w:asciiTheme="majorBidi" w:hAnsiTheme="majorBidi"/>
                <w:noProof/>
                <w:color w:val="000000"/>
              </w:rPr>
              <w:t>4 408</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ОДУ</w:t>
            </w:r>
          </w:p>
        </w:tc>
        <w:tc>
          <w:tcPr>
            <w:tcW w:w="2367" w:type="dxa"/>
            <w:tcBorders>
              <w:top w:val="nil"/>
              <w:left w:val="nil"/>
              <w:bottom w:val="single" w:sz="8" w:space="0" w:color="auto"/>
              <w:right w:val="nil"/>
            </w:tcBorders>
            <w:noWrap/>
            <w:hideMark/>
          </w:tcPr>
          <w:p>
            <w:pPr>
              <w:spacing w:before="60" w:after="60"/>
              <w:jc w:val="right"/>
              <w:rPr>
                <w:noProof/>
              </w:rPr>
            </w:pPr>
            <w:r>
              <w:rPr>
                <w:rFonts w:asciiTheme="majorBidi" w:hAnsiTheme="majorBidi"/>
                <w:noProof/>
                <w:color w:val="000000"/>
              </w:rPr>
              <w:t>7 000</w:t>
            </w:r>
          </w:p>
        </w:tc>
        <w:tc>
          <w:tcPr>
            <w:tcW w:w="1196"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noProof/>
              </w:rPr>
              <w:br w:type="page"/>
            </w: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Морски костур, видове</w:t>
            </w:r>
          </w:p>
          <w:p>
            <w:pPr>
              <w:spacing w:before="60" w:after="60"/>
              <w:rPr>
                <w:rFonts w:asciiTheme="majorBidi" w:hAnsiTheme="majorBidi" w:cstheme="majorBidi"/>
                <w:noProof/>
              </w:rPr>
            </w:pPr>
            <w:r>
              <w:rPr>
                <w:rFonts w:asciiTheme="majorBidi" w:hAnsiTheme="majorBidi"/>
                <w:i/>
                <w:iCs/>
                <w:noProof/>
              </w:rPr>
              <w:t>Sebastes</w:t>
            </w:r>
            <w:r>
              <w:rPr>
                <w:rFonts w:asciiTheme="majorBidi" w:hAnsiTheme="majorBidi"/>
                <w:noProof/>
              </w:rPr>
              <w:t xml:space="preserve"> spp.</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3LN</w:t>
            </w:r>
          </w:p>
          <w:p>
            <w:pPr>
              <w:spacing w:before="60" w:after="60"/>
              <w:rPr>
                <w:rFonts w:asciiTheme="majorBidi" w:hAnsiTheme="majorBidi" w:cstheme="majorBidi"/>
                <w:noProof/>
              </w:rPr>
            </w:pPr>
            <w:r>
              <w:rPr>
                <w:rFonts w:asciiTheme="majorBidi" w:hAnsiTheme="majorBidi"/>
                <w:noProof/>
              </w:rPr>
              <w:t>(RED/N3LN.)</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Естония</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895</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rPr>
            </w:pPr>
          </w:p>
        </w:tc>
        <w:tc>
          <w:tcPr>
            <w:tcW w:w="4506"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67" w:type="dxa"/>
            <w:noWrap/>
            <w:hideMark/>
          </w:tcPr>
          <w:p>
            <w:pPr>
              <w:spacing w:before="60" w:after="60"/>
              <w:jc w:val="right"/>
              <w:rPr>
                <w:noProof/>
                <w:color w:val="000000"/>
              </w:rPr>
            </w:pPr>
            <w:r>
              <w:rPr>
                <w:rFonts w:asciiTheme="majorBidi" w:hAnsiTheme="majorBidi"/>
                <w:noProof/>
                <w:color w:val="000000"/>
              </w:rPr>
              <w:t>615</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Латвия</w:t>
            </w:r>
          </w:p>
        </w:tc>
        <w:tc>
          <w:tcPr>
            <w:tcW w:w="2367" w:type="dxa"/>
            <w:noWrap/>
            <w:hideMark/>
          </w:tcPr>
          <w:p>
            <w:pPr>
              <w:spacing w:before="60" w:after="60"/>
              <w:jc w:val="right"/>
              <w:rPr>
                <w:noProof/>
                <w:color w:val="000000"/>
              </w:rPr>
            </w:pPr>
            <w:r>
              <w:rPr>
                <w:rFonts w:asciiTheme="majorBidi" w:hAnsiTheme="majorBidi"/>
                <w:noProof/>
                <w:color w:val="000000"/>
              </w:rPr>
              <w:t>895</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Литва</w:t>
            </w:r>
          </w:p>
        </w:tc>
        <w:tc>
          <w:tcPr>
            <w:tcW w:w="2367" w:type="dxa"/>
            <w:noWrap/>
            <w:hideMark/>
          </w:tcPr>
          <w:p>
            <w:pPr>
              <w:spacing w:before="60" w:after="60"/>
              <w:jc w:val="right"/>
              <w:rPr>
                <w:noProof/>
                <w:color w:val="000000"/>
              </w:rPr>
            </w:pPr>
            <w:r>
              <w:rPr>
                <w:rFonts w:asciiTheme="majorBidi" w:hAnsiTheme="majorBidi"/>
                <w:noProof/>
                <w:color w:val="000000"/>
              </w:rPr>
              <w:t>895</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noWrap/>
            <w:hideMark/>
          </w:tcPr>
          <w:p>
            <w:pPr>
              <w:spacing w:before="60" w:after="60"/>
              <w:jc w:val="right"/>
              <w:rPr>
                <w:noProof/>
                <w:color w:val="000000"/>
              </w:rPr>
            </w:pPr>
            <w:r>
              <w:rPr>
                <w:rFonts w:asciiTheme="majorBidi" w:hAnsiTheme="majorBidi"/>
                <w:noProof/>
                <w:color w:val="000000"/>
              </w:rPr>
              <w:t>3 300</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ОДУ</w:t>
            </w:r>
          </w:p>
        </w:tc>
        <w:tc>
          <w:tcPr>
            <w:tcW w:w="2367" w:type="dxa"/>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18 100</w:t>
            </w:r>
          </w:p>
        </w:tc>
        <w:tc>
          <w:tcPr>
            <w:tcW w:w="1196"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Морски костур, видове</w:t>
            </w:r>
          </w:p>
          <w:p>
            <w:pPr>
              <w:spacing w:before="60" w:after="60"/>
              <w:rPr>
                <w:rFonts w:asciiTheme="majorBidi" w:hAnsiTheme="majorBidi" w:cstheme="majorBidi"/>
                <w:noProof/>
              </w:rPr>
            </w:pPr>
            <w:r>
              <w:rPr>
                <w:rFonts w:asciiTheme="majorBidi" w:hAnsiTheme="majorBidi"/>
                <w:i/>
                <w:iCs/>
                <w:noProof/>
              </w:rPr>
              <w:t>Sebastes</w:t>
            </w:r>
            <w:r>
              <w:rPr>
                <w:rFonts w:asciiTheme="majorBidi" w:hAnsiTheme="majorBidi"/>
                <w:noProof/>
              </w:rPr>
              <w:t xml:space="preserve"> spp.</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3M</w:t>
            </w:r>
          </w:p>
          <w:p>
            <w:pPr>
              <w:spacing w:before="60" w:after="60"/>
              <w:rPr>
                <w:rFonts w:asciiTheme="majorBidi" w:hAnsiTheme="majorBidi" w:cstheme="majorBidi"/>
                <w:noProof/>
              </w:rPr>
            </w:pPr>
            <w:r>
              <w:rPr>
                <w:rFonts w:asciiTheme="majorBidi" w:hAnsiTheme="majorBidi"/>
                <w:noProof/>
              </w:rPr>
              <w:t>(RED/N3M.)</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Естония</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1 571</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Германия</w:t>
            </w:r>
          </w:p>
        </w:tc>
        <w:tc>
          <w:tcPr>
            <w:tcW w:w="2367" w:type="dxa"/>
            <w:noWrap/>
            <w:hideMark/>
          </w:tcPr>
          <w:p>
            <w:pPr>
              <w:spacing w:before="60" w:after="60"/>
              <w:jc w:val="right"/>
              <w:rPr>
                <w:noProof/>
                <w:color w:val="000000"/>
              </w:rPr>
            </w:pPr>
            <w:r>
              <w:rPr>
                <w:rFonts w:asciiTheme="majorBidi" w:hAnsiTheme="majorBidi"/>
                <w:noProof/>
                <w:color w:val="000000"/>
              </w:rPr>
              <w:t>513</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Латвия</w:t>
            </w:r>
          </w:p>
        </w:tc>
        <w:tc>
          <w:tcPr>
            <w:tcW w:w="2367" w:type="dxa"/>
            <w:noWrap/>
            <w:hideMark/>
          </w:tcPr>
          <w:p>
            <w:pPr>
              <w:spacing w:before="60" w:after="60"/>
              <w:jc w:val="right"/>
              <w:rPr>
                <w:noProof/>
                <w:color w:val="000000"/>
              </w:rPr>
            </w:pPr>
            <w:r>
              <w:rPr>
                <w:rFonts w:asciiTheme="majorBidi" w:hAnsiTheme="majorBidi"/>
                <w:noProof/>
                <w:color w:val="000000"/>
              </w:rPr>
              <w:t>1 571</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Литва</w:t>
            </w:r>
          </w:p>
        </w:tc>
        <w:tc>
          <w:tcPr>
            <w:tcW w:w="2367" w:type="dxa"/>
            <w:noWrap/>
            <w:hideMark/>
          </w:tcPr>
          <w:p>
            <w:pPr>
              <w:spacing w:before="60" w:after="60"/>
              <w:jc w:val="right"/>
              <w:rPr>
                <w:noProof/>
                <w:color w:val="000000"/>
              </w:rPr>
            </w:pPr>
            <w:r>
              <w:rPr>
                <w:rFonts w:asciiTheme="majorBidi" w:hAnsiTheme="majorBidi"/>
                <w:noProof/>
                <w:color w:val="000000"/>
              </w:rPr>
              <w:t>1 571</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Испания</w:t>
            </w:r>
          </w:p>
        </w:tc>
        <w:tc>
          <w:tcPr>
            <w:tcW w:w="2367" w:type="dxa"/>
            <w:noWrap/>
            <w:hideMark/>
          </w:tcPr>
          <w:p>
            <w:pPr>
              <w:spacing w:before="60" w:after="60"/>
              <w:jc w:val="right"/>
              <w:rPr>
                <w:noProof/>
                <w:color w:val="000000"/>
              </w:rPr>
            </w:pPr>
            <w:r>
              <w:rPr>
                <w:rFonts w:asciiTheme="majorBidi" w:hAnsiTheme="majorBidi"/>
                <w:noProof/>
                <w:color w:val="000000"/>
              </w:rPr>
              <w:t>233</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 xml:space="preserve">Португалия </w:t>
            </w:r>
          </w:p>
        </w:tc>
        <w:tc>
          <w:tcPr>
            <w:tcW w:w="2367" w:type="dxa"/>
            <w:noWrap/>
            <w:hideMark/>
          </w:tcPr>
          <w:p>
            <w:pPr>
              <w:spacing w:before="60" w:after="60"/>
              <w:jc w:val="right"/>
              <w:rPr>
                <w:noProof/>
                <w:color w:val="000000"/>
              </w:rPr>
            </w:pPr>
            <w:r>
              <w:rPr>
                <w:rFonts w:asciiTheme="majorBidi" w:hAnsiTheme="majorBidi"/>
                <w:noProof/>
                <w:color w:val="000000"/>
              </w:rPr>
              <w:t>2 354</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noWrap/>
            <w:hideMark/>
          </w:tcPr>
          <w:p>
            <w:pPr>
              <w:spacing w:before="60" w:after="60"/>
              <w:jc w:val="right"/>
              <w:rPr>
                <w:noProof/>
                <w:color w:val="000000"/>
              </w:rPr>
            </w:pPr>
            <w:r>
              <w:rPr>
                <w:rFonts w:asciiTheme="majorBidi" w:hAnsiTheme="majorBidi"/>
                <w:noProof/>
                <w:color w:val="000000"/>
              </w:rPr>
              <w:t>7 813</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8 448</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 xml:space="preserve">Тази квота се ползва при спазване на посочения ОДУ, който е определен за този запас за всички договарящи страни по NAFO. В рамките на този ОДУ преди 1 юли 2020 г. количеството на улова не може да надвишава следното междинно ограничение: </w:t>
            </w:r>
            <w:r>
              <w:rPr>
                <w:rFonts w:asciiTheme="majorBidi" w:hAnsiTheme="majorBidi"/>
                <w:noProof/>
                <w:color w:val="000000"/>
              </w:rPr>
              <w:t>pm</w:t>
            </w: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Морски костур, видове</w:t>
            </w:r>
          </w:p>
          <w:p>
            <w:pPr>
              <w:spacing w:before="60" w:after="60"/>
              <w:rPr>
                <w:rFonts w:asciiTheme="majorBidi" w:hAnsiTheme="majorBidi" w:cstheme="majorBidi"/>
                <w:noProof/>
              </w:rPr>
            </w:pPr>
            <w:r>
              <w:rPr>
                <w:rFonts w:asciiTheme="majorBidi" w:hAnsiTheme="majorBidi"/>
                <w:i/>
                <w:iCs/>
                <w:noProof/>
              </w:rPr>
              <w:t>Sebastes</w:t>
            </w:r>
            <w:r>
              <w:rPr>
                <w:rFonts w:asciiTheme="majorBidi" w:hAnsiTheme="majorBidi"/>
                <w:noProof/>
              </w:rPr>
              <w:t xml:space="preserve"> spp.</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3O</w:t>
            </w:r>
          </w:p>
          <w:p>
            <w:pPr>
              <w:spacing w:before="60" w:after="60"/>
              <w:rPr>
                <w:rFonts w:asciiTheme="majorBidi" w:hAnsiTheme="majorBidi" w:cstheme="majorBidi"/>
                <w:noProof/>
              </w:rPr>
            </w:pPr>
            <w:r>
              <w:rPr>
                <w:rFonts w:asciiTheme="majorBidi" w:hAnsiTheme="majorBidi"/>
                <w:noProof/>
              </w:rPr>
              <w:t>(RED/N3O.)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Испания</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1 771</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rPr>
            </w:pPr>
          </w:p>
        </w:tc>
        <w:tc>
          <w:tcPr>
            <w:tcW w:w="4506"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Португалия</w:t>
            </w:r>
          </w:p>
        </w:tc>
        <w:tc>
          <w:tcPr>
            <w:tcW w:w="2367" w:type="dxa"/>
            <w:noWrap/>
            <w:hideMark/>
          </w:tcPr>
          <w:p>
            <w:pPr>
              <w:spacing w:before="60" w:after="60"/>
              <w:jc w:val="right"/>
              <w:rPr>
                <w:noProof/>
                <w:color w:val="000000"/>
              </w:rPr>
            </w:pPr>
            <w:r>
              <w:rPr>
                <w:rFonts w:asciiTheme="majorBidi" w:hAnsiTheme="majorBidi"/>
                <w:noProof/>
                <w:color w:val="000000"/>
              </w:rPr>
              <w:t>5 229</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noWrap/>
            <w:hideMark/>
          </w:tcPr>
          <w:p>
            <w:pPr>
              <w:spacing w:before="60" w:after="60"/>
              <w:jc w:val="right"/>
              <w:rPr>
                <w:noProof/>
                <w:color w:val="000000"/>
              </w:rPr>
            </w:pPr>
            <w:r>
              <w:rPr>
                <w:rFonts w:asciiTheme="majorBidi" w:hAnsiTheme="majorBidi"/>
                <w:noProof/>
                <w:color w:val="000000"/>
              </w:rPr>
              <w:t>7 000</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ОДУ</w:t>
            </w:r>
          </w:p>
        </w:tc>
        <w:tc>
          <w:tcPr>
            <w:tcW w:w="2367" w:type="dxa"/>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20 000</w:t>
            </w:r>
          </w:p>
        </w:tc>
        <w:tc>
          <w:tcPr>
            <w:tcW w:w="1196"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Морски костур, видове</w:t>
            </w:r>
          </w:p>
          <w:p>
            <w:pPr>
              <w:spacing w:before="60" w:after="60"/>
              <w:rPr>
                <w:rFonts w:asciiTheme="majorBidi" w:hAnsiTheme="majorBidi" w:cstheme="majorBidi"/>
                <w:noProof/>
              </w:rPr>
            </w:pPr>
            <w:r>
              <w:rPr>
                <w:rFonts w:asciiTheme="majorBidi" w:hAnsiTheme="majorBidi"/>
                <w:i/>
                <w:iCs/>
                <w:noProof/>
              </w:rPr>
              <w:t>Sebastes</w:t>
            </w:r>
            <w:r>
              <w:rPr>
                <w:rFonts w:asciiTheme="majorBidi" w:hAnsiTheme="majorBidi"/>
                <w:noProof/>
              </w:rPr>
              <w:t xml:space="preserve"> spp.</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Подзона 2 на NAFO, участъци 1F и 3K</w:t>
            </w:r>
          </w:p>
          <w:p>
            <w:pPr>
              <w:spacing w:before="60" w:after="60"/>
              <w:rPr>
                <w:rFonts w:asciiTheme="majorBidi" w:hAnsiTheme="majorBidi" w:cstheme="majorBidi"/>
                <w:noProof/>
              </w:rPr>
            </w:pPr>
            <w:r>
              <w:rPr>
                <w:rFonts w:asciiTheme="majorBidi" w:hAnsiTheme="majorBidi"/>
                <w:noProof/>
              </w:rPr>
              <w:t>(RED/N1F3K.)</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 xml:space="preserve">Латвия </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Литва</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0</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В рамките на тази квота не се разрешава целеви риболов. Видът се лови само като прилов при следните ограничения: не повече от 1250 kg или 5 % — която от двете стойности е по-голяма.</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rPr>
            </w:pPr>
            <w:r>
              <w:rPr>
                <w:rFonts w:asciiTheme="majorBidi" w:hAnsiTheme="majorBidi"/>
                <w:noProof/>
              </w:rPr>
              <w:t>Вид:</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Бяла мерлуза</w:t>
            </w:r>
          </w:p>
          <w:p>
            <w:pPr>
              <w:keepNext/>
              <w:tabs>
                <w:tab w:val="left" w:pos="850"/>
              </w:tabs>
              <w:spacing w:before="60" w:after="60"/>
              <w:ind w:left="850" w:hanging="850"/>
              <w:outlineLvl w:val="0"/>
              <w:rPr>
                <w:rFonts w:asciiTheme="majorBidi" w:hAnsiTheme="majorBidi" w:cstheme="majorBidi"/>
                <w:noProof/>
              </w:rPr>
            </w:pPr>
            <w:r>
              <w:rPr>
                <w:rFonts w:asciiTheme="majorBidi" w:hAnsiTheme="majorBidi"/>
                <w:i/>
                <w:iCs/>
                <w:noProof/>
              </w:rPr>
              <w:t>Urophycis tenuis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Зона:</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rPr>
            </w:pPr>
            <w:r>
              <w:rPr>
                <w:rFonts w:asciiTheme="majorBidi" w:hAnsiTheme="majorBidi"/>
                <w:noProof/>
              </w:rPr>
              <w:t>NAFO 3NO</w:t>
            </w:r>
          </w:p>
          <w:p>
            <w:pPr>
              <w:spacing w:before="60" w:after="60"/>
              <w:rPr>
                <w:rFonts w:asciiTheme="majorBidi" w:hAnsiTheme="majorBidi" w:cstheme="majorBidi"/>
                <w:noProof/>
              </w:rPr>
            </w:pPr>
            <w:r>
              <w:rPr>
                <w:rFonts w:asciiTheme="majorBidi" w:hAnsiTheme="majorBidi"/>
                <w:noProof/>
              </w:rPr>
              <w:t>(HKW/N3NO.)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Испания</w:t>
            </w:r>
          </w:p>
        </w:tc>
        <w:tc>
          <w:tcPr>
            <w:tcW w:w="2367" w:type="dxa"/>
            <w:tcBorders>
              <w:top w:val="single" w:sz="8" w:space="0" w:color="auto"/>
              <w:left w:val="nil"/>
              <w:bottom w:val="nil"/>
              <w:right w:val="nil"/>
            </w:tcBorders>
            <w:noWrap/>
            <w:hideMark/>
          </w:tcPr>
          <w:p>
            <w:pPr>
              <w:spacing w:before="60" w:after="60"/>
              <w:jc w:val="right"/>
              <w:rPr>
                <w:noProof/>
                <w:color w:val="000000"/>
              </w:rPr>
            </w:pPr>
            <w:r>
              <w:rPr>
                <w:rFonts w:asciiTheme="majorBidi" w:hAnsiTheme="majorBidi"/>
                <w:noProof/>
                <w:color w:val="000000"/>
              </w:rPr>
              <w:t>255</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rPr>
            </w:pP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Португалия</w:t>
            </w:r>
          </w:p>
        </w:tc>
        <w:tc>
          <w:tcPr>
            <w:tcW w:w="2367" w:type="dxa"/>
            <w:noWrap/>
            <w:hideMark/>
          </w:tcPr>
          <w:p>
            <w:pPr>
              <w:spacing w:before="60" w:after="60"/>
              <w:jc w:val="right"/>
              <w:rPr>
                <w:noProof/>
                <w:color w:val="000000"/>
              </w:rPr>
            </w:pPr>
            <w:r>
              <w:rPr>
                <w:rFonts w:asciiTheme="majorBidi" w:hAnsiTheme="majorBidi"/>
                <w:noProof/>
                <w:color w:val="000000"/>
              </w:rPr>
              <w:t>333</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Съюз</w:t>
            </w:r>
          </w:p>
        </w:tc>
        <w:tc>
          <w:tcPr>
            <w:tcW w:w="2367" w:type="dxa"/>
            <w:noWrap/>
            <w:hideMark/>
          </w:tcPr>
          <w:p>
            <w:pPr>
              <w:spacing w:before="60" w:after="60"/>
              <w:jc w:val="right"/>
              <w:rPr>
                <w:noProof/>
                <w:color w:val="000000"/>
              </w:rPr>
            </w:pPr>
            <w:r>
              <w:rPr>
                <w:rFonts w:asciiTheme="majorBidi" w:hAnsiTheme="majorBidi"/>
                <w:noProof/>
                <w:color w:val="000000"/>
              </w:rPr>
              <w:t>588</w:t>
            </w:r>
          </w:p>
        </w:tc>
        <w:tc>
          <w:tcPr>
            <w:tcW w:w="1196" w:type="dxa"/>
            <w:noWrap/>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noWrap/>
            <w:hideMark/>
          </w:tcPr>
          <w:p>
            <w:pPr>
              <w:spacing w:before="60" w:after="60"/>
              <w:rPr>
                <w:rFonts w:asciiTheme="majorBidi" w:hAnsiTheme="majorBidi" w:cstheme="majorBidi"/>
                <w:noProof/>
              </w:rPr>
            </w:pPr>
            <w:r>
              <w:rPr>
                <w:rFonts w:asciiTheme="majorBidi" w:hAnsiTheme="majorBidi"/>
                <w:noProof/>
              </w:rPr>
              <w:t>ОДУ</w:t>
            </w:r>
          </w:p>
        </w:tc>
        <w:tc>
          <w:tcPr>
            <w:tcW w:w="2367" w:type="dxa"/>
            <w:noWrap/>
            <w:hideMark/>
          </w:tcPr>
          <w:p>
            <w:pPr>
              <w:spacing w:before="60" w:after="60"/>
              <w:jc w:val="right"/>
              <w:rPr>
                <w:noProof/>
                <w:color w:val="000000"/>
              </w:rPr>
            </w:pPr>
            <w:r>
              <w:rPr>
                <w:rFonts w:asciiTheme="majorBidi" w:hAnsiTheme="majorBidi"/>
                <w:noProof/>
                <w:color w:val="000000"/>
              </w:rPr>
              <w:t>1 000</w:t>
            </w:r>
          </w:p>
        </w:tc>
        <w:tc>
          <w:tcPr>
            <w:tcW w:w="1196" w:type="dxa"/>
            <w:noWrap/>
          </w:tcPr>
          <w:p>
            <w:pPr>
              <w:spacing w:before="60" w:after="60"/>
              <w:rPr>
                <w:rFonts w:asciiTheme="majorBidi" w:hAnsiTheme="majorBidi" w:cstheme="majorBidi"/>
                <w:noProof/>
              </w:rPr>
            </w:pP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rPr>
            </w:pPr>
          </w:p>
        </w:tc>
      </w:tr>
      <w:tr>
        <w:trPr>
          <w:trHeight w:val="227"/>
        </w:trPr>
        <w:tc>
          <w:tcPr>
            <w:tcW w:w="1678" w:type="dxa"/>
            <w:vMerge w:val="restart"/>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rPr>
            </w:pPr>
            <w:r>
              <w:rPr>
                <w:rFonts w:asciiTheme="majorBidi" w:hAnsiTheme="majorBidi"/>
                <w:b/>
                <w:bCs/>
                <w:noProof/>
                <w:vertAlign w:val="superscript"/>
              </w:rPr>
              <w:t>(1)</w:t>
            </w:r>
          </w:p>
        </w:tc>
        <w:tc>
          <w:tcPr>
            <w:tcW w:w="8069" w:type="dxa"/>
            <w:gridSpan w:val="4"/>
            <w:noWrap/>
            <w:hideMark/>
          </w:tcPr>
          <w:p>
            <w:pPr>
              <w:spacing w:before="60" w:after="60"/>
              <w:rPr>
                <w:rFonts w:asciiTheme="majorBidi" w:hAnsiTheme="majorBidi" w:cstheme="majorBidi"/>
                <w:noProof/>
              </w:rPr>
            </w:pPr>
            <w:r>
              <w:rPr>
                <w:rFonts w:asciiTheme="majorBidi" w:hAnsiTheme="majorBidi"/>
                <w:noProof/>
              </w:rPr>
              <w:t>Когато, в съответствие с приложение IA към Мерките на NAFO за опазване и изпълнение, посредством положителен вот на договарящите страни бъде потвърдено, че ОДУ е 2000 тона, съответните квоти на Съюза и на държавите членки се определят, както следва:</w:t>
            </w:r>
          </w:p>
        </w:tc>
      </w:tr>
      <w:tr>
        <w:trPr>
          <w:trHeight w:val="227"/>
        </w:trPr>
        <w:tc>
          <w:tcPr>
            <w:tcW w:w="0" w:type="auto"/>
            <w:vMerge/>
            <w:tcBorders>
              <w:top w:val="nil"/>
              <w:left w:val="nil"/>
              <w:bottom w:val="single" w:sz="8" w:space="0" w:color="auto"/>
              <w:right w:val="nil"/>
            </w:tcBorders>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rPr>
            </w:pPr>
            <w:r>
              <w:rPr>
                <w:rFonts w:asciiTheme="majorBidi" w:hAnsiTheme="majorBidi"/>
                <w:noProof/>
              </w:rPr>
              <w:t>Испания</w:t>
            </w:r>
          </w:p>
        </w:tc>
        <w:tc>
          <w:tcPr>
            <w:tcW w:w="1196" w:type="dxa"/>
            <w:noWrap/>
            <w:hideMark/>
          </w:tcPr>
          <w:p>
            <w:pPr>
              <w:spacing w:before="60" w:after="60"/>
              <w:jc w:val="right"/>
              <w:rPr>
                <w:noProof/>
                <w:color w:val="000000"/>
              </w:rPr>
            </w:pPr>
            <w:r>
              <w:rPr>
                <w:rFonts w:asciiTheme="majorBidi" w:hAnsiTheme="majorBidi"/>
                <w:noProof/>
                <w:color w:val="000000"/>
              </w:rPr>
              <w:t>509</w:t>
            </w:r>
          </w:p>
        </w:tc>
        <w:tc>
          <w:tcPr>
            <w:tcW w:w="1203" w:type="dxa"/>
            <w:noWrap/>
          </w:tcPr>
          <w:p>
            <w:pPr>
              <w:spacing w:before="60" w:after="60"/>
              <w:rPr>
                <w:rFonts w:asciiTheme="majorBidi" w:hAnsiTheme="majorBidi" w:cstheme="majorBidi"/>
                <w:noProof/>
              </w:rPr>
            </w:pPr>
          </w:p>
        </w:tc>
        <w:tc>
          <w:tcPr>
            <w:tcW w:w="3303" w:type="dxa"/>
            <w:noWrap/>
            <w:hideMark/>
          </w:tcPr>
          <w:p>
            <w:pPr>
              <w:rPr>
                <w:rFonts w:asciiTheme="majorBidi" w:hAnsiTheme="majorBidi" w:cstheme="majorBidi"/>
                <w:noProof/>
              </w:rPr>
            </w:pPr>
          </w:p>
        </w:tc>
      </w:tr>
      <w:tr>
        <w:trPr>
          <w:trHeight w:val="227"/>
        </w:trPr>
        <w:tc>
          <w:tcPr>
            <w:tcW w:w="0" w:type="auto"/>
            <w:vMerge/>
            <w:tcBorders>
              <w:top w:val="nil"/>
              <w:left w:val="nil"/>
              <w:bottom w:val="single" w:sz="8" w:space="0" w:color="auto"/>
              <w:right w:val="nil"/>
            </w:tcBorders>
            <w:vAlign w:val="center"/>
            <w:hideMark/>
          </w:tcPr>
          <w:p>
            <w:pPr>
              <w:spacing w:before="0" w:after="0"/>
              <w:rPr>
                <w:rFonts w:asciiTheme="majorBidi" w:hAnsiTheme="majorBidi" w:cstheme="majorBidi"/>
                <w:b/>
                <w:bCs/>
                <w:noProof/>
                <w:szCs w:val="24"/>
                <w:vertAlign w:val="superscript"/>
              </w:rPr>
            </w:pPr>
          </w:p>
        </w:tc>
        <w:tc>
          <w:tcPr>
            <w:tcW w:w="2367" w:type="dxa"/>
            <w:noWrap/>
            <w:hideMark/>
          </w:tcPr>
          <w:p>
            <w:pPr>
              <w:spacing w:before="60" w:after="60"/>
              <w:rPr>
                <w:rFonts w:asciiTheme="majorBidi" w:hAnsiTheme="majorBidi" w:cstheme="majorBidi"/>
                <w:noProof/>
                <w:szCs w:val="24"/>
              </w:rPr>
            </w:pPr>
            <w:r>
              <w:rPr>
                <w:rFonts w:asciiTheme="majorBidi" w:hAnsiTheme="majorBidi"/>
                <w:noProof/>
              </w:rPr>
              <w:t>Португалия</w:t>
            </w:r>
          </w:p>
        </w:tc>
        <w:tc>
          <w:tcPr>
            <w:tcW w:w="1196" w:type="dxa"/>
            <w:noWrap/>
            <w:hideMark/>
          </w:tcPr>
          <w:p>
            <w:pPr>
              <w:spacing w:before="60" w:after="60"/>
              <w:jc w:val="right"/>
              <w:rPr>
                <w:noProof/>
                <w:color w:val="000000"/>
              </w:rPr>
            </w:pPr>
            <w:r>
              <w:rPr>
                <w:rFonts w:asciiTheme="majorBidi" w:hAnsiTheme="majorBidi"/>
                <w:noProof/>
                <w:color w:val="000000"/>
              </w:rPr>
              <w:t>667</w:t>
            </w:r>
          </w:p>
        </w:tc>
        <w:tc>
          <w:tcPr>
            <w:tcW w:w="1203" w:type="dxa"/>
            <w:noWrap/>
          </w:tcPr>
          <w:p>
            <w:pPr>
              <w:spacing w:before="60" w:after="60"/>
              <w:rPr>
                <w:rFonts w:asciiTheme="majorBidi" w:hAnsiTheme="majorBidi" w:cstheme="majorBidi"/>
                <w:noProof/>
              </w:rPr>
            </w:pPr>
          </w:p>
        </w:tc>
        <w:tc>
          <w:tcPr>
            <w:tcW w:w="3303" w:type="dxa"/>
            <w:noWrap/>
            <w:hideMark/>
          </w:tcPr>
          <w:p>
            <w:pPr>
              <w:rPr>
                <w:rFonts w:asciiTheme="majorBidi" w:hAnsiTheme="majorBidi" w:cstheme="majorBidi"/>
                <w:noProof/>
              </w:rPr>
            </w:pPr>
          </w:p>
        </w:tc>
      </w:tr>
      <w:tr>
        <w:trPr>
          <w:trHeight w:val="227"/>
        </w:trPr>
        <w:tc>
          <w:tcPr>
            <w:tcW w:w="0" w:type="auto"/>
            <w:vMerge/>
            <w:tcBorders>
              <w:top w:val="nil"/>
              <w:left w:val="nil"/>
              <w:bottom w:val="single" w:sz="8" w:space="0" w:color="auto"/>
              <w:right w:val="nil"/>
            </w:tcBorders>
            <w:vAlign w:val="center"/>
            <w:hideMark/>
          </w:tcPr>
          <w:p>
            <w:pPr>
              <w:spacing w:before="0" w:after="0"/>
              <w:rPr>
                <w:rFonts w:asciiTheme="majorBidi" w:hAnsiTheme="majorBidi" w:cstheme="majorBidi"/>
                <w:b/>
                <w:bCs/>
                <w:noProof/>
                <w:szCs w:val="24"/>
                <w:vertAlign w:val="superscript"/>
              </w:rPr>
            </w:pPr>
          </w:p>
        </w:tc>
        <w:tc>
          <w:tcPr>
            <w:tcW w:w="2367" w:type="dxa"/>
            <w:tcBorders>
              <w:top w:val="nil"/>
              <w:left w:val="nil"/>
              <w:bottom w:val="single" w:sz="8" w:space="0" w:color="auto"/>
              <w:right w:val="nil"/>
            </w:tcBorders>
            <w:noWrap/>
            <w:hideMark/>
          </w:tcPr>
          <w:p>
            <w:pPr>
              <w:spacing w:before="60" w:after="60"/>
              <w:rPr>
                <w:rFonts w:asciiTheme="majorBidi" w:hAnsiTheme="majorBidi" w:cstheme="majorBidi"/>
                <w:noProof/>
                <w:szCs w:val="24"/>
              </w:rPr>
            </w:pPr>
            <w:r>
              <w:rPr>
                <w:rFonts w:asciiTheme="majorBidi" w:hAnsiTheme="majorBidi"/>
                <w:noProof/>
              </w:rPr>
              <w:t>Съюз</w:t>
            </w:r>
          </w:p>
        </w:tc>
        <w:tc>
          <w:tcPr>
            <w:tcW w:w="1196" w:type="dxa"/>
            <w:tcBorders>
              <w:top w:val="nil"/>
              <w:left w:val="nil"/>
              <w:bottom w:val="single" w:sz="8" w:space="0" w:color="auto"/>
              <w:right w:val="nil"/>
            </w:tcBorders>
            <w:noWrap/>
            <w:hideMark/>
          </w:tcPr>
          <w:p>
            <w:pPr>
              <w:spacing w:before="60" w:after="60"/>
              <w:jc w:val="right"/>
              <w:rPr>
                <w:noProof/>
                <w:color w:val="000000"/>
              </w:rPr>
            </w:pPr>
            <w:r>
              <w:rPr>
                <w:rFonts w:asciiTheme="majorBidi" w:hAnsiTheme="majorBidi"/>
                <w:noProof/>
                <w:color w:val="000000"/>
              </w:rPr>
              <w:t>1 176</w:t>
            </w:r>
          </w:p>
        </w:tc>
        <w:tc>
          <w:tcPr>
            <w:tcW w:w="1203" w:type="dxa"/>
            <w:tcBorders>
              <w:top w:val="nil"/>
              <w:left w:val="nil"/>
              <w:bottom w:val="single" w:sz="8" w:space="0" w:color="auto"/>
              <w:right w:val="nil"/>
            </w:tcBorders>
            <w:noWrap/>
          </w:tcPr>
          <w:p>
            <w:pPr>
              <w:spacing w:before="60" w:after="60"/>
              <w:rPr>
                <w:rFonts w:asciiTheme="majorBidi" w:hAnsiTheme="majorBidi" w:cstheme="majorBidi"/>
                <w:noProof/>
              </w:rPr>
            </w:pPr>
          </w:p>
        </w:tc>
        <w:tc>
          <w:tcPr>
            <w:tcW w:w="3303" w:type="dxa"/>
            <w:tcBorders>
              <w:top w:val="nil"/>
              <w:left w:val="nil"/>
              <w:bottom w:val="single" w:sz="8" w:space="0" w:color="auto"/>
              <w:right w:val="nil"/>
            </w:tcBorders>
            <w:noWrap/>
            <w:hideMark/>
          </w:tcPr>
          <w:p>
            <w:pPr>
              <w:rPr>
                <w:rFonts w:asciiTheme="majorBidi" w:hAnsiTheme="majorBidi" w:cstheme="majorBidi"/>
                <w:noProof/>
              </w:rPr>
            </w:pPr>
          </w:p>
        </w:tc>
      </w:tr>
    </w:tbl>
    <w:p>
      <w:pPr>
        <w:pStyle w:val="Lignefinal"/>
        <w:rPr>
          <w:noProof/>
          <w:szCs w:val="22"/>
        </w:rPr>
      </w:pPr>
    </w:p>
    <w:p>
      <w:pPr>
        <w:spacing w:before="0" w:after="0"/>
        <w:rPr>
          <w:noProof/>
        </w:rPr>
        <w:sectPr>
          <w:pgSz w:w="11907" w:h="16840"/>
          <w:pgMar w:top="1134" w:right="1134" w:bottom="1134" w:left="1134" w:header="567" w:footer="567" w:gutter="0"/>
          <w:pgNumType w:start="84"/>
          <w:cols w:space="720"/>
          <w:docGrid w:linePitch="326"/>
        </w:sectPr>
      </w:pPr>
    </w:p>
    <w:p>
      <w:pPr>
        <w:jc w:val="center"/>
        <w:rPr>
          <w:b/>
          <w:noProof/>
          <w:szCs w:val="24"/>
        </w:rPr>
      </w:pPr>
      <w:r>
        <w:rPr>
          <w:b/>
          <w:noProof/>
        </w:rPr>
        <w:t>ПРИЛОЖЕНИЕ IГ</w:t>
      </w:r>
    </w:p>
    <w:p>
      <w:pPr>
        <w:pStyle w:val="NormalCentered"/>
        <w:rPr>
          <w:noProof/>
        </w:rPr>
      </w:pPr>
      <w:r>
        <w:rPr>
          <w:noProof/>
        </w:rPr>
        <w:t>ЗОНА НА КОНВЕНЦИЯТА ICCAT</w:t>
      </w:r>
    </w:p>
    <w:tbl>
      <w:tblPr>
        <w:tblW w:w="5000" w:type="pct"/>
        <w:tblLook w:val="06A0" w:firstRow="1" w:lastRow="0" w:firstColumn="1" w:lastColumn="0" w:noHBand="1" w:noVBand="1"/>
      </w:tblPr>
      <w:tblGrid>
        <w:gridCol w:w="1842"/>
        <w:gridCol w:w="1468"/>
        <w:gridCol w:w="142"/>
        <w:gridCol w:w="1269"/>
        <w:gridCol w:w="28"/>
        <w:gridCol w:w="30"/>
        <w:gridCol w:w="1234"/>
        <w:gridCol w:w="20"/>
        <w:gridCol w:w="3822"/>
      </w:tblGrid>
      <w:tr>
        <w:trPr>
          <w:trHeight w:val="227"/>
        </w:trPr>
        <w:tc>
          <w:tcPr>
            <w:tcW w:w="935" w:type="pct"/>
            <w:tcBorders>
              <w:top w:val="single" w:sz="8" w:space="0" w:color="auto"/>
              <w:left w:val="nil"/>
              <w:bottom w:val="single" w:sz="8" w:space="0" w:color="auto"/>
              <w:right w:val="nil"/>
            </w:tcBorders>
            <w:hideMark/>
          </w:tcPr>
          <w:p>
            <w:pPr>
              <w:spacing w:before="60" w:after="60"/>
              <w:rPr>
                <w:noProof/>
              </w:rPr>
            </w:pPr>
            <w:r>
              <w:rPr>
                <w:noProof/>
              </w:rPr>
              <w:t>Вид:</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Червен тон</w:t>
            </w:r>
          </w:p>
          <w:p>
            <w:pPr>
              <w:keepNext/>
              <w:tabs>
                <w:tab w:val="left" w:pos="850"/>
              </w:tabs>
              <w:spacing w:before="60" w:after="60"/>
              <w:ind w:left="850" w:hanging="850"/>
              <w:outlineLvl w:val="0"/>
              <w:rPr>
                <w:noProof/>
              </w:rPr>
            </w:pPr>
            <w:bookmarkStart w:id="3" w:name="_Toc26205832"/>
            <w:bookmarkStart w:id="4" w:name="_Toc26207249"/>
            <w:r>
              <w:rPr>
                <w:i/>
                <w:iCs/>
                <w:noProof/>
              </w:rPr>
              <w:t>Thunnus thynnus</w:t>
            </w:r>
            <w:bookmarkEnd w:id="3"/>
            <w:bookmarkEnd w:id="4"/>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1939" w:type="pct"/>
            <w:tcBorders>
              <w:top w:val="single" w:sz="8" w:space="0" w:color="auto"/>
              <w:left w:val="nil"/>
              <w:bottom w:val="single" w:sz="8" w:space="0" w:color="auto"/>
              <w:right w:val="nil"/>
            </w:tcBorders>
            <w:hideMark/>
          </w:tcPr>
          <w:p>
            <w:pPr>
              <w:spacing w:before="60" w:after="60"/>
              <w:rPr>
                <w:noProof/>
              </w:rPr>
            </w:pPr>
            <w:r>
              <w:rPr>
                <w:noProof/>
              </w:rPr>
              <w:t>Атлантически океан на изток от 45° з.д. и Средиземно море</w:t>
            </w:r>
          </w:p>
          <w:p>
            <w:pPr>
              <w:spacing w:before="60" w:after="60"/>
              <w:rPr>
                <w:noProof/>
              </w:rPr>
            </w:pPr>
            <w:r>
              <w:rPr>
                <w:noProof/>
              </w:rPr>
              <w:t>(BFT/AE45WM)</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Кипър</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spacing w:before="60" w:after="60"/>
              <w:rPr>
                <w:b/>
                <w:bCs/>
                <w:noProof/>
                <w:vertAlign w:val="superscript"/>
              </w:rPr>
            </w:pPr>
            <w:r>
              <w:rPr>
                <w:b/>
                <w:bCs/>
                <w:noProof/>
                <w:vertAlign w:val="superscript"/>
              </w:rPr>
              <w:t>(4)</w:t>
            </w:r>
          </w:p>
        </w:tc>
        <w:tc>
          <w:tcPr>
            <w:tcW w:w="2591" w:type="pct"/>
            <w:gridSpan w:val="4"/>
            <w:vMerge w:val="restart"/>
            <w:tcBorders>
              <w:top w:val="single" w:sz="8" w:space="0" w:color="auto"/>
              <w:left w:val="nil"/>
              <w:bottom w:val="nil"/>
              <w:right w:val="nil"/>
            </w:tcBorders>
            <w:hideMark/>
          </w:tcPr>
          <w:p>
            <w:pPr>
              <w:spacing w:before="60" w:after="60"/>
              <w:rPr>
                <w:noProof/>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935" w:type="pct"/>
            <w:hideMark/>
          </w:tcPr>
          <w:p>
            <w:pPr>
              <w:spacing w:before="60" w:after="60"/>
              <w:rPr>
                <w:noProof/>
              </w:rPr>
            </w:pPr>
            <w:r>
              <w:rPr>
                <w:noProof/>
              </w:rPr>
              <w:t>Гърция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(7)</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Испания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(2)(4)(7)</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Франция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 xml:space="preserve">(2)(3)(4) </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Хърватия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(6)</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Италия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(4)(5)</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Малта</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(4)</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Португалия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ind w:left="-969"/>
              <w:jc w:val="center"/>
              <w:rPr>
                <w:b/>
                <w:bCs/>
                <w:noProof/>
                <w:vertAlign w:val="superscript"/>
              </w:rPr>
            </w:pPr>
            <w:r>
              <w:rPr>
                <w:b/>
                <w:bCs/>
                <w:noProof/>
                <w:vertAlign w:val="superscript"/>
              </w:rPr>
              <w:t>(7)</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Други държави членки</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(1)</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Съюз</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noProof/>
              </w:rPr>
            </w:pPr>
            <w:r>
              <w:rPr>
                <w:b/>
                <w:bCs/>
                <w:noProof/>
                <w:vertAlign w:val="superscript"/>
              </w:rPr>
              <w:t>(2)(3)(4)(5)</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Специално допълнително разпределение</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(7)</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ОДУ</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b/>
                <w:bCs/>
                <w:noProof/>
                <w:vertAlign w:val="superscript"/>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pageBreakBefore/>
              <w:spacing w:before="60" w:after="60"/>
              <w:rPr>
                <w:b/>
                <w:bCs/>
                <w:noProof/>
                <w:vertAlign w:val="superscript"/>
              </w:rPr>
            </w:pPr>
            <w:r>
              <w:rPr>
                <w:b/>
                <w:bCs/>
                <w:noProof/>
                <w:vertAlign w:val="superscript"/>
              </w:rPr>
              <w:t>(1)</w:t>
            </w:r>
          </w:p>
        </w:tc>
        <w:tc>
          <w:tcPr>
            <w:tcW w:w="4065" w:type="pct"/>
            <w:gridSpan w:val="8"/>
            <w:hideMark/>
          </w:tcPr>
          <w:p>
            <w:pPr>
              <w:spacing w:before="60" w:after="60"/>
              <w:rPr>
                <w:noProof/>
              </w:rPr>
            </w:pPr>
            <w:r>
              <w:rPr>
                <w:noProof/>
              </w:rPr>
              <w:t>С изключение на Кипър, Гърция, Испания, Франция, Хърватия, Италия, Малта и Португалия и само като прилов. Уловът, който се приспада от тази обща квота, се докладва отделно (BFT/AE45WM_AMS).</w:t>
            </w:r>
          </w:p>
        </w:tc>
      </w:tr>
      <w:tr>
        <w:trPr>
          <w:trHeight w:val="227"/>
        </w:trPr>
        <w:tc>
          <w:tcPr>
            <w:tcW w:w="935" w:type="pct"/>
            <w:vMerge w:val="restart"/>
            <w:hideMark/>
          </w:tcPr>
          <w:p>
            <w:pPr>
              <w:spacing w:before="60" w:after="60"/>
              <w:jc w:val="right"/>
              <w:rPr>
                <w:b/>
                <w:bCs/>
                <w:noProof/>
                <w:vertAlign w:val="superscript"/>
              </w:rPr>
            </w:pPr>
            <w:r>
              <w:rPr>
                <w:b/>
                <w:bCs/>
                <w:noProof/>
                <w:vertAlign w:val="superscript"/>
              </w:rPr>
              <w:t>(2)</w:t>
            </w:r>
          </w:p>
        </w:tc>
        <w:tc>
          <w:tcPr>
            <w:tcW w:w="4065" w:type="pct"/>
            <w:gridSpan w:val="8"/>
            <w:hideMark/>
          </w:tcPr>
          <w:p>
            <w:pPr>
              <w:spacing w:before="60" w:after="60"/>
              <w:rPr>
                <w:noProof/>
              </w:rPr>
            </w:pPr>
            <w:r>
              <w:rPr>
                <w:noProof/>
              </w:rPr>
              <w:t>Специално условие: в рамките на този ОДУ по отношение на улова на червен тон от 8 kg/75 cm до 30 kg/115 cm, извършван от корабите, посочени в приложение VI, точка 1, се прилагат следните ограничения на улова и следното разпределение между държавите членки (BFT/*8301):</w:t>
            </w: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rPr>
            </w:pPr>
            <w:r>
              <w:rPr>
                <w:noProof/>
              </w:rPr>
              <w:t xml:space="preserve">Испания </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Франция</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Съюз</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935" w:type="pct"/>
            <w:vMerge w:val="restart"/>
            <w:hideMark/>
          </w:tcPr>
          <w:p>
            <w:pPr>
              <w:spacing w:before="60" w:after="60"/>
              <w:jc w:val="right"/>
              <w:rPr>
                <w:b/>
                <w:bCs/>
                <w:noProof/>
                <w:szCs w:val="24"/>
                <w:vertAlign w:val="superscript"/>
              </w:rPr>
            </w:pPr>
            <w:r>
              <w:rPr>
                <w:b/>
                <w:bCs/>
                <w:noProof/>
                <w:vertAlign w:val="superscript"/>
              </w:rPr>
              <w:t>(3)</w:t>
            </w:r>
          </w:p>
        </w:tc>
        <w:tc>
          <w:tcPr>
            <w:tcW w:w="4065" w:type="pct"/>
            <w:gridSpan w:val="8"/>
            <w:hideMark/>
          </w:tcPr>
          <w:p>
            <w:pPr>
              <w:spacing w:before="60" w:after="60"/>
              <w:rPr>
                <w:noProof/>
              </w:rPr>
            </w:pPr>
            <w:r>
              <w:rPr>
                <w:noProof/>
              </w:rPr>
              <w:t>Специално условие: в рамките на този ОДУ по отношение на улова на червен тон с тегло не по-малко от 6,4 kg или размер не по-малък от 70 cm, извършван от корабите, посочени в приложение VI, точка 1, се прилагат следните ограничения на улова и следното разпределение между държавите членки (BFT/*641):</w:t>
            </w: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rPr>
            </w:pPr>
            <w:r>
              <w:rPr>
                <w:noProof/>
              </w:rPr>
              <w:t>Франция</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 xml:space="preserve">Съюз </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935" w:type="pct"/>
            <w:vMerge w:val="restart"/>
            <w:hideMark/>
          </w:tcPr>
          <w:p>
            <w:pPr>
              <w:spacing w:before="60" w:after="60"/>
              <w:jc w:val="right"/>
              <w:rPr>
                <w:b/>
                <w:bCs/>
                <w:noProof/>
                <w:szCs w:val="24"/>
                <w:vertAlign w:val="superscript"/>
              </w:rPr>
            </w:pPr>
            <w:r>
              <w:rPr>
                <w:b/>
                <w:bCs/>
                <w:noProof/>
                <w:vertAlign w:val="superscript"/>
              </w:rPr>
              <w:t>(4)</w:t>
            </w:r>
          </w:p>
        </w:tc>
        <w:tc>
          <w:tcPr>
            <w:tcW w:w="4065" w:type="pct"/>
            <w:gridSpan w:val="8"/>
            <w:hideMark/>
          </w:tcPr>
          <w:p>
            <w:pPr>
              <w:spacing w:before="60" w:after="60"/>
              <w:rPr>
                <w:noProof/>
              </w:rPr>
            </w:pPr>
            <w:r>
              <w:rPr>
                <w:noProof/>
              </w:rPr>
              <w:t>Специално условие: в рамките на този ОДУ по отношение на улова на червен тон от 8 kg/75 cm до 30 kg/115 cm, извършван от корабите, посочени в приложение VI, точка 2, се прилагат следните ограничения на улова и следното разпределение между държавите членки (BFT/*8302):</w:t>
            </w: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rPr>
            </w:pPr>
            <w:r>
              <w:rPr>
                <w:noProof/>
              </w:rPr>
              <w:t>Испания</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Франция</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Италия</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Кипър</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 xml:space="preserve">Малта </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Съюз</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935" w:type="pct"/>
            <w:vMerge w:val="restart"/>
            <w:hideMark/>
          </w:tcPr>
          <w:p>
            <w:pPr>
              <w:pageBreakBefore/>
              <w:spacing w:before="60" w:after="60"/>
              <w:rPr>
                <w:b/>
                <w:bCs/>
                <w:noProof/>
                <w:szCs w:val="24"/>
                <w:vertAlign w:val="superscript"/>
              </w:rPr>
            </w:pPr>
            <w:r>
              <w:rPr>
                <w:b/>
                <w:bCs/>
                <w:noProof/>
                <w:vertAlign w:val="superscript"/>
              </w:rPr>
              <w:t>(5)</w:t>
            </w:r>
          </w:p>
        </w:tc>
        <w:tc>
          <w:tcPr>
            <w:tcW w:w="4065" w:type="pct"/>
            <w:gridSpan w:val="8"/>
            <w:hideMark/>
          </w:tcPr>
          <w:p>
            <w:pPr>
              <w:spacing w:before="60" w:after="60"/>
              <w:rPr>
                <w:noProof/>
              </w:rPr>
            </w:pPr>
            <w:r>
              <w:rPr>
                <w:noProof/>
              </w:rPr>
              <w:t>Специално условие: в рамките на този ОДУ по отношение на улова на червен тон от 8 kg/75 cm до 30 kg/115 cm, извършван от корабите, посочени в приложение VI, точка 3, се прилагат следните ограничения на улова и следното разпределение между държавите членки (BFT/*643):</w:t>
            </w: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rPr>
            </w:pPr>
            <w:r>
              <w:rPr>
                <w:noProof/>
              </w:rPr>
              <w:t>Италия</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Съюз</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935" w:type="pct"/>
            <w:vMerge w:val="restart"/>
            <w:hideMark/>
          </w:tcPr>
          <w:p>
            <w:pPr>
              <w:spacing w:before="60" w:after="60"/>
              <w:jc w:val="right"/>
              <w:rPr>
                <w:b/>
                <w:bCs/>
                <w:noProof/>
                <w:szCs w:val="24"/>
                <w:vertAlign w:val="superscript"/>
              </w:rPr>
            </w:pPr>
            <w:r>
              <w:rPr>
                <w:b/>
                <w:bCs/>
                <w:noProof/>
                <w:vertAlign w:val="superscript"/>
              </w:rPr>
              <w:t>(6)</w:t>
            </w:r>
          </w:p>
        </w:tc>
        <w:tc>
          <w:tcPr>
            <w:tcW w:w="4065" w:type="pct"/>
            <w:gridSpan w:val="8"/>
            <w:hideMark/>
          </w:tcPr>
          <w:p>
            <w:pPr>
              <w:spacing w:before="60" w:after="60"/>
              <w:rPr>
                <w:noProof/>
              </w:rPr>
            </w:pPr>
            <w:r>
              <w:rPr>
                <w:noProof/>
              </w:rPr>
              <w:t>Специално условие: в рамките на този ОДУ по отношение на улова на червен тон от 8 kg/75 cm до 30 kg/115 cm, извършван от корабите, посочени в приложение VI, точка 3, с цел отглеждане, се прилагат следните ограничения на улова и следните разпределения между държавите членки (BFT/*8303F):</w:t>
            </w: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rPr>
            </w:pPr>
            <w:r>
              <w:rPr>
                <w:noProof/>
              </w:rPr>
              <w:t>Хърватия</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0" w:type="auto"/>
            <w:vMerge/>
            <w:vAlign w:val="center"/>
            <w:hideMark/>
          </w:tcPr>
          <w:p>
            <w:pPr>
              <w:spacing w:before="0" w:after="0"/>
              <w:rPr>
                <w:b/>
                <w:bCs/>
                <w:noProof/>
                <w:szCs w:val="24"/>
                <w:vertAlign w:val="superscript"/>
              </w:rPr>
            </w:pPr>
          </w:p>
        </w:tc>
        <w:tc>
          <w:tcPr>
            <w:tcW w:w="817" w:type="pct"/>
            <w:gridSpan w:val="2"/>
            <w:hideMark/>
          </w:tcPr>
          <w:p>
            <w:pPr>
              <w:spacing w:before="60" w:after="60"/>
              <w:rPr>
                <w:noProof/>
                <w:szCs w:val="24"/>
              </w:rPr>
            </w:pPr>
            <w:r>
              <w:rPr>
                <w:noProof/>
              </w:rPr>
              <w:t>Съюз</w:t>
            </w:r>
          </w:p>
        </w:tc>
        <w:tc>
          <w:tcPr>
            <w:tcW w:w="658" w:type="pct"/>
            <w:gridSpan w:val="2"/>
            <w:hideMark/>
          </w:tcPr>
          <w:p>
            <w:pPr>
              <w:spacing w:before="60" w:after="60"/>
              <w:jc w:val="right"/>
              <w:rPr>
                <w:noProof/>
                <w:color w:val="000000"/>
              </w:rPr>
            </w:pPr>
            <w:r>
              <w:rPr>
                <w:rFonts w:asciiTheme="majorBidi" w:hAnsiTheme="majorBidi"/>
                <w:noProof/>
                <w:color w:val="000000"/>
              </w:rPr>
              <w:t>pm</w:t>
            </w:r>
          </w:p>
        </w:tc>
        <w:tc>
          <w:tcPr>
            <w:tcW w:w="651" w:type="pct"/>
            <w:gridSpan w:val="3"/>
          </w:tcPr>
          <w:p>
            <w:pPr>
              <w:spacing w:before="60" w:after="60"/>
              <w:rPr>
                <w:noProof/>
              </w:rPr>
            </w:pPr>
          </w:p>
        </w:tc>
        <w:tc>
          <w:tcPr>
            <w:tcW w:w="1939" w:type="pct"/>
            <w:hideMark/>
          </w:tcPr>
          <w:p>
            <w:pPr>
              <w:rPr>
                <w:noProof/>
              </w:rPr>
            </w:pPr>
          </w:p>
        </w:tc>
      </w:tr>
      <w:tr>
        <w:trPr>
          <w:trHeight w:val="227"/>
        </w:trPr>
        <w:tc>
          <w:tcPr>
            <w:tcW w:w="935" w:type="pct"/>
            <w:vMerge w:val="restart"/>
            <w:tcBorders>
              <w:top w:val="nil"/>
              <w:left w:val="nil"/>
              <w:bottom w:val="single" w:sz="4" w:space="0" w:color="auto"/>
              <w:right w:val="nil"/>
            </w:tcBorders>
            <w:hideMark/>
          </w:tcPr>
          <w:p>
            <w:pPr>
              <w:spacing w:before="60" w:after="60"/>
              <w:jc w:val="right"/>
              <w:rPr>
                <w:noProof/>
                <w:szCs w:val="24"/>
              </w:rPr>
            </w:pPr>
            <w:r>
              <w:rPr>
                <w:b/>
                <w:bCs/>
                <w:noProof/>
                <w:vertAlign w:val="superscript"/>
              </w:rPr>
              <w:t>(7)</w:t>
            </w:r>
          </w:p>
        </w:tc>
        <w:tc>
          <w:tcPr>
            <w:tcW w:w="4065" w:type="pct"/>
            <w:gridSpan w:val="8"/>
            <w:hideMark/>
          </w:tcPr>
          <w:p>
            <w:pPr>
              <w:spacing w:before="60" w:after="60"/>
              <w:rPr>
                <w:noProof/>
              </w:rPr>
            </w:pPr>
            <w:r>
              <w:rPr>
                <w:noProof/>
              </w:rPr>
              <w:t>Както беше договорено на годишното заседание на ICCAT през 2018 г., в допълнение към отпуснатата квота от 19 360 тона през 2020 г. Европейският съюз ще получи допълнително разпределено количество от 100 тона, изключително за кораби за непромишлен риболов от определени архипелази в Гърция (островите в Йонийско море), Испания (Канарските острови) и Португалия (Азорските острови и Мадейра). Конкретното разпределение на това допълнително количество между съответните държави членки е следното (BFT/AVARCH):</w:t>
            </w: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rPr>
            </w:pPr>
          </w:p>
        </w:tc>
        <w:tc>
          <w:tcPr>
            <w:tcW w:w="745" w:type="pct"/>
            <w:hideMark/>
          </w:tcPr>
          <w:p>
            <w:pPr>
              <w:spacing w:before="60" w:after="60"/>
              <w:rPr>
                <w:noProof/>
              </w:rPr>
            </w:pPr>
            <w:r>
              <w:rPr>
                <w:noProof/>
              </w:rPr>
              <w:t>Гърция</w:t>
            </w:r>
          </w:p>
        </w:tc>
        <w:tc>
          <w:tcPr>
            <w:tcW w:w="716" w:type="pct"/>
            <w:gridSpan w:val="2"/>
            <w:hideMark/>
          </w:tcPr>
          <w:p>
            <w:pPr>
              <w:spacing w:before="60" w:after="60"/>
              <w:jc w:val="right"/>
              <w:rPr>
                <w:noProof/>
              </w:rPr>
            </w:pPr>
            <w:r>
              <w:rPr>
                <w:rFonts w:asciiTheme="majorBidi" w:hAnsiTheme="majorBidi"/>
                <w:noProof/>
                <w:color w:val="000000"/>
              </w:rPr>
              <w:t>pm</w:t>
            </w:r>
          </w:p>
        </w:tc>
        <w:tc>
          <w:tcPr>
            <w:tcW w:w="2605" w:type="pct"/>
            <w:gridSpan w:val="5"/>
          </w:tcPr>
          <w:p>
            <w:pPr>
              <w:spacing w:before="60" w:after="60"/>
              <w:rPr>
                <w:noProof/>
              </w:rPr>
            </w:pP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rPr>
            </w:pPr>
          </w:p>
        </w:tc>
        <w:tc>
          <w:tcPr>
            <w:tcW w:w="745" w:type="pct"/>
            <w:hideMark/>
          </w:tcPr>
          <w:p>
            <w:pPr>
              <w:spacing w:before="60" w:after="60"/>
              <w:rPr>
                <w:noProof/>
              </w:rPr>
            </w:pPr>
            <w:r>
              <w:rPr>
                <w:noProof/>
              </w:rPr>
              <w:t>Испания</w:t>
            </w:r>
          </w:p>
        </w:tc>
        <w:tc>
          <w:tcPr>
            <w:tcW w:w="716" w:type="pct"/>
            <w:gridSpan w:val="2"/>
            <w:hideMark/>
          </w:tcPr>
          <w:p>
            <w:pPr>
              <w:spacing w:before="60" w:after="60"/>
              <w:jc w:val="right"/>
              <w:rPr>
                <w:noProof/>
              </w:rPr>
            </w:pPr>
            <w:r>
              <w:rPr>
                <w:rFonts w:asciiTheme="majorBidi" w:hAnsiTheme="majorBidi"/>
                <w:noProof/>
                <w:color w:val="000000"/>
              </w:rPr>
              <w:t>pm</w:t>
            </w:r>
          </w:p>
        </w:tc>
        <w:tc>
          <w:tcPr>
            <w:tcW w:w="2605" w:type="pct"/>
            <w:gridSpan w:val="5"/>
          </w:tcPr>
          <w:p>
            <w:pPr>
              <w:spacing w:before="60" w:after="60"/>
              <w:rPr>
                <w:noProof/>
              </w:rPr>
            </w:pP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rPr>
            </w:pPr>
          </w:p>
        </w:tc>
        <w:tc>
          <w:tcPr>
            <w:tcW w:w="745" w:type="pct"/>
            <w:hideMark/>
          </w:tcPr>
          <w:p>
            <w:pPr>
              <w:spacing w:before="60" w:after="60"/>
              <w:rPr>
                <w:noProof/>
              </w:rPr>
            </w:pPr>
            <w:r>
              <w:rPr>
                <w:noProof/>
              </w:rPr>
              <w:t>Португалия</w:t>
            </w:r>
          </w:p>
        </w:tc>
        <w:tc>
          <w:tcPr>
            <w:tcW w:w="716" w:type="pct"/>
            <w:gridSpan w:val="2"/>
            <w:hideMark/>
          </w:tcPr>
          <w:p>
            <w:pPr>
              <w:spacing w:before="60" w:after="60"/>
              <w:jc w:val="right"/>
              <w:rPr>
                <w:noProof/>
              </w:rPr>
            </w:pPr>
            <w:r>
              <w:rPr>
                <w:rFonts w:asciiTheme="majorBidi" w:hAnsiTheme="majorBidi"/>
                <w:noProof/>
                <w:color w:val="000000"/>
              </w:rPr>
              <w:t>pm</w:t>
            </w:r>
          </w:p>
        </w:tc>
        <w:tc>
          <w:tcPr>
            <w:tcW w:w="2605" w:type="pct"/>
            <w:gridSpan w:val="5"/>
          </w:tcPr>
          <w:p>
            <w:pPr>
              <w:spacing w:before="60" w:after="60"/>
              <w:rPr>
                <w:noProof/>
              </w:rPr>
            </w:pP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rPr>
            </w:pPr>
          </w:p>
        </w:tc>
        <w:tc>
          <w:tcPr>
            <w:tcW w:w="745" w:type="pct"/>
            <w:tcBorders>
              <w:top w:val="nil"/>
              <w:left w:val="nil"/>
              <w:bottom w:val="single" w:sz="4" w:space="0" w:color="auto"/>
              <w:right w:val="nil"/>
            </w:tcBorders>
            <w:hideMark/>
          </w:tcPr>
          <w:p>
            <w:pPr>
              <w:spacing w:before="60" w:after="60"/>
              <w:rPr>
                <w:noProof/>
              </w:rPr>
            </w:pPr>
            <w:r>
              <w:rPr>
                <w:noProof/>
              </w:rPr>
              <w:t>Съюз</w:t>
            </w:r>
          </w:p>
        </w:tc>
        <w:tc>
          <w:tcPr>
            <w:tcW w:w="716" w:type="pct"/>
            <w:gridSpan w:val="2"/>
            <w:tcBorders>
              <w:top w:val="nil"/>
              <w:left w:val="nil"/>
              <w:bottom w:val="single" w:sz="4" w:space="0" w:color="auto"/>
              <w:right w:val="nil"/>
            </w:tcBorders>
            <w:hideMark/>
          </w:tcPr>
          <w:p>
            <w:pPr>
              <w:spacing w:before="60" w:after="60"/>
              <w:jc w:val="right"/>
              <w:rPr>
                <w:noProof/>
              </w:rPr>
            </w:pPr>
            <w:r>
              <w:rPr>
                <w:rFonts w:asciiTheme="majorBidi" w:hAnsiTheme="majorBidi"/>
                <w:noProof/>
                <w:color w:val="000000"/>
              </w:rPr>
              <w:t>pm</w:t>
            </w:r>
          </w:p>
        </w:tc>
        <w:tc>
          <w:tcPr>
            <w:tcW w:w="2605" w:type="pct"/>
            <w:gridSpan w:val="5"/>
            <w:tcBorders>
              <w:top w:val="nil"/>
              <w:left w:val="nil"/>
              <w:bottom w:val="single" w:sz="4" w:space="0" w:color="auto"/>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rPr>
            </w:pPr>
            <w:r>
              <w:rPr>
                <w:noProof/>
              </w:rPr>
              <w:br w:type="page"/>
              <w:t>Вид:</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Риба меч</w:t>
            </w:r>
          </w:p>
          <w:p>
            <w:pPr>
              <w:keepNext/>
              <w:tabs>
                <w:tab w:val="left" w:pos="850"/>
              </w:tabs>
              <w:spacing w:before="60" w:after="60"/>
              <w:ind w:left="850" w:hanging="850"/>
              <w:outlineLvl w:val="0"/>
              <w:rPr>
                <w:noProof/>
              </w:rPr>
            </w:pPr>
            <w:bookmarkStart w:id="5" w:name="_Toc26205833"/>
            <w:bookmarkStart w:id="6" w:name="_Toc26207250"/>
            <w:r>
              <w:rPr>
                <w:i/>
                <w:iCs/>
                <w:noProof/>
              </w:rPr>
              <w:t>Xiphias gladius</w:t>
            </w:r>
            <w:bookmarkEnd w:id="5"/>
            <w:bookmarkEnd w:id="6"/>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1939" w:type="pct"/>
            <w:tcBorders>
              <w:top w:val="single" w:sz="8" w:space="0" w:color="auto"/>
              <w:left w:val="nil"/>
              <w:bottom w:val="single" w:sz="8" w:space="0" w:color="auto"/>
              <w:right w:val="nil"/>
            </w:tcBorders>
            <w:hideMark/>
          </w:tcPr>
          <w:p>
            <w:pPr>
              <w:spacing w:before="60" w:after="60"/>
              <w:rPr>
                <w:noProof/>
              </w:rPr>
            </w:pPr>
            <w:r>
              <w:rPr>
                <w:noProof/>
              </w:rPr>
              <w:t>Атлантически океан на север от 5° с.ш.</w:t>
            </w:r>
          </w:p>
          <w:p>
            <w:pPr>
              <w:spacing w:before="60" w:after="60"/>
              <w:rPr>
                <w:noProof/>
              </w:rPr>
            </w:pPr>
            <w:r>
              <w:rPr>
                <w:noProof/>
              </w:rPr>
              <w:t>(SWO/AN05N)</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Испания</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spacing w:before="60" w:after="60"/>
              <w:rPr>
                <w:b/>
                <w:bCs/>
                <w:noProof/>
                <w:vertAlign w:val="superscript"/>
              </w:rPr>
            </w:pPr>
            <w:r>
              <w:rPr>
                <w:b/>
                <w:bCs/>
                <w:noProof/>
                <w:vertAlign w:val="superscript"/>
              </w:rPr>
              <w:t>(2)</w:t>
            </w:r>
          </w:p>
        </w:tc>
        <w:tc>
          <w:tcPr>
            <w:tcW w:w="2591" w:type="pct"/>
            <w:gridSpan w:val="4"/>
            <w:vMerge w:val="restart"/>
            <w:tcBorders>
              <w:top w:val="single" w:sz="8" w:space="0" w:color="auto"/>
              <w:left w:val="nil"/>
              <w:bottom w:val="nil"/>
              <w:right w:val="nil"/>
            </w:tcBorders>
            <w:hideMark/>
          </w:tcPr>
          <w:p>
            <w:pPr>
              <w:spacing w:before="60" w:after="60"/>
              <w:rPr>
                <w:noProof/>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935" w:type="pct"/>
            <w:hideMark/>
          </w:tcPr>
          <w:p>
            <w:pPr>
              <w:spacing w:before="60" w:after="60"/>
              <w:rPr>
                <w:noProof/>
              </w:rPr>
            </w:pPr>
            <w:r>
              <w:rPr>
                <w:noProof/>
              </w:rPr>
              <w:t>Португалия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(2)(3)</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Други държави членки</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(1)(2)</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Съюз</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noProof/>
              </w:rPr>
            </w:pPr>
            <w:r>
              <w:rPr>
                <w:b/>
                <w:bCs/>
                <w:noProof/>
                <w:vertAlign w:val="superscript"/>
              </w:rPr>
              <w:t>(4)</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ОДУ</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jc w:val="right"/>
              <w:rPr>
                <w:b/>
                <w:bCs/>
                <w:noProof/>
                <w:vertAlign w:val="superscript"/>
              </w:rPr>
            </w:pPr>
            <w:r>
              <w:rPr>
                <w:b/>
                <w:bCs/>
                <w:noProof/>
                <w:vertAlign w:val="superscript"/>
              </w:rPr>
              <w:t>(1)</w:t>
            </w:r>
          </w:p>
        </w:tc>
        <w:tc>
          <w:tcPr>
            <w:tcW w:w="4065" w:type="pct"/>
            <w:gridSpan w:val="8"/>
            <w:hideMark/>
          </w:tcPr>
          <w:p>
            <w:pPr>
              <w:spacing w:before="60" w:after="60"/>
              <w:rPr>
                <w:noProof/>
              </w:rPr>
            </w:pPr>
            <w:r>
              <w:rPr>
                <w:noProof/>
              </w:rPr>
              <w:t>С изключение на Испания и Португалия и само като прилов. Уловът, който се приспада от тази обща квота, се докладва отделно (SWO/AN05N_AMS).</w:t>
            </w:r>
          </w:p>
        </w:tc>
      </w:tr>
      <w:tr>
        <w:trPr>
          <w:trHeight w:val="227"/>
        </w:trPr>
        <w:tc>
          <w:tcPr>
            <w:tcW w:w="935" w:type="pct"/>
            <w:hideMark/>
          </w:tcPr>
          <w:p>
            <w:pPr>
              <w:spacing w:before="60" w:after="60"/>
              <w:jc w:val="right"/>
              <w:rPr>
                <w:b/>
                <w:bCs/>
                <w:noProof/>
                <w:vertAlign w:val="superscript"/>
              </w:rPr>
            </w:pPr>
            <w:r>
              <w:rPr>
                <w:b/>
                <w:bCs/>
                <w:noProof/>
                <w:vertAlign w:val="superscript"/>
              </w:rPr>
              <w:t>(2)</w:t>
            </w:r>
          </w:p>
        </w:tc>
        <w:tc>
          <w:tcPr>
            <w:tcW w:w="4065" w:type="pct"/>
            <w:gridSpan w:val="8"/>
            <w:hideMark/>
          </w:tcPr>
          <w:p>
            <w:pPr>
              <w:spacing w:before="60" w:after="60"/>
              <w:rPr>
                <w:noProof/>
              </w:rPr>
            </w:pPr>
            <w:r>
              <w:rPr>
                <w:noProof/>
              </w:rPr>
              <w:t>Специално условие: до 2,39 % от това количество може да се ловят в Атлантическия океан на юг от 5° с.ш. (SWO/*AS05N). Уловът, който се приспада от специалното условие за общата квота, се докладва отделно (SWO/*AS05N_AMS).</w:t>
            </w:r>
          </w:p>
        </w:tc>
      </w:tr>
      <w:tr>
        <w:trPr>
          <w:trHeight w:val="227"/>
        </w:trPr>
        <w:tc>
          <w:tcPr>
            <w:tcW w:w="935" w:type="pct"/>
            <w:hideMark/>
          </w:tcPr>
          <w:p>
            <w:pPr>
              <w:spacing w:before="60" w:after="60"/>
              <w:jc w:val="right"/>
              <w:rPr>
                <w:b/>
                <w:bCs/>
                <w:noProof/>
                <w:vertAlign w:val="superscript"/>
              </w:rPr>
            </w:pPr>
            <w:r>
              <w:rPr>
                <w:b/>
                <w:bCs/>
                <w:noProof/>
                <w:vertAlign w:val="superscript"/>
              </w:rPr>
              <w:t>(3)</w:t>
            </w:r>
          </w:p>
        </w:tc>
        <w:tc>
          <w:tcPr>
            <w:tcW w:w="4065" w:type="pct"/>
            <w:gridSpan w:val="8"/>
            <w:hideMark/>
          </w:tcPr>
          <w:p>
            <w:pPr>
              <w:spacing w:before="60" w:after="60"/>
              <w:rPr>
                <w:noProof/>
              </w:rPr>
            </w:pPr>
            <w:r>
              <w:rPr>
                <w:noProof/>
              </w:rPr>
              <w:t>36,34 тона са разпределени на Португалия за компенсиране на двойно приспадане през 2018 г.</w:t>
            </w: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rPr>
            </w:pPr>
            <w:r>
              <w:rPr>
                <w:b/>
                <w:bCs/>
                <w:noProof/>
                <w:vertAlign w:val="superscript"/>
              </w:rPr>
              <w:t>(4)</w:t>
            </w:r>
          </w:p>
        </w:tc>
        <w:tc>
          <w:tcPr>
            <w:tcW w:w="4065" w:type="pct"/>
            <w:gridSpan w:val="8"/>
            <w:tcBorders>
              <w:top w:val="nil"/>
              <w:left w:val="nil"/>
              <w:bottom w:val="single" w:sz="8" w:space="0" w:color="auto"/>
              <w:right w:val="nil"/>
            </w:tcBorders>
            <w:hideMark/>
          </w:tcPr>
          <w:p>
            <w:pPr>
              <w:spacing w:before="60" w:after="60"/>
              <w:rPr>
                <w:noProof/>
              </w:rPr>
            </w:pPr>
            <w:r>
              <w:rPr>
                <w:noProof/>
              </w:rPr>
              <w:t>След прехвърлянето на 40 тона на Сен Пиер и Микелон (Препоръка 17-02 на ICCAT).</w:t>
            </w:r>
          </w:p>
        </w:tc>
      </w:tr>
      <w:tr>
        <w:trPr>
          <w:trHeight w:val="227"/>
        </w:trPr>
        <w:tc>
          <w:tcPr>
            <w:tcW w:w="5000" w:type="pct"/>
            <w:gridSpan w:val="9"/>
            <w:tcBorders>
              <w:top w:val="nil"/>
              <w:left w:val="nil"/>
              <w:bottom w:val="single" w:sz="8" w:space="0" w:color="auto"/>
              <w:right w:val="nil"/>
            </w:tcBorders>
            <w:hideMark/>
          </w:tcPr>
          <w:p>
            <w:pPr>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szCs w:val="24"/>
              </w:rPr>
            </w:pPr>
            <w:r>
              <w:rPr>
                <w:noProof/>
              </w:rPr>
              <w:t>Вид:</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Риба меч</w:t>
            </w:r>
          </w:p>
          <w:p>
            <w:pPr>
              <w:keepNext/>
              <w:tabs>
                <w:tab w:val="left" w:pos="850"/>
              </w:tabs>
              <w:spacing w:before="60" w:after="60"/>
              <w:ind w:left="850" w:hanging="850"/>
              <w:outlineLvl w:val="0"/>
              <w:rPr>
                <w:noProof/>
              </w:rPr>
            </w:pPr>
            <w:bookmarkStart w:id="7" w:name="_Toc26205834"/>
            <w:bookmarkStart w:id="8" w:name="_Toc26207251"/>
            <w:r>
              <w:rPr>
                <w:i/>
                <w:iCs/>
                <w:noProof/>
              </w:rPr>
              <w:t>Xiphias gladius</w:t>
            </w:r>
            <w:bookmarkEnd w:id="7"/>
            <w:bookmarkEnd w:id="8"/>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1939" w:type="pct"/>
            <w:tcBorders>
              <w:top w:val="single" w:sz="8" w:space="0" w:color="auto"/>
              <w:left w:val="nil"/>
              <w:bottom w:val="single" w:sz="8" w:space="0" w:color="auto"/>
              <w:right w:val="nil"/>
            </w:tcBorders>
            <w:hideMark/>
          </w:tcPr>
          <w:p>
            <w:pPr>
              <w:spacing w:before="60" w:after="60"/>
              <w:rPr>
                <w:noProof/>
              </w:rPr>
            </w:pPr>
            <w:r>
              <w:rPr>
                <w:noProof/>
              </w:rPr>
              <w:t>Атлантически океан на юг от 5° с.ш.</w:t>
            </w:r>
          </w:p>
          <w:p>
            <w:pPr>
              <w:spacing w:before="60" w:after="60"/>
              <w:rPr>
                <w:noProof/>
              </w:rPr>
            </w:pPr>
            <w:r>
              <w:rPr>
                <w:noProof/>
              </w:rPr>
              <w:t>(SWO/AN05N)</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Испания</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spacing w:before="60" w:after="60"/>
              <w:rPr>
                <w:b/>
                <w:bCs/>
                <w:noProof/>
                <w:vertAlign w:val="superscript"/>
              </w:rPr>
            </w:pPr>
            <w:r>
              <w:rPr>
                <w:b/>
                <w:bCs/>
                <w:noProof/>
                <w:vertAlign w:val="superscript"/>
              </w:rPr>
              <w:t>(1)</w:t>
            </w:r>
          </w:p>
        </w:tc>
        <w:tc>
          <w:tcPr>
            <w:tcW w:w="2591" w:type="pct"/>
            <w:gridSpan w:val="4"/>
            <w:vMerge w:val="restart"/>
            <w:tcBorders>
              <w:top w:val="single" w:sz="8" w:space="0" w:color="auto"/>
              <w:left w:val="nil"/>
              <w:bottom w:val="nil"/>
              <w:right w:val="nil"/>
            </w:tcBorders>
            <w:hideMark/>
          </w:tcPr>
          <w:p>
            <w:pPr>
              <w:spacing w:before="60" w:after="60"/>
              <w:rPr>
                <w:noProof/>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935" w:type="pct"/>
            <w:hideMark/>
          </w:tcPr>
          <w:p>
            <w:pPr>
              <w:spacing w:before="60" w:after="60"/>
              <w:rPr>
                <w:noProof/>
              </w:rPr>
            </w:pPr>
            <w:r>
              <w:rPr>
                <w:noProof/>
              </w:rPr>
              <w:t>Португалия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(1)</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Съюз</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rPr>
                <w:noProof/>
                <w:color w:val="000000"/>
                <w:lang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szCs w:val="24"/>
              </w:rPr>
            </w:pPr>
            <w:r>
              <w:rPr>
                <w:noProof/>
              </w:rPr>
              <w:t>ОДУ</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rPr>
            </w:pPr>
            <w:r>
              <w:rPr>
                <w:b/>
                <w:bCs/>
                <w:noProof/>
                <w:vertAlign w:val="superscript"/>
              </w:rPr>
              <w:t>(1)</w:t>
            </w:r>
          </w:p>
        </w:tc>
        <w:tc>
          <w:tcPr>
            <w:tcW w:w="4065" w:type="pct"/>
            <w:gridSpan w:val="8"/>
            <w:tcBorders>
              <w:top w:val="nil"/>
              <w:left w:val="nil"/>
              <w:bottom w:val="single" w:sz="8" w:space="0" w:color="auto"/>
              <w:right w:val="nil"/>
            </w:tcBorders>
            <w:hideMark/>
          </w:tcPr>
          <w:p>
            <w:pPr>
              <w:spacing w:before="60" w:after="60"/>
              <w:rPr>
                <w:noProof/>
              </w:rPr>
            </w:pPr>
            <w:r>
              <w:rPr>
                <w:noProof/>
              </w:rPr>
              <w:t>Специално условие: до 3,51 % от това количество може да се ловят в Атлантическия океан на север от 5° с.ш. (SWO/*AN05N).</w:t>
            </w:r>
          </w:p>
        </w:tc>
      </w:tr>
      <w:tr>
        <w:trPr>
          <w:trHeight w:val="227"/>
        </w:trPr>
        <w:tc>
          <w:tcPr>
            <w:tcW w:w="5000" w:type="pct"/>
            <w:gridSpan w:val="9"/>
            <w:tcBorders>
              <w:top w:val="nil"/>
              <w:left w:val="nil"/>
              <w:bottom w:val="single" w:sz="4" w:space="0" w:color="auto"/>
              <w:right w:val="nil"/>
            </w:tcBorders>
            <w:hideMark/>
          </w:tcPr>
          <w:p>
            <w:pPr>
              <w:rPr>
                <w:noProof/>
              </w:rPr>
            </w:pPr>
          </w:p>
        </w:tc>
      </w:tr>
      <w:tr>
        <w:trPr>
          <w:trHeight w:val="227"/>
        </w:trPr>
        <w:tc>
          <w:tcPr>
            <w:tcW w:w="935" w:type="pct"/>
            <w:tcBorders>
              <w:top w:val="single" w:sz="4" w:space="0" w:color="auto"/>
              <w:left w:val="nil"/>
              <w:bottom w:val="single" w:sz="4" w:space="0" w:color="auto"/>
              <w:right w:val="nil"/>
            </w:tcBorders>
            <w:hideMark/>
          </w:tcPr>
          <w:p>
            <w:pPr>
              <w:pageBreakBefore/>
              <w:spacing w:before="60" w:after="60"/>
              <w:rPr>
                <w:noProof/>
                <w:szCs w:val="24"/>
              </w:rPr>
            </w:pPr>
            <w:r>
              <w:rPr>
                <w:noProof/>
              </w:rPr>
              <w:t>Вид:</w:t>
            </w:r>
          </w:p>
        </w:tc>
        <w:tc>
          <w:tcPr>
            <w:tcW w:w="1475" w:type="pct"/>
            <w:gridSpan w:val="4"/>
            <w:tcBorders>
              <w:top w:val="single" w:sz="4" w:space="0" w:color="auto"/>
              <w:left w:val="nil"/>
              <w:bottom w:val="single" w:sz="4" w:space="0" w:color="auto"/>
              <w:right w:val="single" w:sz="4" w:space="0" w:color="auto"/>
            </w:tcBorders>
            <w:hideMark/>
          </w:tcPr>
          <w:p>
            <w:pPr>
              <w:spacing w:before="60" w:after="60"/>
              <w:rPr>
                <w:noProof/>
              </w:rPr>
            </w:pPr>
            <w:r>
              <w:rPr>
                <w:noProof/>
              </w:rPr>
              <w:t>Риба меч</w:t>
            </w:r>
          </w:p>
          <w:p>
            <w:pPr>
              <w:spacing w:before="60" w:after="60"/>
              <w:rPr>
                <w:i/>
                <w:iCs/>
                <w:noProof/>
              </w:rPr>
            </w:pPr>
            <w:r>
              <w:rPr>
                <w:i/>
                <w:iCs/>
                <w:noProof/>
              </w:rPr>
              <w:t>Xiphias gladius</w:t>
            </w:r>
          </w:p>
        </w:tc>
        <w:tc>
          <w:tcPr>
            <w:tcW w:w="651" w:type="pct"/>
            <w:gridSpan w:val="3"/>
            <w:tcBorders>
              <w:top w:val="single" w:sz="4" w:space="0" w:color="auto"/>
              <w:left w:val="single" w:sz="4" w:space="0" w:color="auto"/>
              <w:bottom w:val="single" w:sz="4" w:space="0" w:color="auto"/>
              <w:right w:val="nil"/>
            </w:tcBorders>
            <w:hideMark/>
          </w:tcPr>
          <w:p>
            <w:pPr>
              <w:spacing w:before="60" w:after="60"/>
              <w:rPr>
                <w:noProof/>
              </w:rPr>
            </w:pPr>
            <w:r>
              <w:rPr>
                <w:noProof/>
              </w:rPr>
              <w:t>Зона:</w:t>
            </w:r>
          </w:p>
        </w:tc>
        <w:tc>
          <w:tcPr>
            <w:tcW w:w="1939" w:type="pct"/>
            <w:tcBorders>
              <w:top w:val="single" w:sz="4" w:space="0" w:color="auto"/>
              <w:left w:val="nil"/>
              <w:bottom w:val="single" w:sz="4" w:space="0" w:color="auto"/>
              <w:right w:val="nil"/>
            </w:tcBorders>
            <w:hideMark/>
          </w:tcPr>
          <w:p>
            <w:pPr>
              <w:spacing w:before="60" w:after="60"/>
              <w:rPr>
                <w:noProof/>
              </w:rPr>
            </w:pPr>
            <w:r>
              <w:rPr>
                <w:noProof/>
              </w:rPr>
              <w:t>Средиземно море</w:t>
            </w:r>
          </w:p>
          <w:p>
            <w:pPr>
              <w:spacing w:before="60" w:after="60"/>
              <w:rPr>
                <w:noProof/>
              </w:rPr>
            </w:pPr>
            <w:r>
              <w:rPr>
                <w:noProof/>
              </w:rPr>
              <w:t>(SWO/MED)</w:t>
            </w:r>
          </w:p>
        </w:tc>
      </w:tr>
      <w:tr>
        <w:trPr>
          <w:trHeight w:val="227"/>
        </w:trPr>
        <w:tc>
          <w:tcPr>
            <w:tcW w:w="935" w:type="pct"/>
            <w:tcBorders>
              <w:top w:val="single" w:sz="4" w:space="0" w:color="auto"/>
              <w:left w:val="nil"/>
              <w:bottom w:val="nil"/>
              <w:right w:val="nil"/>
            </w:tcBorders>
            <w:hideMark/>
          </w:tcPr>
          <w:p>
            <w:pPr>
              <w:spacing w:before="60" w:after="60"/>
              <w:rPr>
                <w:noProof/>
              </w:rPr>
            </w:pPr>
            <w:r>
              <w:rPr>
                <w:noProof/>
              </w:rPr>
              <w:t>Хърватия</w:t>
            </w:r>
          </w:p>
        </w:tc>
        <w:tc>
          <w:tcPr>
            <w:tcW w:w="817" w:type="pct"/>
            <w:gridSpan w:val="2"/>
            <w:tcBorders>
              <w:top w:val="single" w:sz="4"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73" w:type="pct"/>
            <w:gridSpan w:val="3"/>
            <w:tcBorders>
              <w:top w:val="single" w:sz="4" w:space="0" w:color="auto"/>
              <w:left w:val="nil"/>
              <w:bottom w:val="nil"/>
              <w:right w:val="nil"/>
            </w:tcBorders>
            <w:hideMark/>
          </w:tcPr>
          <w:p>
            <w:pPr>
              <w:spacing w:before="60" w:after="60"/>
              <w:rPr>
                <w:noProof/>
              </w:rPr>
            </w:pPr>
            <w:r>
              <w:rPr>
                <w:b/>
                <w:bCs/>
                <w:noProof/>
                <w:vertAlign w:val="superscript"/>
              </w:rPr>
              <w:t>(1)</w:t>
            </w:r>
          </w:p>
        </w:tc>
        <w:tc>
          <w:tcPr>
            <w:tcW w:w="2575" w:type="pct"/>
            <w:gridSpan w:val="3"/>
            <w:vMerge w:val="restart"/>
            <w:tcBorders>
              <w:top w:val="single" w:sz="4" w:space="0" w:color="auto"/>
              <w:left w:val="nil"/>
              <w:bottom w:val="nil"/>
              <w:right w:val="nil"/>
            </w:tcBorders>
            <w:hideMark/>
          </w:tcPr>
          <w:p>
            <w:pPr>
              <w:spacing w:before="60" w:after="60"/>
              <w:rPr>
                <w:noProof/>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935" w:type="pct"/>
            <w:hideMark/>
          </w:tcPr>
          <w:p>
            <w:pPr>
              <w:spacing w:before="60" w:after="60"/>
              <w:rPr>
                <w:noProof/>
              </w:rPr>
            </w:pPr>
            <w:r>
              <w:rPr>
                <w:noProof/>
              </w:rPr>
              <w:t>Кипър</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Испания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Франция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Гърция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Италия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Малта</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Съюз</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hideMark/>
          </w:tcPr>
          <w:p>
            <w:pPr>
              <w:spacing w:before="60" w:after="60"/>
              <w:rPr>
                <w:noProof/>
              </w:rPr>
            </w:pPr>
            <w:r>
              <w:rPr>
                <w:b/>
                <w:bCs/>
                <w:noProof/>
                <w:vertAlign w:val="superscript"/>
              </w:rPr>
              <w:t>(1)</w:t>
            </w: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ОДУ</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73" w:type="pct"/>
            <w:gridSpan w:val="3"/>
          </w:tcPr>
          <w:p>
            <w:pPr>
              <w:spacing w:before="60" w:after="60"/>
              <w:rPr>
                <w:noProof/>
              </w:rPr>
            </w:pPr>
          </w:p>
        </w:tc>
        <w:tc>
          <w:tcPr>
            <w:tcW w:w="0" w:type="auto"/>
            <w:gridSpan w:val="3"/>
            <w:vMerge/>
            <w:tcBorders>
              <w:top w:val="single" w:sz="4" w:space="0" w:color="auto"/>
              <w:left w:val="nil"/>
              <w:bottom w:val="nil"/>
              <w:right w:val="nil"/>
            </w:tcBorders>
            <w:vAlign w:val="center"/>
            <w:hideMark/>
          </w:tcPr>
          <w:p>
            <w:pPr>
              <w:spacing w:before="0" w:after="0"/>
              <w:rPr>
                <w:noProof/>
                <w:szCs w:val="24"/>
              </w:rPr>
            </w:pPr>
          </w:p>
        </w:tc>
      </w:tr>
      <w:tr>
        <w:trPr>
          <w:trHeight w:val="227"/>
        </w:trPr>
        <w:tc>
          <w:tcPr>
            <w:tcW w:w="935" w:type="pct"/>
            <w:tcBorders>
              <w:top w:val="nil"/>
              <w:left w:val="nil"/>
              <w:bottom w:val="single" w:sz="4" w:space="0" w:color="auto"/>
              <w:right w:val="nil"/>
            </w:tcBorders>
            <w:hideMark/>
          </w:tcPr>
          <w:p>
            <w:pPr>
              <w:spacing w:before="60" w:after="60"/>
              <w:jc w:val="right"/>
              <w:rPr>
                <w:noProof/>
              </w:rPr>
            </w:pPr>
            <w:r>
              <w:rPr>
                <w:b/>
                <w:bCs/>
                <w:noProof/>
                <w:vertAlign w:val="superscript"/>
              </w:rPr>
              <w:t>(1)</w:t>
            </w:r>
          </w:p>
        </w:tc>
        <w:tc>
          <w:tcPr>
            <w:tcW w:w="4065" w:type="pct"/>
            <w:gridSpan w:val="8"/>
            <w:tcBorders>
              <w:top w:val="nil"/>
              <w:left w:val="nil"/>
              <w:bottom w:val="single" w:sz="4" w:space="0" w:color="auto"/>
              <w:right w:val="nil"/>
            </w:tcBorders>
            <w:hideMark/>
          </w:tcPr>
          <w:p>
            <w:pPr>
              <w:spacing w:before="60" w:after="60"/>
              <w:rPr>
                <w:noProof/>
              </w:rPr>
            </w:pPr>
            <w:r>
              <w:rPr>
                <w:noProof/>
              </w:rPr>
              <w:t>Риболов по тази квота може да се извършва само от 1 април до 31 декември.</w:t>
            </w:r>
          </w:p>
        </w:tc>
      </w:tr>
      <w:tr>
        <w:trPr>
          <w:trHeight w:val="227"/>
        </w:trPr>
        <w:tc>
          <w:tcPr>
            <w:tcW w:w="5000" w:type="pct"/>
            <w:gridSpan w:val="9"/>
            <w:tcBorders>
              <w:top w:val="single" w:sz="4" w:space="0" w:color="auto"/>
              <w:left w:val="nil"/>
              <w:bottom w:val="nil"/>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rPr>
            </w:pPr>
            <w:r>
              <w:rPr>
                <w:noProof/>
              </w:rPr>
              <w:t>Вид:</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Северен бял тон</w:t>
            </w:r>
          </w:p>
          <w:p>
            <w:pPr>
              <w:keepNext/>
              <w:tabs>
                <w:tab w:val="left" w:pos="850"/>
              </w:tabs>
              <w:spacing w:before="60" w:after="60"/>
              <w:ind w:left="850" w:hanging="850"/>
              <w:outlineLvl w:val="0"/>
              <w:rPr>
                <w:noProof/>
              </w:rPr>
            </w:pPr>
            <w:bookmarkStart w:id="9" w:name="_Toc26205835"/>
            <w:bookmarkStart w:id="10" w:name="_Toc26207252"/>
            <w:r>
              <w:rPr>
                <w:i/>
                <w:iCs/>
                <w:noProof/>
              </w:rPr>
              <w:t>Thunnus alalunga</w:t>
            </w:r>
            <w:bookmarkEnd w:id="9"/>
            <w:bookmarkEnd w:id="10"/>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1939" w:type="pct"/>
            <w:tcBorders>
              <w:top w:val="single" w:sz="8" w:space="0" w:color="auto"/>
              <w:left w:val="nil"/>
              <w:bottom w:val="single" w:sz="8" w:space="0" w:color="auto"/>
              <w:right w:val="nil"/>
            </w:tcBorders>
            <w:hideMark/>
          </w:tcPr>
          <w:p>
            <w:pPr>
              <w:spacing w:before="60" w:after="60"/>
              <w:rPr>
                <w:noProof/>
              </w:rPr>
            </w:pPr>
            <w:r>
              <w:rPr>
                <w:noProof/>
              </w:rPr>
              <w:t>Атлантически океан на север от 5° с.ш.</w:t>
            </w:r>
          </w:p>
          <w:p>
            <w:pPr>
              <w:spacing w:before="60" w:after="60"/>
              <w:rPr>
                <w:noProof/>
              </w:rPr>
            </w:pPr>
            <w:r>
              <w:rPr>
                <w:noProof/>
              </w:rPr>
              <w:t>(ALB/AN05N)</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Ирландия</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rPr>
                <w:noProof/>
                <w:color w:val="000000"/>
                <w:lang w:eastAsia="en-GB"/>
              </w:rPr>
            </w:pPr>
          </w:p>
        </w:tc>
        <w:tc>
          <w:tcPr>
            <w:tcW w:w="2591" w:type="pct"/>
            <w:gridSpan w:val="4"/>
            <w:vMerge w:val="restart"/>
            <w:tcBorders>
              <w:top w:val="single" w:sz="8" w:space="0" w:color="auto"/>
              <w:left w:val="nil"/>
              <w:bottom w:val="nil"/>
              <w:right w:val="nil"/>
            </w:tcBorders>
            <w:hideMark/>
          </w:tcPr>
          <w:p>
            <w:pPr>
              <w:spacing w:before="60" w:after="60"/>
              <w:rPr>
                <w:noProof/>
                <w:szCs w:val="24"/>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935" w:type="pct"/>
            <w:hideMark/>
          </w:tcPr>
          <w:p>
            <w:pPr>
              <w:spacing w:before="60" w:after="60"/>
              <w:rPr>
                <w:noProof/>
              </w:rPr>
            </w:pPr>
            <w:r>
              <w:rPr>
                <w:noProof/>
              </w:rPr>
              <w:t>Испания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rPr>
                <w:noProof/>
                <w:color w:val="000000"/>
                <w:lang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szCs w:val="24"/>
              </w:rPr>
            </w:pPr>
            <w:r>
              <w:rPr>
                <w:noProof/>
              </w:rPr>
              <w:t>Франция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rPr>
                <w:noProof/>
                <w:color w:val="000000"/>
                <w:lang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Pr>
          <w:p>
            <w:pPr>
              <w:spacing w:before="60" w:after="60"/>
              <w:rPr>
                <w:noProof/>
                <w:szCs w:val="24"/>
              </w:rPr>
            </w:pPr>
            <w:r>
              <w:rPr>
                <w:noProof/>
              </w:rPr>
              <w:t>Португалия</w:t>
            </w:r>
          </w:p>
        </w:tc>
        <w:tc>
          <w:tcPr>
            <w:tcW w:w="817" w:type="pct"/>
            <w:gridSpan w:val="2"/>
          </w:tcPr>
          <w:p>
            <w:pPr>
              <w:spacing w:before="60" w:after="60"/>
              <w:jc w:val="right"/>
              <w:rPr>
                <w:noProof/>
                <w:color w:val="000000"/>
              </w:rPr>
            </w:pPr>
            <w:r>
              <w:rPr>
                <w:rFonts w:asciiTheme="majorBidi" w:hAnsiTheme="majorBidi"/>
                <w:noProof/>
                <w:color w:val="000000"/>
              </w:rPr>
              <w:t>pm</w:t>
            </w:r>
          </w:p>
        </w:tc>
        <w:tc>
          <w:tcPr>
            <w:tcW w:w="658" w:type="pct"/>
            <w:gridSpan w:val="2"/>
          </w:tcPr>
          <w:p>
            <w:pPr>
              <w:rPr>
                <w:noProof/>
                <w:color w:val="000000"/>
                <w:lang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Pr>
          <w:p>
            <w:pPr>
              <w:spacing w:before="60" w:after="60"/>
              <w:rPr>
                <w:noProof/>
                <w:szCs w:val="24"/>
              </w:rPr>
            </w:pPr>
            <w:r>
              <w:rPr>
                <w:noProof/>
              </w:rPr>
              <w:t>Съюз</w:t>
            </w:r>
          </w:p>
        </w:tc>
        <w:tc>
          <w:tcPr>
            <w:tcW w:w="817" w:type="pct"/>
            <w:gridSpan w:val="2"/>
          </w:tcPr>
          <w:p>
            <w:pPr>
              <w:spacing w:before="60" w:after="60"/>
              <w:jc w:val="right"/>
              <w:rPr>
                <w:noProof/>
                <w:color w:val="000000"/>
              </w:rPr>
            </w:pPr>
            <w:r>
              <w:rPr>
                <w:rFonts w:asciiTheme="majorBidi" w:hAnsiTheme="majorBidi"/>
                <w:noProof/>
                <w:color w:val="000000"/>
              </w:rPr>
              <w:t>pm</w:t>
            </w:r>
          </w:p>
        </w:tc>
        <w:tc>
          <w:tcPr>
            <w:tcW w:w="658" w:type="pct"/>
            <w:gridSpan w:val="2"/>
          </w:tcPr>
          <w:p>
            <w:pPr>
              <w:rPr>
                <w:noProof/>
                <w:color w:val="000000"/>
              </w:rPr>
            </w:pPr>
            <w:r>
              <w:rPr>
                <w:b/>
                <w:bCs/>
                <w:noProof/>
                <w:vertAlign w:val="superscript"/>
              </w:rPr>
              <w:t>(1)</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ОДУ</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rPr>
            </w:pPr>
            <w:r>
              <w:rPr>
                <w:b/>
                <w:bCs/>
                <w:noProof/>
                <w:vertAlign w:val="superscript"/>
              </w:rPr>
              <w:t>(1)</w:t>
            </w:r>
          </w:p>
        </w:tc>
        <w:tc>
          <w:tcPr>
            <w:tcW w:w="4065" w:type="pct"/>
            <w:gridSpan w:val="8"/>
            <w:tcBorders>
              <w:top w:val="nil"/>
              <w:left w:val="nil"/>
              <w:bottom w:val="single" w:sz="8" w:space="0" w:color="auto"/>
              <w:right w:val="nil"/>
            </w:tcBorders>
            <w:hideMark/>
          </w:tcPr>
          <w:p>
            <w:pPr>
              <w:spacing w:before="60" w:after="60"/>
              <w:rPr>
                <w:noProof/>
              </w:rPr>
            </w:pPr>
            <w:r>
              <w:rPr>
                <w:noProof/>
              </w:rPr>
              <w:t>Броят риболовни кораби на Съюза, извършващи риболов на северен бял тон като целеви вид в съответствие с член 12 от Регламент (ЕО) № 520/2007, е следният:</w:t>
            </w:r>
          </w:p>
          <w:p>
            <w:pPr>
              <w:spacing w:before="60" w:after="60"/>
              <w:rPr>
                <w:noProof/>
              </w:rPr>
            </w:pPr>
            <w:r>
              <w:rPr>
                <w:rFonts w:asciiTheme="majorBidi" w:hAnsiTheme="majorBidi"/>
                <w:noProof/>
                <w:color w:val="000000"/>
              </w:rPr>
              <w:t>pm</w:t>
            </w:r>
            <w:r>
              <w:rPr>
                <w:noProof/>
              </w:rPr>
              <w:t>.</w:t>
            </w:r>
          </w:p>
        </w:tc>
      </w:tr>
      <w:tr>
        <w:trPr>
          <w:trHeight w:val="227"/>
        </w:trPr>
        <w:tc>
          <w:tcPr>
            <w:tcW w:w="5000" w:type="pct"/>
            <w:gridSpan w:val="9"/>
            <w:tcBorders>
              <w:top w:val="single" w:sz="8" w:space="0" w:color="auto"/>
              <w:left w:val="nil"/>
              <w:bottom w:val="single" w:sz="8" w:space="0" w:color="auto"/>
              <w:right w:val="nil"/>
            </w:tcBorders>
            <w:hideMark/>
          </w:tcPr>
          <w:p>
            <w:pPr>
              <w:rPr>
                <w:noProof/>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szCs w:val="24"/>
              </w:rPr>
            </w:pPr>
            <w:r>
              <w:rPr>
                <w:noProof/>
              </w:rPr>
              <w:t>Вид:</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Южен бял тон</w:t>
            </w:r>
          </w:p>
          <w:p>
            <w:pPr>
              <w:keepNext/>
              <w:tabs>
                <w:tab w:val="left" w:pos="850"/>
              </w:tabs>
              <w:spacing w:before="60" w:after="60"/>
              <w:ind w:left="850" w:hanging="850"/>
              <w:outlineLvl w:val="0"/>
              <w:rPr>
                <w:noProof/>
              </w:rPr>
            </w:pPr>
            <w:bookmarkStart w:id="11" w:name="_Toc26205836"/>
            <w:bookmarkStart w:id="12" w:name="_Toc26207253"/>
            <w:r>
              <w:rPr>
                <w:i/>
                <w:iCs/>
                <w:noProof/>
              </w:rPr>
              <w:t>Thunnus alalunga</w:t>
            </w:r>
            <w:bookmarkEnd w:id="11"/>
            <w:bookmarkEnd w:id="12"/>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1939" w:type="pct"/>
            <w:tcBorders>
              <w:top w:val="single" w:sz="8" w:space="0" w:color="auto"/>
              <w:left w:val="nil"/>
              <w:bottom w:val="single" w:sz="8" w:space="0" w:color="auto"/>
              <w:right w:val="nil"/>
            </w:tcBorders>
            <w:hideMark/>
          </w:tcPr>
          <w:p>
            <w:pPr>
              <w:spacing w:before="60" w:after="60"/>
              <w:rPr>
                <w:noProof/>
              </w:rPr>
            </w:pPr>
            <w:r>
              <w:rPr>
                <w:noProof/>
              </w:rPr>
              <w:t>Атлантически океан на юг от 5° с.ш.</w:t>
            </w:r>
          </w:p>
          <w:p>
            <w:pPr>
              <w:spacing w:before="60" w:after="60"/>
              <w:rPr>
                <w:noProof/>
              </w:rPr>
            </w:pPr>
            <w:r>
              <w:rPr>
                <w:noProof/>
              </w:rPr>
              <w:t>(ALB/AS05N)</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Испания</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tcPr>
          <w:p>
            <w:pPr>
              <w:spacing w:before="60" w:after="60"/>
              <w:rPr>
                <w:noProof/>
              </w:rPr>
            </w:pPr>
          </w:p>
        </w:tc>
        <w:tc>
          <w:tcPr>
            <w:tcW w:w="2591" w:type="pct"/>
            <w:gridSpan w:val="4"/>
            <w:vMerge w:val="restart"/>
            <w:tcBorders>
              <w:top w:val="single" w:sz="8" w:space="0" w:color="auto"/>
              <w:left w:val="nil"/>
              <w:bottom w:val="single" w:sz="8" w:space="0" w:color="auto"/>
              <w:right w:val="nil"/>
            </w:tcBorders>
            <w:hideMark/>
          </w:tcPr>
          <w:p>
            <w:pPr>
              <w:spacing w:before="60" w:after="60"/>
              <w:rPr>
                <w:noProof/>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935" w:type="pct"/>
            <w:hideMark/>
          </w:tcPr>
          <w:p>
            <w:pPr>
              <w:spacing w:before="60" w:after="60"/>
              <w:rPr>
                <w:noProof/>
              </w:rPr>
            </w:pPr>
            <w:r>
              <w:rPr>
                <w:noProof/>
              </w:rPr>
              <w:t>Франция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Португалия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Съюз</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rPr>
                <w:noProof/>
              </w:rPr>
            </w:pPr>
            <w:r>
              <w:rPr>
                <w:noProof/>
              </w:rPr>
              <w:t>ОДУ</w:t>
            </w:r>
          </w:p>
        </w:tc>
        <w:tc>
          <w:tcPr>
            <w:tcW w:w="817" w:type="pct"/>
            <w:gridSpan w:val="2"/>
            <w:tcBorders>
              <w:top w:val="nil"/>
              <w:left w:val="nil"/>
              <w:bottom w:val="single" w:sz="8" w:space="0" w:color="auto"/>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nil"/>
              <w:left w:val="nil"/>
              <w:bottom w:val="single" w:sz="8" w:space="0" w:color="auto"/>
              <w:right w:val="nil"/>
            </w:tcBorders>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5000" w:type="pct"/>
            <w:gridSpan w:val="9"/>
            <w:tcBorders>
              <w:top w:val="nil"/>
              <w:left w:val="nil"/>
              <w:bottom w:val="single" w:sz="8" w:space="0" w:color="auto"/>
              <w:right w:val="nil"/>
            </w:tcBorders>
            <w:hideMark/>
          </w:tcPr>
          <w:p>
            <w:pPr>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szCs w:val="24"/>
              </w:rPr>
            </w:pPr>
            <w:r>
              <w:rPr>
                <w:noProof/>
              </w:rPr>
              <w:t>Вид:</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Големоок тон</w:t>
            </w:r>
          </w:p>
          <w:p>
            <w:pPr>
              <w:keepNext/>
              <w:tabs>
                <w:tab w:val="left" w:pos="850"/>
              </w:tabs>
              <w:spacing w:before="60" w:after="60"/>
              <w:ind w:left="850" w:hanging="850"/>
              <w:outlineLvl w:val="0"/>
              <w:rPr>
                <w:noProof/>
              </w:rPr>
            </w:pPr>
            <w:bookmarkStart w:id="13" w:name="_Toc26205837"/>
            <w:bookmarkStart w:id="14" w:name="_Toc26207254"/>
            <w:r>
              <w:rPr>
                <w:i/>
                <w:iCs/>
                <w:noProof/>
              </w:rPr>
              <w:t>Thunnus obesus</w:t>
            </w:r>
            <w:bookmarkEnd w:id="13"/>
            <w:bookmarkEnd w:id="14"/>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1939" w:type="pct"/>
            <w:tcBorders>
              <w:top w:val="single" w:sz="8" w:space="0" w:color="auto"/>
              <w:left w:val="nil"/>
              <w:bottom w:val="single" w:sz="8" w:space="0" w:color="auto"/>
              <w:right w:val="nil"/>
            </w:tcBorders>
            <w:hideMark/>
          </w:tcPr>
          <w:p>
            <w:pPr>
              <w:spacing w:before="60" w:after="60"/>
              <w:rPr>
                <w:noProof/>
              </w:rPr>
            </w:pPr>
            <w:r>
              <w:rPr>
                <w:noProof/>
              </w:rPr>
              <w:t>Атлантически океан</w:t>
            </w:r>
          </w:p>
          <w:p>
            <w:pPr>
              <w:spacing w:before="60" w:after="60"/>
              <w:rPr>
                <w:noProof/>
              </w:rPr>
            </w:pPr>
            <w:r>
              <w:rPr>
                <w:noProof/>
              </w:rPr>
              <w:t>(BET/ATLANT)</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Испания</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tcPr>
          <w:p>
            <w:pPr>
              <w:spacing w:before="60" w:after="60"/>
              <w:rPr>
                <w:noProof/>
              </w:rPr>
            </w:pPr>
            <w:r>
              <w:rPr>
                <w:b/>
                <w:bCs/>
                <w:noProof/>
                <w:vertAlign w:val="superscript"/>
              </w:rPr>
              <w:t>(1)(2)</w:t>
            </w:r>
          </w:p>
        </w:tc>
        <w:tc>
          <w:tcPr>
            <w:tcW w:w="2591" w:type="pct"/>
            <w:gridSpan w:val="4"/>
            <w:vMerge w:val="restart"/>
            <w:tcBorders>
              <w:top w:val="single" w:sz="8" w:space="0" w:color="auto"/>
              <w:left w:val="nil"/>
              <w:bottom w:val="single" w:sz="8" w:space="0" w:color="auto"/>
              <w:right w:val="nil"/>
            </w:tcBorders>
            <w:hideMark/>
          </w:tcPr>
          <w:p>
            <w:pPr>
              <w:spacing w:before="60" w:after="60"/>
              <w:rPr>
                <w:noProof/>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935" w:type="pct"/>
            <w:hideMark/>
          </w:tcPr>
          <w:p>
            <w:pPr>
              <w:spacing w:before="60" w:after="60"/>
              <w:rPr>
                <w:noProof/>
              </w:rPr>
            </w:pPr>
            <w:r>
              <w:rPr>
                <w:noProof/>
              </w:rPr>
              <w:t>Франция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r>
              <w:rPr>
                <w:b/>
                <w:bCs/>
                <w:noProof/>
                <w:vertAlign w:val="superscript"/>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Португалия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r>
              <w:rPr>
                <w:b/>
                <w:bCs/>
                <w:noProof/>
                <w:vertAlign w:val="superscript"/>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Съюз</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r>
              <w:rPr>
                <w:b/>
                <w:bCs/>
                <w:noProof/>
                <w:vertAlign w:val="superscript"/>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rPr>
                <w:noProof/>
              </w:rPr>
            </w:pPr>
            <w:r>
              <w:rPr>
                <w:noProof/>
              </w:rPr>
              <w:t>ОДУ</w:t>
            </w:r>
          </w:p>
        </w:tc>
        <w:tc>
          <w:tcPr>
            <w:tcW w:w="817" w:type="pct"/>
            <w:gridSpan w:val="2"/>
            <w:tcBorders>
              <w:top w:val="nil"/>
              <w:left w:val="nil"/>
              <w:bottom w:val="single" w:sz="8" w:space="0" w:color="auto"/>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nil"/>
              <w:left w:val="nil"/>
              <w:bottom w:val="single" w:sz="8" w:space="0" w:color="auto"/>
              <w:right w:val="nil"/>
            </w:tcBorders>
          </w:tcPr>
          <w:p>
            <w:pPr>
              <w:spacing w:before="60" w:after="60"/>
              <w:rPr>
                <w:noProof/>
              </w:rPr>
            </w:pPr>
            <w:r>
              <w:rPr>
                <w:b/>
                <w:bCs/>
                <w:noProof/>
                <w:vertAlign w:val="superscript"/>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tcPr>
          <w:p>
            <w:pPr>
              <w:spacing w:before="60" w:after="60"/>
              <w:jc w:val="right"/>
              <w:rPr>
                <w:noProof/>
              </w:rPr>
            </w:pPr>
            <w:r>
              <w:rPr>
                <w:b/>
                <w:bCs/>
                <w:noProof/>
                <w:vertAlign w:val="superscript"/>
              </w:rPr>
              <w:t>(1)</w:t>
            </w:r>
          </w:p>
        </w:tc>
        <w:tc>
          <w:tcPr>
            <w:tcW w:w="4065" w:type="pct"/>
            <w:gridSpan w:val="8"/>
            <w:tcBorders>
              <w:top w:val="nil"/>
              <w:left w:val="nil"/>
              <w:bottom w:val="single" w:sz="8" w:space="0" w:color="auto"/>
              <w:right w:val="nil"/>
            </w:tcBorders>
          </w:tcPr>
          <w:p>
            <w:pPr>
              <w:spacing w:before="0" w:after="0"/>
              <w:rPr>
                <w:noProof/>
                <w:szCs w:val="24"/>
              </w:rPr>
            </w:pPr>
            <w:r>
              <w:rPr>
                <w:noProof/>
              </w:rPr>
              <w:t>Уловът на големоок тон, извършен от кораби с мрежи гъргър (BET/*ATLPS) и кораби с парагади с обща дължина 20 m и повече (BET/*ATLLL), се докладва отделно.</w:t>
            </w:r>
          </w:p>
        </w:tc>
      </w:tr>
      <w:tr>
        <w:trPr>
          <w:trHeight w:val="227"/>
        </w:trPr>
        <w:tc>
          <w:tcPr>
            <w:tcW w:w="935" w:type="pct"/>
            <w:tcBorders>
              <w:top w:val="nil"/>
              <w:left w:val="nil"/>
              <w:bottom w:val="single" w:sz="8" w:space="0" w:color="auto"/>
              <w:right w:val="nil"/>
            </w:tcBorders>
          </w:tcPr>
          <w:p>
            <w:pPr>
              <w:spacing w:before="60" w:after="60"/>
              <w:jc w:val="right"/>
              <w:rPr>
                <w:b/>
                <w:bCs/>
                <w:noProof/>
                <w:vertAlign w:val="superscript"/>
              </w:rPr>
            </w:pPr>
            <w:r>
              <w:rPr>
                <w:b/>
                <w:bCs/>
                <w:noProof/>
                <w:vertAlign w:val="superscript"/>
              </w:rPr>
              <w:t>(2)</w:t>
            </w:r>
          </w:p>
        </w:tc>
        <w:tc>
          <w:tcPr>
            <w:tcW w:w="4065" w:type="pct"/>
            <w:gridSpan w:val="8"/>
            <w:tcBorders>
              <w:top w:val="nil"/>
              <w:left w:val="nil"/>
              <w:bottom w:val="single" w:sz="8" w:space="0" w:color="auto"/>
              <w:right w:val="nil"/>
            </w:tcBorders>
          </w:tcPr>
          <w:p>
            <w:pPr>
              <w:spacing w:before="0" w:after="0"/>
              <w:rPr>
                <w:noProof/>
                <w:szCs w:val="24"/>
              </w:rPr>
            </w:pPr>
            <w:r>
              <w:rPr>
                <w:noProof/>
              </w:rPr>
              <w:t>Считано от юни 2021 г., когато уловът достигне 80 % от квотата, държавите членки са длъжни да предават данните за улова, извършен от посочените кораби, ежеседмично.</w:t>
            </w:r>
          </w:p>
        </w:tc>
      </w:tr>
      <w:tr>
        <w:trPr>
          <w:trHeight w:val="227"/>
        </w:trPr>
        <w:tc>
          <w:tcPr>
            <w:tcW w:w="5000" w:type="pct"/>
            <w:gridSpan w:val="9"/>
            <w:tcBorders>
              <w:top w:val="nil"/>
              <w:left w:val="nil"/>
              <w:bottom w:val="single" w:sz="8" w:space="0" w:color="auto"/>
              <w:right w:val="nil"/>
            </w:tcBorders>
            <w:hideMark/>
          </w:tcPr>
          <w:p>
            <w:pPr>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szCs w:val="24"/>
              </w:rPr>
            </w:pPr>
            <w:r>
              <w:rPr>
                <w:noProof/>
              </w:rPr>
              <w:t>Вид:</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Син марлин</w:t>
            </w:r>
          </w:p>
          <w:p>
            <w:pPr>
              <w:keepNext/>
              <w:tabs>
                <w:tab w:val="left" w:pos="850"/>
              </w:tabs>
              <w:spacing w:before="60" w:after="60"/>
              <w:ind w:left="850" w:hanging="850"/>
              <w:outlineLvl w:val="0"/>
              <w:rPr>
                <w:noProof/>
              </w:rPr>
            </w:pPr>
            <w:bookmarkStart w:id="15" w:name="_Toc26205838"/>
            <w:bookmarkStart w:id="16" w:name="_Toc26207255"/>
            <w:r>
              <w:rPr>
                <w:i/>
                <w:iCs/>
                <w:noProof/>
              </w:rPr>
              <w:t>Makaira nigricans</w:t>
            </w:r>
            <w:bookmarkEnd w:id="15"/>
            <w:bookmarkEnd w:id="16"/>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1939" w:type="pct"/>
            <w:tcBorders>
              <w:top w:val="single" w:sz="8" w:space="0" w:color="auto"/>
              <w:left w:val="nil"/>
              <w:bottom w:val="single" w:sz="8" w:space="0" w:color="auto"/>
              <w:right w:val="nil"/>
            </w:tcBorders>
            <w:hideMark/>
          </w:tcPr>
          <w:p>
            <w:pPr>
              <w:spacing w:before="60" w:after="60"/>
              <w:rPr>
                <w:noProof/>
              </w:rPr>
            </w:pPr>
            <w:r>
              <w:rPr>
                <w:noProof/>
              </w:rPr>
              <w:t>Атлантически океан</w:t>
            </w:r>
          </w:p>
          <w:p>
            <w:pPr>
              <w:spacing w:before="60" w:after="60"/>
              <w:rPr>
                <w:noProof/>
              </w:rPr>
            </w:pPr>
            <w:r>
              <w:rPr>
                <w:noProof/>
              </w:rPr>
              <w:t>(BUM/ATLANT)</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Испания</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tcPr>
          <w:p>
            <w:pPr>
              <w:spacing w:before="60" w:after="60"/>
              <w:rPr>
                <w:noProof/>
              </w:rPr>
            </w:pPr>
          </w:p>
        </w:tc>
        <w:tc>
          <w:tcPr>
            <w:tcW w:w="2591" w:type="pct"/>
            <w:gridSpan w:val="4"/>
            <w:vMerge w:val="restart"/>
            <w:tcBorders>
              <w:top w:val="single" w:sz="8" w:space="0" w:color="auto"/>
              <w:left w:val="nil"/>
              <w:bottom w:val="nil"/>
              <w:right w:val="nil"/>
            </w:tcBorders>
            <w:hideMark/>
          </w:tcPr>
          <w:p>
            <w:pPr>
              <w:spacing w:before="60" w:after="60"/>
              <w:rPr>
                <w:noProof/>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935" w:type="pct"/>
            <w:hideMark/>
          </w:tcPr>
          <w:p>
            <w:pPr>
              <w:spacing w:before="60" w:after="60"/>
              <w:rPr>
                <w:noProof/>
              </w:rPr>
            </w:pPr>
            <w:r>
              <w:rPr>
                <w:noProof/>
              </w:rPr>
              <w:t>Франция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Португалия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Съюз</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hideMark/>
          </w:tcPr>
          <w:p>
            <w:pPr>
              <w:spacing w:before="60" w:after="60"/>
              <w:rPr>
                <w:noProof/>
              </w:rPr>
            </w:pPr>
            <w:r>
              <w:rPr>
                <w:b/>
                <w:bCs/>
                <w:noProof/>
                <w:vertAlign w:val="superscript"/>
              </w:rPr>
              <w:t>(1)</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ОДУ</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Borders>
              <w:top w:val="nil"/>
              <w:left w:val="nil"/>
              <w:bottom w:val="single" w:sz="4" w:space="0" w:color="auto"/>
              <w:right w:val="nil"/>
            </w:tcBorders>
            <w:hideMark/>
          </w:tcPr>
          <w:p>
            <w:pPr>
              <w:spacing w:before="60" w:after="60"/>
              <w:jc w:val="right"/>
              <w:rPr>
                <w:noProof/>
              </w:rPr>
            </w:pPr>
            <w:r>
              <w:rPr>
                <w:b/>
                <w:bCs/>
                <w:noProof/>
                <w:vertAlign w:val="superscript"/>
              </w:rPr>
              <w:t>(1)</w:t>
            </w:r>
          </w:p>
        </w:tc>
        <w:tc>
          <w:tcPr>
            <w:tcW w:w="4065" w:type="pct"/>
            <w:gridSpan w:val="8"/>
            <w:tcBorders>
              <w:top w:val="nil"/>
              <w:left w:val="nil"/>
              <w:bottom w:val="single" w:sz="4" w:space="0" w:color="auto"/>
              <w:right w:val="nil"/>
            </w:tcBorders>
            <w:hideMark/>
          </w:tcPr>
          <w:p>
            <w:pPr>
              <w:spacing w:before="60" w:after="60"/>
              <w:rPr>
                <w:noProof/>
              </w:rPr>
            </w:pPr>
            <w:r>
              <w:rPr>
                <w:noProof/>
              </w:rPr>
              <w:t>След прехвърлянето на 2 тона на Тринидад и Тобаго (Препоръка 19-05 на ICCAT)</w:t>
            </w:r>
          </w:p>
        </w:tc>
      </w:tr>
      <w:tr>
        <w:trPr>
          <w:trHeight w:val="227"/>
        </w:trPr>
        <w:tc>
          <w:tcPr>
            <w:tcW w:w="5000" w:type="pct"/>
            <w:gridSpan w:val="9"/>
            <w:tcBorders>
              <w:top w:val="single" w:sz="4" w:space="0" w:color="auto"/>
              <w:left w:val="nil"/>
              <w:bottom w:val="single" w:sz="8" w:space="0" w:color="auto"/>
              <w:right w:val="nil"/>
            </w:tcBorders>
            <w:hideMark/>
          </w:tcPr>
          <w:p>
            <w:pPr>
              <w:rPr>
                <w:noProof/>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szCs w:val="24"/>
              </w:rPr>
            </w:pPr>
            <w:r>
              <w:rPr>
                <w:noProof/>
              </w:rPr>
              <w:t>Вид:</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Бял марлин</w:t>
            </w:r>
          </w:p>
          <w:p>
            <w:pPr>
              <w:keepNext/>
              <w:tabs>
                <w:tab w:val="left" w:pos="850"/>
              </w:tabs>
              <w:spacing w:before="60" w:after="60"/>
              <w:ind w:left="850" w:hanging="850"/>
              <w:outlineLvl w:val="0"/>
              <w:rPr>
                <w:noProof/>
              </w:rPr>
            </w:pPr>
            <w:bookmarkStart w:id="17" w:name="_Toc26205839"/>
            <w:bookmarkStart w:id="18" w:name="_Toc26207256"/>
            <w:r>
              <w:rPr>
                <w:i/>
                <w:iCs/>
                <w:noProof/>
              </w:rPr>
              <w:t>Tetrapturus albidus</w:t>
            </w:r>
            <w:bookmarkEnd w:id="17"/>
            <w:bookmarkEnd w:id="18"/>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1939" w:type="pct"/>
            <w:tcBorders>
              <w:top w:val="single" w:sz="8" w:space="0" w:color="auto"/>
              <w:left w:val="nil"/>
              <w:bottom w:val="single" w:sz="8" w:space="0" w:color="auto"/>
              <w:right w:val="nil"/>
            </w:tcBorders>
            <w:hideMark/>
          </w:tcPr>
          <w:p>
            <w:pPr>
              <w:spacing w:before="60" w:after="60"/>
              <w:rPr>
                <w:noProof/>
              </w:rPr>
            </w:pPr>
            <w:r>
              <w:rPr>
                <w:noProof/>
              </w:rPr>
              <w:t>Атлантически океан</w:t>
            </w:r>
          </w:p>
          <w:p>
            <w:pPr>
              <w:spacing w:before="60" w:after="60"/>
              <w:rPr>
                <w:noProof/>
              </w:rPr>
            </w:pPr>
            <w:r>
              <w:rPr>
                <w:noProof/>
              </w:rPr>
              <w:t>(WHM/ATLANT)</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Испания</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tcPr>
          <w:p>
            <w:pPr>
              <w:spacing w:before="60" w:after="60"/>
              <w:rPr>
                <w:noProof/>
              </w:rPr>
            </w:pPr>
          </w:p>
        </w:tc>
        <w:tc>
          <w:tcPr>
            <w:tcW w:w="2591" w:type="pct"/>
            <w:gridSpan w:val="4"/>
            <w:vMerge w:val="restart"/>
            <w:tcBorders>
              <w:top w:val="single" w:sz="8" w:space="0" w:color="auto"/>
              <w:left w:val="nil"/>
              <w:bottom w:val="single" w:sz="8" w:space="0" w:color="auto"/>
              <w:right w:val="nil"/>
            </w:tcBorders>
            <w:hideMark/>
          </w:tcPr>
          <w:p>
            <w:pPr>
              <w:spacing w:before="60" w:after="60"/>
              <w:rPr>
                <w:noProof/>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935" w:type="pct"/>
            <w:hideMark/>
          </w:tcPr>
          <w:p>
            <w:pPr>
              <w:spacing w:before="60" w:after="60"/>
              <w:rPr>
                <w:noProof/>
              </w:rPr>
            </w:pPr>
            <w:r>
              <w:rPr>
                <w:noProof/>
              </w:rPr>
              <w:t>Португалия</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Съюз</w:t>
            </w:r>
          </w:p>
        </w:tc>
        <w:tc>
          <w:tcPr>
            <w:tcW w:w="817" w:type="pct"/>
            <w:gridSpan w:val="2"/>
            <w:hideMark/>
          </w:tcPr>
          <w:p>
            <w:pPr>
              <w:spacing w:before="60" w:after="60"/>
              <w:jc w:val="right"/>
              <w:rPr>
                <w:noProof/>
                <w:color w:val="000000"/>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rPr>
                <w:noProof/>
              </w:rPr>
            </w:pPr>
            <w:r>
              <w:rPr>
                <w:noProof/>
              </w:rPr>
              <w:t>ОДУ</w:t>
            </w:r>
          </w:p>
        </w:tc>
        <w:tc>
          <w:tcPr>
            <w:tcW w:w="817" w:type="pct"/>
            <w:gridSpan w:val="2"/>
            <w:tcBorders>
              <w:top w:val="nil"/>
              <w:left w:val="nil"/>
              <w:bottom w:val="single" w:sz="8" w:space="0" w:color="auto"/>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nil"/>
              <w:left w:val="nil"/>
              <w:bottom w:val="single" w:sz="8" w:space="0" w:color="auto"/>
              <w:right w:val="nil"/>
            </w:tcBorders>
          </w:tcPr>
          <w:p>
            <w:pPr>
              <w:spacing w:before="60" w:after="60"/>
              <w:rPr>
                <w:noProof/>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rPr>
            </w:pP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rPr>
            </w:pPr>
            <w:r>
              <w:rPr>
                <w:noProof/>
              </w:rPr>
              <w:t>Вид:</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Жълтопер тунец</w:t>
            </w:r>
          </w:p>
          <w:p>
            <w:pPr>
              <w:keepNext/>
              <w:tabs>
                <w:tab w:val="left" w:pos="850"/>
              </w:tabs>
              <w:spacing w:before="60" w:after="60"/>
              <w:ind w:left="850" w:hanging="850"/>
              <w:outlineLvl w:val="0"/>
              <w:rPr>
                <w:noProof/>
              </w:rPr>
            </w:pPr>
            <w:bookmarkStart w:id="19" w:name="_Toc26205840"/>
            <w:bookmarkStart w:id="20" w:name="_Toc26207257"/>
            <w:r>
              <w:rPr>
                <w:i/>
                <w:iCs/>
                <w:noProof/>
              </w:rPr>
              <w:t>Thunnus albacares</w:t>
            </w:r>
            <w:bookmarkEnd w:id="19"/>
            <w:bookmarkEnd w:id="20"/>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1939" w:type="pct"/>
            <w:tcBorders>
              <w:top w:val="single" w:sz="8" w:space="0" w:color="auto"/>
              <w:left w:val="nil"/>
              <w:bottom w:val="single" w:sz="8" w:space="0" w:color="auto"/>
              <w:right w:val="nil"/>
            </w:tcBorders>
            <w:hideMark/>
          </w:tcPr>
          <w:p>
            <w:pPr>
              <w:spacing w:before="60" w:after="60"/>
              <w:rPr>
                <w:noProof/>
              </w:rPr>
            </w:pPr>
            <w:r>
              <w:rPr>
                <w:noProof/>
              </w:rPr>
              <w:t>Атлантически океан</w:t>
            </w:r>
          </w:p>
          <w:p>
            <w:pPr>
              <w:spacing w:before="60" w:after="60"/>
              <w:rPr>
                <w:noProof/>
              </w:rPr>
            </w:pPr>
            <w:r>
              <w:rPr>
                <w:noProof/>
              </w:rPr>
              <w:t>(YFT/ATLANT)</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ОДУ</w:t>
            </w:r>
          </w:p>
        </w:tc>
        <w:tc>
          <w:tcPr>
            <w:tcW w:w="817" w:type="pct"/>
            <w:gridSpan w:val="2"/>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rPr>
                <w:noProof/>
                <w:color w:val="000000"/>
              </w:rPr>
            </w:pPr>
            <w:r>
              <w:rPr>
                <w:b/>
                <w:bCs/>
                <w:noProof/>
                <w:vertAlign w:val="superscript"/>
              </w:rPr>
              <w:t>(1)</w:t>
            </w:r>
          </w:p>
        </w:tc>
        <w:tc>
          <w:tcPr>
            <w:tcW w:w="2591" w:type="pct"/>
            <w:gridSpan w:val="4"/>
            <w:tcBorders>
              <w:top w:val="single" w:sz="8" w:space="0" w:color="auto"/>
              <w:left w:val="nil"/>
              <w:bottom w:val="nil"/>
              <w:right w:val="nil"/>
            </w:tcBorders>
            <w:hideMark/>
          </w:tcPr>
          <w:p>
            <w:pPr>
              <w:spacing w:before="60" w:after="60"/>
              <w:rPr>
                <w:noProof/>
                <w:szCs w:val="24"/>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935" w:type="pct"/>
            <w:tcBorders>
              <w:top w:val="single" w:sz="8" w:space="0" w:color="auto"/>
              <w:left w:val="nil"/>
              <w:bottom w:val="nil"/>
              <w:right w:val="nil"/>
            </w:tcBorders>
          </w:tcPr>
          <w:p>
            <w:pPr>
              <w:spacing w:before="60" w:after="60"/>
              <w:jc w:val="right"/>
              <w:rPr>
                <w:noProof/>
              </w:rPr>
            </w:pPr>
            <w:r>
              <w:rPr>
                <w:b/>
                <w:bCs/>
                <w:noProof/>
                <w:vertAlign w:val="superscript"/>
              </w:rPr>
              <w:t>(1)</w:t>
            </w:r>
          </w:p>
        </w:tc>
        <w:tc>
          <w:tcPr>
            <w:tcW w:w="4065" w:type="pct"/>
            <w:gridSpan w:val="8"/>
            <w:tcBorders>
              <w:top w:val="single" w:sz="8" w:space="0" w:color="auto"/>
              <w:left w:val="nil"/>
              <w:bottom w:val="nil"/>
              <w:right w:val="nil"/>
            </w:tcBorders>
          </w:tcPr>
          <w:p>
            <w:pPr>
              <w:spacing w:before="60" w:after="60"/>
              <w:rPr>
                <w:noProof/>
              </w:rPr>
            </w:pPr>
            <w:r>
              <w:rPr>
                <w:noProof/>
              </w:rPr>
              <w:t>Уловът на жълтопер тунец, извършен от кораби с мрежи гъргър (YFT/*ATLPS) и кораби с парагади с обща дължина 20 m и повече (YFT/*ATLLL), се докладва отделно.</w:t>
            </w: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rPr>
            </w:pPr>
            <w:r>
              <w:rPr>
                <w:noProof/>
              </w:rPr>
              <w:t>Вид:</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Риба ветроход</w:t>
            </w:r>
          </w:p>
          <w:p>
            <w:pPr>
              <w:keepNext/>
              <w:tabs>
                <w:tab w:val="left" w:pos="850"/>
              </w:tabs>
              <w:spacing w:before="60" w:after="60"/>
              <w:ind w:left="850" w:hanging="850"/>
              <w:outlineLvl w:val="0"/>
              <w:rPr>
                <w:noProof/>
              </w:rPr>
            </w:pPr>
            <w:bookmarkStart w:id="21" w:name="_Toc26205841"/>
            <w:bookmarkStart w:id="22" w:name="_Toc26207258"/>
            <w:r>
              <w:rPr>
                <w:i/>
                <w:iCs/>
                <w:noProof/>
              </w:rPr>
              <w:t>Istiophorus albicans</w:t>
            </w:r>
            <w:bookmarkEnd w:id="21"/>
            <w:bookmarkEnd w:id="22"/>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1939" w:type="pct"/>
            <w:tcBorders>
              <w:top w:val="single" w:sz="8" w:space="0" w:color="auto"/>
              <w:left w:val="nil"/>
              <w:bottom w:val="single" w:sz="8" w:space="0" w:color="auto"/>
              <w:right w:val="nil"/>
            </w:tcBorders>
            <w:hideMark/>
          </w:tcPr>
          <w:p>
            <w:pPr>
              <w:spacing w:before="60" w:after="60"/>
              <w:rPr>
                <w:noProof/>
              </w:rPr>
            </w:pPr>
            <w:r>
              <w:rPr>
                <w:noProof/>
              </w:rPr>
              <w:t>Атлантически океан на изток от 45° з.д.</w:t>
            </w:r>
          </w:p>
          <w:p>
            <w:pPr>
              <w:spacing w:before="60" w:after="60"/>
              <w:rPr>
                <w:noProof/>
              </w:rPr>
            </w:pPr>
            <w:r>
              <w:rPr>
                <w:noProof/>
              </w:rPr>
              <w:t>(SAI/AE45W)</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ОДУ</w:t>
            </w:r>
          </w:p>
        </w:tc>
        <w:tc>
          <w:tcPr>
            <w:tcW w:w="817" w:type="pct"/>
            <w:gridSpan w:val="2"/>
            <w:tcBorders>
              <w:top w:val="single" w:sz="8" w:space="0" w:color="auto"/>
              <w:left w:val="nil"/>
              <w:bottom w:val="nil"/>
              <w:right w:val="nil"/>
            </w:tcBorders>
            <w:hideMark/>
          </w:tcPr>
          <w:p>
            <w:pPr>
              <w:spacing w:before="60" w:after="60"/>
              <w:jc w:val="right"/>
              <w:rPr>
                <w:noProof/>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rPr>
                <w:noProof/>
              </w:rPr>
            </w:pPr>
          </w:p>
        </w:tc>
        <w:tc>
          <w:tcPr>
            <w:tcW w:w="2591" w:type="pct"/>
            <w:gridSpan w:val="4"/>
            <w:tcBorders>
              <w:top w:val="single" w:sz="8" w:space="0" w:color="auto"/>
              <w:left w:val="nil"/>
              <w:bottom w:val="nil"/>
              <w:right w:val="nil"/>
            </w:tcBorders>
            <w:hideMark/>
          </w:tcPr>
          <w:p>
            <w:pPr>
              <w:spacing w:before="60" w:after="60"/>
              <w:rPr>
                <w:noProof/>
                <w:szCs w:val="24"/>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rPr>
            </w:pPr>
            <w:r>
              <w:rPr>
                <w:noProof/>
              </w:rPr>
              <w:t>Вид:</w:t>
            </w:r>
          </w:p>
        </w:tc>
        <w:tc>
          <w:tcPr>
            <w:tcW w:w="1475" w:type="pct"/>
            <w:gridSpan w:val="4"/>
            <w:tcBorders>
              <w:top w:val="single" w:sz="8" w:space="0" w:color="auto"/>
              <w:left w:val="nil"/>
              <w:bottom w:val="single" w:sz="8" w:space="0" w:color="auto"/>
              <w:right w:val="nil"/>
            </w:tcBorders>
            <w:hideMark/>
          </w:tcPr>
          <w:p>
            <w:pPr>
              <w:spacing w:before="60" w:after="60"/>
              <w:rPr>
                <w:noProof/>
              </w:rPr>
            </w:pPr>
            <w:r>
              <w:rPr>
                <w:noProof/>
              </w:rPr>
              <w:t>Риба ветроход</w:t>
            </w:r>
          </w:p>
          <w:p>
            <w:pPr>
              <w:keepNext/>
              <w:tabs>
                <w:tab w:val="left" w:pos="850"/>
              </w:tabs>
              <w:spacing w:before="60" w:after="60"/>
              <w:ind w:left="850" w:hanging="850"/>
              <w:outlineLvl w:val="0"/>
              <w:rPr>
                <w:noProof/>
              </w:rPr>
            </w:pPr>
            <w:bookmarkStart w:id="23" w:name="_Toc26205842"/>
            <w:bookmarkStart w:id="24" w:name="_Toc26207259"/>
            <w:r>
              <w:rPr>
                <w:i/>
                <w:iCs/>
                <w:noProof/>
              </w:rPr>
              <w:t>Istiophorus albicans</w:t>
            </w:r>
            <w:bookmarkEnd w:id="23"/>
            <w:bookmarkEnd w:id="24"/>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1939" w:type="pct"/>
            <w:tcBorders>
              <w:top w:val="single" w:sz="8" w:space="0" w:color="auto"/>
              <w:left w:val="nil"/>
              <w:bottom w:val="single" w:sz="8" w:space="0" w:color="auto"/>
              <w:right w:val="nil"/>
            </w:tcBorders>
            <w:hideMark/>
          </w:tcPr>
          <w:p>
            <w:pPr>
              <w:spacing w:before="60" w:after="60"/>
              <w:rPr>
                <w:noProof/>
              </w:rPr>
            </w:pPr>
            <w:r>
              <w:rPr>
                <w:noProof/>
              </w:rPr>
              <w:t>Атлантически океан на запад от 45° з.д.</w:t>
            </w:r>
          </w:p>
          <w:p>
            <w:pPr>
              <w:spacing w:before="60" w:after="60"/>
              <w:rPr>
                <w:noProof/>
              </w:rPr>
            </w:pPr>
            <w:r>
              <w:rPr>
                <w:noProof/>
              </w:rPr>
              <w:t>(SAI/AW45W)</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ОДУ</w:t>
            </w:r>
          </w:p>
        </w:tc>
        <w:tc>
          <w:tcPr>
            <w:tcW w:w="817" w:type="pct"/>
            <w:gridSpan w:val="2"/>
            <w:tcBorders>
              <w:top w:val="single" w:sz="8" w:space="0" w:color="auto"/>
              <w:left w:val="nil"/>
              <w:bottom w:val="nil"/>
              <w:right w:val="nil"/>
            </w:tcBorders>
            <w:hideMark/>
          </w:tcPr>
          <w:p>
            <w:pPr>
              <w:spacing w:before="60" w:after="60"/>
              <w:jc w:val="right"/>
              <w:rPr>
                <w:noProof/>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rPr>
                <w:noProof/>
              </w:rPr>
            </w:pPr>
          </w:p>
        </w:tc>
        <w:tc>
          <w:tcPr>
            <w:tcW w:w="2591" w:type="pct"/>
            <w:gridSpan w:val="4"/>
            <w:tcBorders>
              <w:top w:val="single" w:sz="8" w:space="0" w:color="auto"/>
              <w:left w:val="nil"/>
              <w:bottom w:val="nil"/>
              <w:right w:val="nil"/>
            </w:tcBorders>
            <w:hideMark/>
          </w:tcPr>
          <w:p>
            <w:pPr>
              <w:spacing w:before="60" w:after="60"/>
              <w:rPr>
                <w:noProof/>
                <w:szCs w:val="24"/>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rPr>
            </w:pPr>
            <w:r>
              <w:rPr>
                <w:noProof/>
              </w:rPr>
              <w:t>Вид:</w:t>
            </w:r>
          </w:p>
        </w:tc>
        <w:tc>
          <w:tcPr>
            <w:tcW w:w="1475" w:type="pct"/>
            <w:gridSpan w:val="4"/>
            <w:tcBorders>
              <w:top w:val="single" w:sz="8" w:space="0" w:color="auto"/>
              <w:left w:val="nil"/>
              <w:bottom w:val="single" w:sz="8" w:space="0" w:color="auto"/>
              <w:right w:val="nil"/>
            </w:tcBorders>
            <w:hideMark/>
          </w:tcPr>
          <w:p>
            <w:pPr>
              <w:keepNext/>
              <w:spacing w:before="60" w:after="60"/>
              <w:rPr>
                <w:noProof/>
              </w:rPr>
            </w:pPr>
            <w:r>
              <w:rPr>
                <w:noProof/>
              </w:rPr>
              <w:t>Синя акула</w:t>
            </w:r>
          </w:p>
          <w:p>
            <w:pPr>
              <w:keepNext/>
              <w:tabs>
                <w:tab w:val="left" w:pos="850"/>
              </w:tabs>
              <w:spacing w:before="60" w:after="60"/>
              <w:ind w:left="850" w:hanging="850"/>
              <w:outlineLvl w:val="0"/>
              <w:rPr>
                <w:noProof/>
              </w:rPr>
            </w:pPr>
            <w:bookmarkStart w:id="25" w:name="_Toc26205843"/>
            <w:bookmarkStart w:id="26" w:name="_Toc26207260"/>
            <w:r>
              <w:rPr>
                <w:i/>
                <w:iCs/>
                <w:noProof/>
              </w:rPr>
              <w:t>Prionace glauca</w:t>
            </w:r>
            <w:bookmarkEnd w:id="25"/>
            <w:bookmarkEnd w:id="26"/>
          </w:p>
        </w:tc>
        <w:tc>
          <w:tcPr>
            <w:tcW w:w="641" w:type="pct"/>
            <w:gridSpan w:val="2"/>
            <w:tcBorders>
              <w:top w:val="single" w:sz="8" w:space="0" w:color="auto"/>
              <w:left w:val="single" w:sz="8" w:space="0" w:color="auto"/>
              <w:bottom w:val="single" w:sz="8" w:space="0" w:color="auto"/>
              <w:right w:val="nil"/>
            </w:tcBorders>
            <w:hideMark/>
          </w:tcPr>
          <w:p>
            <w:pPr>
              <w:keepNext/>
              <w:spacing w:before="60" w:after="60"/>
              <w:rPr>
                <w:noProof/>
              </w:rPr>
            </w:pPr>
            <w:r>
              <w:rPr>
                <w:noProof/>
              </w:rPr>
              <w:t>Зона:</w:t>
            </w:r>
          </w:p>
        </w:tc>
        <w:tc>
          <w:tcPr>
            <w:tcW w:w="1949" w:type="pct"/>
            <w:gridSpan w:val="2"/>
            <w:tcBorders>
              <w:top w:val="single" w:sz="8" w:space="0" w:color="auto"/>
              <w:left w:val="nil"/>
              <w:bottom w:val="single" w:sz="8" w:space="0" w:color="auto"/>
              <w:right w:val="nil"/>
            </w:tcBorders>
            <w:hideMark/>
          </w:tcPr>
          <w:p>
            <w:pPr>
              <w:keepNext/>
              <w:spacing w:before="60" w:after="60"/>
              <w:rPr>
                <w:noProof/>
              </w:rPr>
            </w:pPr>
            <w:r>
              <w:rPr>
                <w:noProof/>
              </w:rPr>
              <w:t>Атлантически океан на север от 5° с.ш.</w:t>
            </w:r>
          </w:p>
          <w:p>
            <w:pPr>
              <w:keepNext/>
              <w:spacing w:before="60" w:after="60"/>
              <w:rPr>
                <w:noProof/>
              </w:rPr>
            </w:pPr>
            <w:r>
              <w:rPr>
                <w:noProof/>
              </w:rPr>
              <w:t>(BSH/AN05N)</w:t>
            </w:r>
          </w:p>
        </w:tc>
      </w:tr>
      <w:tr>
        <w:trPr>
          <w:trHeight w:val="227"/>
        </w:trPr>
        <w:tc>
          <w:tcPr>
            <w:tcW w:w="935" w:type="pct"/>
            <w:tcBorders>
              <w:top w:val="single" w:sz="8" w:space="0" w:color="auto"/>
              <w:left w:val="nil"/>
              <w:bottom w:val="nil"/>
              <w:right w:val="nil"/>
            </w:tcBorders>
            <w:hideMark/>
          </w:tcPr>
          <w:p>
            <w:pPr>
              <w:spacing w:before="60" w:after="60"/>
              <w:rPr>
                <w:noProof/>
              </w:rPr>
            </w:pPr>
            <w:r>
              <w:rPr>
                <w:noProof/>
              </w:rPr>
              <w:t>Ирландия</w:t>
            </w:r>
          </w:p>
        </w:tc>
        <w:tc>
          <w:tcPr>
            <w:tcW w:w="817" w:type="pct"/>
            <w:gridSpan w:val="2"/>
            <w:tcBorders>
              <w:top w:val="single" w:sz="8" w:space="0" w:color="auto"/>
              <w:left w:val="nil"/>
              <w:bottom w:val="nil"/>
              <w:right w:val="nil"/>
            </w:tcBorders>
            <w:hideMark/>
          </w:tcPr>
          <w:p>
            <w:pPr>
              <w:spacing w:before="60" w:after="60"/>
              <w:jc w:val="right"/>
              <w:rPr>
                <w:noProof/>
              </w:rPr>
            </w:pPr>
            <w:r>
              <w:rPr>
                <w:rFonts w:asciiTheme="majorBidi" w:hAnsiTheme="majorBidi"/>
                <w:noProof/>
                <w:color w:val="000000"/>
              </w:rPr>
              <w:t>pm</w:t>
            </w:r>
          </w:p>
        </w:tc>
        <w:tc>
          <w:tcPr>
            <w:tcW w:w="658" w:type="pct"/>
            <w:gridSpan w:val="2"/>
            <w:tcBorders>
              <w:top w:val="single" w:sz="8" w:space="0" w:color="auto"/>
              <w:left w:val="nil"/>
              <w:bottom w:val="nil"/>
              <w:right w:val="nil"/>
            </w:tcBorders>
            <w:hideMark/>
          </w:tcPr>
          <w:p>
            <w:pPr>
              <w:rPr>
                <w:noProof/>
              </w:rPr>
            </w:pPr>
          </w:p>
        </w:tc>
        <w:tc>
          <w:tcPr>
            <w:tcW w:w="2591" w:type="pct"/>
            <w:gridSpan w:val="4"/>
            <w:vMerge w:val="restart"/>
            <w:tcBorders>
              <w:top w:val="single" w:sz="8" w:space="0" w:color="auto"/>
              <w:left w:val="nil"/>
              <w:bottom w:val="nil"/>
              <w:right w:val="nil"/>
            </w:tcBorders>
            <w:hideMark/>
          </w:tcPr>
          <w:p>
            <w:pPr>
              <w:spacing w:before="60" w:after="60"/>
              <w:rPr>
                <w:noProof/>
                <w:szCs w:val="24"/>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935" w:type="pct"/>
            <w:hideMark/>
          </w:tcPr>
          <w:p>
            <w:pPr>
              <w:spacing w:before="60" w:after="60"/>
              <w:rPr>
                <w:noProof/>
              </w:rPr>
            </w:pPr>
            <w:r>
              <w:rPr>
                <w:noProof/>
              </w:rPr>
              <w:t>Испания</w:t>
            </w:r>
          </w:p>
        </w:tc>
        <w:tc>
          <w:tcPr>
            <w:tcW w:w="817" w:type="pct"/>
            <w:gridSpan w:val="2"/>
            <w:hideMark/>
          </w:tcPr>
          <w:p>
            <w:pPr>
              <w:spacing w:before="60" w:after="60"/>
              <w:jc w:val="right"/>
              <w:rPr>
                <w:noProof/>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Франция</w:t>
            </w:r>
          </w:p>
        </w:tc>
        <w:tc>
          <w:tcPr>
            <w:tcW w:w="817" w:type="pct"/>
            <w:gridSpan w:val="2"/>
            <w:hideMark/>
          </w:tcPr>
          <w:p>
            <w:pPr>
              <w:spacing w:before="60" w:after="60"/>
              <w:jc w:val="right"/>
              <w:rPr>
                <w:noProof/>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Португалия</w:t>
            </w:r>
          </w:p>
        </w:tc>
        <w:tc>
          <w:tcPr>
            <w:tcW w:w="817" w:type="pct"/>
            <w:gridSpan w:val="2"/>
            <w:hideMark/>
          </w:tcPr>
          <w:p>
            <w:pPr>
              <w:spacing w:before="60" w:after="60"/>
              <w:jc w:val="right"/>
              <w:rPr>
                <w:noProof/>
              </w:rPr>
            </w:pPr>
            <w:r>
              <w:rPr>
                <w:rFonts w:asciiTheme="majorBidi" w:hAnsiTheme="majorBidi"/>
                <w:noProof/>
                <w:color w:val="000000"/>
              </w:rPr>
              <w:t>pm</w:t>
            </w:r>
          </w:p>
        </w:tc>
        <w:tc>
          <w:tcPr>
            <w:tcW w:w="658" w:type="pct"/>
            <w:gridSpan w:val="2"/>
            <w:hideMark/>
          </w:tcPr>
          <w:p>
            <w:pPr>
              <w:spacing w:before="60" w:after="60"/>
              <w:rPr>
                <w:b/>
                <w:bCs/>
                <w:noProof/>
                <w:vertAlign w:val="superscript"/>
              </w:rPr>
            </w:pPr>
            <w:r>
              <w:rPr>
                <w:b/>
                <w:bCs/>
                <w:noProof/>
                <w:vertAlign w:val="superscript"/>
              </w:rPr>
              <w:t>(1)</w:t>
            </w: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Съюз</w:t>
            </w:r>
          </w:p>
        </w:tc>
        <w:tc>
          <w:tcPr>
            <w:tcW w:w="817" w:type="pct"/>
            <w:gridSpan w:val="2"/>
            <w:hideMark/>
          </w:tcPr>
          <w:p>
            <w:pPr>
              <w:spacing w:before="60" w:after="60"/>
              <w:jc w:val="right"/>
              <w:rPr>
                <w:noProof/>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hideMark/>
          </w:tcPr>
          <w:p>
            <w:pPr>
              <w:spacing w:before="60" w:after="60"/>
              <w:rPr>
                <w:noProof/>
              </w:rPr>
            </w:pPr>
            <w:r>
              <w:rPr>
                <w:noProof/>
              </w:rPr>
              <w:t>ОДУ</w:t>
            </w:r>
          </w:p>
        </w:tc>
        <w:tc>
          <w:tcPr>
            <w:tcW w:w="817" w:type="pct"/>
            <w:gridSpan w:val="2"/>
            <w:hideMark/>
          </w:tcPr>
          <w:p>
            <w:pPr>
              <w:spacing w:before="60" w:after="60"/>
              <w:jc w:val="right"/>
              <w:rPr>
                <w:noProof/>
              </w:rPr>
            </w:pPr>
            <w:r>
              <w:rPr>
                <w:rFonts w:asciiTheme="majorBidi" w:hAnsiTheme="majorBidi"/>
                <w:noProof/>
                <w:color w:val="000000"/>
              </w:rPr>
              <w:t>pm</w:t>
            </w:r>
          </w:p>
        </w:tc>
        <w:tc>
          <w:tcPr>
            <w:tcW w:w="658" w:type="pct"/>
            <w:gridSpan w:val="2"/>
          </w:tcPr>
          <w:p>
            <w:pPr>
              <w:spacing w:before="60" w:after="60"/>
              <w:rPr>
                <w:noProof/>
              </w:rPr>
            </w:pPr>
          </w:p>
        </w:tc>
        <w:tc>
          <w:tcPr>
            <w:tcW w:w="0" w:type="auto"/>
            <w:gridSpan w:val="4"/>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rPr>
            </w:pPr>
            <w:r>
              <w:rPr>
                <w:b/>
                <w:bCs/>
                <w:noProof/>
                <w:vertAlign w:val="superscript"/>
              </w:rPr>
              <w:t>(1)</w:t>
            </w:r>
          </w:p>
        </w:tc>
        <w:tc>
          <w:tcPr>
            <w:tcW w:w="4065" w:type="pct"/>
            <w:gridSpan w:val="8"/>
            <w:tcBorders>
              <w:top w:val="nil"/>
              <w:left w:val="nil"/>
              <w:bottom w:val="single" w:sz="8" w:space="0" w:color="auto"/>
              <w:right w:val="nil"/>
            </w:tcBorders>
            <w:hideMark/>
          </w:tcPr>
          <w:p>
            <w:pPr>
              <w:spacing w:before="60" w:after="60"/>
              <w:rPr>
                <w:noProof/>
              </w:rPr>
            </w:pPr>
            <w:r>
              <w:rPr>
                <w:noProof/>
              </w:rPr>
              <w:t>Периодът от време и методът на изчисляване, използван от ICCAT за определяне на ограничението на улова на синя акула в Северния Атлантически океан, не предопределят периода и метода на изчисляване, използван при установяването на бъдещ механизъм за разпределяне на равнището на Съюза.</w:t>
            </w:r>
          </w:p>
        </w:tc>
      </w:tr>
    </w:tbl>
    <w:tbl>
      <w:tblPr>
        <w:tblpPr w:leftFromText="141" w:rightFromText="141" w:vertAnchor="text" w:horzAnchor="margin" w:tblpY="385"/>
        <w:tblW w:w="5047" w:type="pct"/>
        <w:tblLook w:val="06A0" w:firstRow="1" w:lastRow="0" w:firstColumn="1" w:lastColumn="0" w:noHBand="1" w:noVBand="1"/>
      </w:tblPr>
      <w:tblGrid>
        <w:gridCol w:w="1836"/>
        <w:gridCol w:w="1958"/>
        <w:gridCol w:w="965"/>
        <w:gridCol w:w="1295"/>
        <w:gridCol w:w="3894"/>
      </w:tblGrid>
      <w:tr>
        <w:trPr>
          <w:trHeight w:val="227"/>
        </w:trPr>
        <w:tc>
          <w:tcPr>
            <w:tcW w:w="923" w:type="pct"/>
            <w:tcBorders>
              <w:top w:val="single" w:sz="8" w:space="0" w:color="auto"/>
              <w:left w:val="nil"/>
              <w:bottom w:val="single" w:sz="8" w:space="0" w:color="auto"/>
              <w:right w:val="nil"/>
            </w:tcBorders>
            <w:hideMark/>
          </w:tcPr>
          <w:p>
            <w:pPr>
              <w:pageBreakBefore/>
              <w:spacing w:before="60" w:after="60"/>
              <w:rPr>
                <w:noProof/>
              </w:rPr>
            </w:pPr>
            <w:r>
              <w:rPr>
                <w:noProof/>
              </w:rPr>
              <w:t>Вид:</w:t>
            </w:r>
          </w:p>
        </w:tc>
        <w:tc>
          <w:tcPr>
            <w:tcW w:w="1469" w:type="pct"/>
            <w:gridSpan w:val="2"/>
            <w:tcBorders>
              <w:top w:val="single" w:sz="8" w:space="0" w:color="auto"/>
              <w:left w:val="nil"/>
              <w:bottom w:val="single" w:sz="8" w:space="0" w:color="auto"/>
              <w:right w:val="nil"/>
            </w:tcBorders>
            <w:hideMark/>
          </w:tcPr>
          <w:p>
            <w:pPr>
              <w:keepNext/>
              <w:spacing w:before="60" w:after="60"/>
              <w:rPr>
                <w:noProof/>
              </w:rPr>
            </w:pPr>
            <w:r>
              <w:rPr>
                <w:noProof/>
              </w:rPr>
              <w:t>Синя акула</w:t>
            </w:r>
          </w:p>
          <w:p>
            <w:pPr>
              <w:keepNext/>
              <w:tabs>
                <w:tab w:val="left" w:pos="850"/>
              </w:tabs>
              <w:spacing w:before="60" w:after="60"/>
              <w:ind w:left="850" w:hanging="850"/>
              <w:outlineLvl w:val="0"/>
              <w:rPr>
                <w:noProof/>
              </w:rPr>
            </w:pPr>
            <w:bookmarkStart w:id="27" w:name="_Toc26205844"/>
            <w:bookmarkStart w:id="28" w:name="_Toc26207261"/>
            <w:r>
              <w:rPr>
                <w:i/>
                <w:iCs/>
                <w:noProof/>
              </w:rPr>
              <w:t>Prionace glauca</w:t>
            </w:r>
            <w:bookmarkEnd w:id="27"/>
            <w:bookmarkEnd w:id="28"/>
          </w:p>
        </w:tc>
        <w:tc>
          <w:tcPr>
            <w:tcW w:w="651" w:type="pct"/>
            <w:tcBorders>
              <w:top w:val="single" w:sz="8" w:space="0" w:color="auto"/>
              <w:left w:val="single" w:sz="8" w:space="0" w:color="auto"/>
              <w:bottom w:val="single" w:sz="8" w:space="0" w:color="auto"/>
              <w:right w:val="nil"/>
            </w:tcBorders>
            <w:hideMark/>
          </w:tcPr>
          <w:p>
            <w:pPr>
              <w:keepNext/>
              <w:spacing w:before="60" w:after="60"/>
              <w:rPr>
                <w:noProof/>
              </w:rPr>
            </w:pPr>
            <w:r>
              <w:rPr>
                <w:noProof/>
              </w:rPr>
              <w:t>Зона:</w:t>
            </w:r>
          </w:p>
        </w:tc>
        <w:tc>
          <w:tcPr>
            <w:tcW w:w="1957" w:type="pct"/>
            <w:tcBorders>
              <w:top w:val="single" w:sz="8" w:space="0" w:color="auto"/>
              <w:left w:val="nil"/>
              <w:bottom w:val="single" w:sz="8" w:space="0" w:color="auto"/>
              <w:right w:val="nil"/>
            </w:tcBorders>
            <w:hideMark/>
          </w:tcPr>
          <w:p>
            <w:pPr>
              <w:keepNext/>
              <w:spacing w:before="60" w:after="60"/>
              <w:rPr>
                <w:noProof/>
              </w:rPr>
            </w:pPr>
            <w:r>
              <w:rPr>
                <w:noProof/>
              </w:rPr>
              <w:t>Атлантически океан на юг от 5° с.ш.</w:t>
            </w:r>
          </w:p>
          <w:p>
            <w:pPr>
              <w:keepNext/>
              <w:spacing w:before="60" w:after="60"/>
              <w:rPr>
                <w:noProof/>
              </w:rPr>
            </w:pPr>
            <w:r>
              <w:rPr>
                <w:noProof/>
              </w:rPr>
              <w:t>(BSH/AS05N)</w:t>
            </w:r>
          </w:p>
        </w:tc>
      </w:tr>
      <w:tr>
        <w:trPr>
          <w:trHeight w:val="1760"/>
        </w:trPr>
        <w:tc>
          <w:tcPr>
            <w:tcW w:w="923" w:type="pct"/>
            <w:tcBorders>
              <w:top w:val="single" w:sz="8" w:space="0" w:color="auto"/>
              <w:left w:val="nil"/>
              <w:bottom w:val="nil"/>
              <w:right w:val="nil"/>
            </w:tcBorders>
            <w:hideMark/>
          </w:tcPr>
          <w:p>
            <w:pPr>
              <w:keepNext/>
              <w:spacing w:before="60" w:after="60"/>
              <w:rPr>
                <w:noProof/>
              </w:rPr>
            </w:pPr>
            <w:r>
              <w:rPr>
                <w:noProof/>
              </w:rPr>
              <w:t>ОДУ</w:t>
            </w:r>
          </w:p>
        </w:tc>
        <w:tc>
          <w:tcPr>
            <w:tcW w:w="984" w:type="pct"/>
            <w:tcBorders>
              <w:top w:val="single" w:sz="8" w:space="0" w:color="auto"/>
              <w:left w:val="nil"/>
              <w:bottom w:val="nil"/>
              <w:right w:val="nil"/>
            </w:tcBorders>
            <w:hideMark/>
          </w:tcPr>
          <w:p>
            <w:pPr>
              <w:keepNext/>
              <w:jc w:val="right"/>
              <w:rPr>
                <w:noProof/>
                <w:color w:val="000000"/>
              </w:rPr>
            </w:pPr>
            <w:r>
              <w:rPr>
                <w:rFonts w:asciiTheme="majorBidi" w:hAnsiTheme="majorBidi"/>
                <w:noProof/>
                <w:color w:val="000000"/>
              </w:rPr>
              <w:t>pm</w:t>
            </w:r>
          </w:p>
        </w:tc>
        <w:tc>
          <w:tcPr>
            <w:tcW w:w="485" w:type="pct"/>
            <w:tcBorders>
              <w:top w:val="single" w:sz="8" w:space="0" w:color="auto"/>
              <w:left w:val="nil"/>
              <w:bottom w:val="nil"/>
              <w:right w:val="nil"/>
            </w:tcBorders>
            <w:hideMark/>
          </w:tcPr>
          <w:p>
            <w:pPr>
              <w:keepNext/>
              <w:spacing w:before="60" w:after="60"/>
              <w:rPr>
                <w:b/>
                <w:bCs/>
                <w:noProof/>
                <w:vertAlign w:val="superscript"/>
              </w:rPr>
            </w:pPr>
            <w:r>
              <w:rPr>
                <w:b/>
                <w:bCs/>
                <w:noProof/>
                <w:vertAlign w:val="superscript"/>
              </w:rPr>
              <w:t>(1)</w:t>
            </w:r>
          </w:p>
        </w:tc>
        <w:tc>
          <w:tcPr>
            <w:tcW w:w="2608" w:type="pct"/>
            <w:gridSpan w:val="2"/>
            <w:tcBorders>
              <w:top w:val="single" w:sz="8" w:space="0" w:color="auto"/>
              <w:left w:val="nil"/>
              <w:bottom w:val="nil"/>
              <w:right w:val="nil"/>
            </w:tcBorders>
            <w:hideMark/>
          </w:tcPr>
          <w:p>
            <w:pPr>
              <w:keepNext/>
              <w:spacing w:before="60" w:after="60"/>
              <w:rPr>
                <w:noProof/>
              </w:rPr>
            </w:pPr>
            <w:r>
              <w:rPr>
                <w:noProof/>
              </w:rPr>
              <w:t>Аналитичен ОДУ</w:t>
            </w:r>
          </w:p>
          <w:p>
            <w:pPr>
              <w:keepNext/>
              <w:spacing w:before="60" w:after="60"/>
              <w:rPr>
                <w:noProof/>
              </w:rPr>
            </w:pPr>
            <w:r>
              <w:rPr>
                <w:noProof/>
              </w:rPr>
              <w:t>Член 3 от Регламент (ЕО) № 847/96 не се прилага.</w:t>
            </w:r>
          </w:p>
          <w:p>
            <w:pPr>
              <w:keepNext/>
              <w:spacing w:before="60" w:after="60"/>
              <w:rPr>
                <w:noProof/>
              </w:rPr>
            </w:pPr>
            <w:r>
              <w:rPr>
                <w:noProof/>
              </w:rPr>
              <w:t>Член 4 от Регламент (ЕО) № 847/96 не се прилага.</w:t>
            </w:r>
          </w:p>
        </w:tc>
      </w:tr>
      <w:tr>
        <w:trPr>
          <w:trHeight w:val="227"/>
        </w:trPr>
        <w:tc>
          <w:tcPr>
            <w:tcW w:w="923" w:type="pct"/>
            <w:tcBorders>
              <w:top w:val="nil"/>
              <w:left w:val="nil"/>
              <w:bottom w:val="single" w:sz="8" w:space="0" w:color="auto"/>
              <w:right w:val="nil"/>
            </w:tcBorders>
            <w:hideMark/>
          </w:tcPr>
          <w:p>
            <w:pPr>
              <w:keepNext/>
              <w:jc w:val="right"/>
              <w:rPr>
                <w:b/>
                <w:bCs/>
                <w:noProof/>
                <w:vertAlign w:val="superscript"/>
              </w:rPr>
            </w:pPr>
            <w:r>
              <w:rPr>
                <w:b/>
                <w:bCs/>
                <w:noProof/>
                <w:vertAlign w:val="superscript"/>
              </w:rPr>
              <w:t>(1)</w:t>
            </w:r>
          </w:p>
        </w:tc>
        <w:tc>
          <w:tcPr>
            <w:tcW w:w="4077" w:type="pct"/>
            <w:gridSpan w:val="4"/>
            <w:tcBorders>
              <w:top w:val="nil"/>
              <w:left w:val="nil"/>
              <w:bottom w:val="single" w:sz="8" w:space="0" w:color="auto"/>
              <w:right w:val="nil"/>
            </w:tcBorders>
            <w:hideMark/>
          </w:tcPr>
          <w:p>
            <w:pPr>
              <w:keepNext/>
              <w:rPr>
                <w:noProof/>
              </w:rPr>
            </w:pPr>
            <w:r>
              <w:rPr>
                <w:noProof/>
              </w:rPr>
              <w:t>Периодът от време и методът на изчисляване, използван от ICCAT за определяне на ограничението на улова на синя акула в Северния Атлантически океан, не предопределят периода и метода на изчисляване, използван при установяването на бъдещ механизъм за разпределяне на равнището на Съюза.</w:t>
            </w:r>
          </w:p>
        </w:tc>
      </w:tr>
    </w:tbl>
    <w:p>
      <w:pPr>
        <w:pStyle w:val="Lignefinal"/>
        <w:rPr>
          <w:noProof/>
        </w:rPr>
      </w:pPr>
    </w:p>
    <w:p>
      <w:pPr>
        <w:spacing w:before="0" w:after="0"/>
        <w:rPr>
          <w:b/>
          <w:noProof/>
          <w:u w:val="single"/>
        </w:rPr>
        <w:sectPr>
          <w:pgSz w:w="11907" w:h="16840"/>
          <w:pgMar w:top="1134" w:right="1134" w:bottom="1134" w:left="1134" w:header="567" w:footer="567" w:gutter="0"/>
          <w:pgNumType w:start="97"/>
          <w:cols w:space="720"/>
          <w:docGrid w:linePitch="326"/>
        </w:sectPr>
      </w:pPr>
    </w:p>
    <w:p>
      <w:pPr>
        <w:jc w:val="center"/>
        <w:rPr>
          <w:b/>
          <w:noProof/>
        </w:rPr>
      </w:pPr>
      <w:r>
        <w:rPr>
          <w:b/>
          <w:noProof/>
        </w:rPr>
        <w:t>ПРИЛОЖЕНИЕ IД</w:t>
      </w:r>
    </w:p>
    <w:p>
      <w:pPr>
        <w:pStyle w:val="NormalCentered"/>
        <w:rPr>
          <w:noProof/>
        </w:rPr>
      </w:pPr>
      <w:r>
        <w:rPr>
          <w:noProof/>
        </w:rPr>
        <w:t>ЮГОИЗТОЧНА ЧАСТ НА АТЛАНТИЧЕСКИЯ ОКЕАН —ЗОНА НА КОНВЕНЦИЯТА SEAFO</w:t>
      </w:r>
    </w:p>
    <w:p>
      <w:pPr>
        <w:rPr>
          <w:noProof/>
        </w:rPr>
      </w:pPr>
      <w:r>
        <w:rPr>
          <w:noProof/>
        </w:rPr>
        <w:t>Определените по-долу равнища на ОДУ не са разпределени между членовете на SEAFO и следователно делът на Съюза не е определен. Уловът се наблюдава от секретариата на SEAFO, който уведомява договарящите страни, когато риболовът се прекратява поради изчерпване на ОДУ.</w:t>
      </w:r>
    </w:p>
    <w:tbl>
      <w:tblPr>
        <w:tblW w:w="0" w:type="auto"/>
        <w:tblInd w:w="108" w:type="dxa"/>
        <w:tblLayout w:type="fixed"/>
        <w:tblLook w:val="04A0" w:firstRow="1" w:lastRow="0" w:firstColumn="1" w:lastColumn="0" w:noHBand="0" w:noVBand="1"/>
      </w:tblPr>
      <w:tblGrid>
        <w:gridCol w:w="1701"/>
        <w:gridCol w:w="1985"/>
        <w:gridCol w:w="992"/>
        <w:gridCol w:w="992"/>
        <w:gridCol w:w="3709"/>
      </w:tblGrid>
      <w:tr>
        <w:trPr>
          <w:trHeight w:val="227"/>
        </w:trPr>
        <w:tc>
          <w:tcPr>
            <w:tcW w:w="1701"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Вид:</w:t>
            </w:r>
          </w:p>
        </w:tc>
        <w:tc>
          <w:tcPr>
            <w:tcW w:w="2977" w:type="dxa"/>
            <w:gridSpan w:val="2"/>
            <w:tcBorders>
              <w:top w:val="single" w:sz="8" w:space="0" w:color="000000"/>
              <w:left w:val="nil"/>
              <w:bottom w:val="single" w:sz="8" w:space="0" w:color="auto"/>
              <w:right w:val="single" w:sz="8" w:space="0" w:color="auto"/>
            </w:tcBorders>
            <w:hideMark/>
          </w:tcPr>
          <w:p>
            <w:pPr>
              <w:spacing w:before="60" w:after="60"/>
              <w:rPr>
                <w:rFonts w:asciiTheme="majorBidi" w:hAnsiTheme="majorBidi" w:cstheme="majorBidi"/>
                <w:noProof/>
              </w:rPr>
            </w:pPr>
            <w:r>
              <w:rPr>
                <w:rFonts w:asciiTheme="majorBidi" w:hAnsiTheme="majorBidi"/>
                <w:noProof/>
              </w:rPr>
              <w:t>Берикс, видове</w:t>
            </w:r>
          </w:p>
          <w:p>
            <w:pPr>
              <w:spacing w:before="60" w:after="60"/>
              <w:rPr>
                <w:rFonts w:asciiTheme="majorBidi" w:hAnsiTheme="majorBidi" w:cstheme="majorBidi"/>
                <w:noProof/>
              </w:rPr>
            </w:pPr>
            <w:r>
              <w:rPr>
                <w:rFonts w:asciiTheme="majorBidi" w:hAnsiTheme="majorBidi"/>
                <w:i/>
                <w:iCs/>
                <w:noProof/>
              </w:rPr>
              <w:t>Beryx</w:t>
            </w:r>
            <w:r>
              <w:rPr>
                <w:rFonts w:asciiTheme="majorBidi" w:hAnsiTheme="majorBidi"/>
                <w:noProof/>
              </w:rPr>
              <w:t xml:space="preserve"> spp.</w:t>
            </w:r>
          </w:p>
        </w:tc>
        <w:tc>
          <w:tcPr>
            <w:tcW w:w="992" w:type="dxa"/>
            <w:tcBorders>
              <w:top w:val="single" w:sz="8" w:space="0" w:color="000000"/>
              <w:left w:val="single" w:sz="8" w:space="0" w:color="auto"/>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Зона:</w:t>
            </w:r>
          </w:p>
        </w:tc>
        <w:tc>
          <w:tcPr>
            <w:tcW w:w="3709"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SEAFO</w:t>
            </w:r>
          </w:p>
          <w:p>
            <w:pPr>
              <w:spacing w:before="60" w:after="60"/>
              <w:rPr>
                <w:rFonts w:asciiTheme="majorBidi" w:hAnsiTheme="majorBidi" w:cstheme="majorBidi"/>
                <w:noProof/>
              </w:rPr>
            </w:pPr>
            <w:r>
              <w:rPr>
                <w:rFonts w:asciiTheme="majorBidi" w:hAnsiTheme="majorBidi"/>
                <w:noProof/>
              </w:rPr>
              <w:t>(ALF/SEAFO)</w:t>
            </w:r>
          </w:p>
        </w:tc>
      </w:tr>
      <w:tr>
        <w:trPr>
          <w:trHeight w:val="227"/>
        </w:trPr>
        <w:tc>
          <w:tcPr>
            <w:tcW w:w="1701" w:type="dxa"/>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ОДУ</w:t>
            </w:r>
          </w:p>
        </w:tc>
        <w:tc>
          <w:tcPr>
            <w:tcW w:w="1985" w:type="dxa"/>
            <w:tcBorders>
              <w:top w:val="single" w:sz="8" w:space="0" w:color="auto"/>
              <w:left w:val="nil"/>
              <w:bottom w:val="nil"/>
              <w:right w:val="nil"/>
            </w:tcBorders>
            <w:hideMark/>
          </w:tcPr>
          <w:p>
            <w:pPr>
              <w:spacing w:before="60" w:after="60"/>
              <w:jc w:val="right"/>
              <w:rPr>
                <w:noProof/>
              </w:rPr>
            </w:pPr>
            <w:r>
              <w:rPr>
                <w:noProof/>
              </w:rPr>
              <w:t>pm</w:t>
            </w:r>
          </w:p>
        </w:tc>
        <w:tc>
          <w:tcPr>
            <w:tcW w:w="992" w:type="dxa"/>
            <w:tcBorders>
              <w:top w:val="single" w:sz="8" w:space="0" w:color="auto"/>
              <w:left w:val="nil"/>
              <w:bottom w:val="nil"/>
              <w:right w:val="nil"/>
            </w:tcBorders>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701" w:type="dxa"/>
            <w:gridSpan w:val="2"/>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Предпазен ОДУ</w:t>
            </w:r>
          </w:p>
        </w:tc>
      </w:tr>
      <w:tr>
        <w:trPr>
          <w:trHeight w:val="227"/>
        </w:trPr>
        <w:tc>
          <w:tcPr>
            <w:tcW w:w="9379" w:type="dxa"/>
            <w:gridSpan w:val="5"/>
            <w:tcBorders>
              <w:top w:val="nil"/>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b/>
                <w:bCs/>
                <w:noProof/>
                <w:vertAlign w:val="superscript"/>
              </w:rPr>
              <w:t>(1)</w:t>
            </w:r>
            <w:r>
              <w:rPr>
                <w:noProof/>
              </w:rPr>
              <w:tab/>
            </w:r>
            <w:r>
              <w:rPr>
                <w:rFonts w:asciiTheme="majorBidi" w:hAnsiTheme="majorBidi"/>
                <w:noProof/>
              </w:rPr>
              <w:t>Уловът в подучастък B1 (ALF/*F47NA) не може да надвишава 132 тона.</w:t>
            </w:r>
          </w:p>
        </w:tc>
      </w:tr>
      <w:tr>
        <w:trPr>
          <w:trHeight w:val="227"/>
        </w:trPr>
        <w:tc>
          <w:tcPr>
            <w:tcW w:w="9379" w:type="dxa"/>
            <w:gridSpan w:val="5"/>
            <w:tcBorders>
              <w:top w:val="single" w:sz="8" w:space="0" w:color="auto"/>
              <w:left w:val="nil"/>
              <w:bottom w:val="nil"/>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Вид:</w:t>
            </w:r>
          </w:p>
        </w:tc>
        <w:tc>
          <w:tcPr>
            <w:tcW w:w="2977" w:type="dxa"/>
            <w:gridSpan w:val="2"/>
            <w:tcBorders>
              <w:top w:val="single" w:sz="8" w:space="0" w:color="000000"/>
              <w:left w:val="nil"/>
              <w:bottom w:val="single" w:sz="8" w:space="0" w:color="000000"/>
              <w:right w:val="single" w:sz="8" w:space="0" w:color="auto"/>
            </w:tcBorders>
            <w:hideMark/>
          </w:tcPr>
          <w:p>
            <w:pPr>
              <w:spacing w:before="60" w:after="60"/>
              <w:rPr>
                <w:rFonts w:asciiTheme="majorBidi" w:hAnsiTheme="majorBidi" w:cstheme="majorBidi"/>
                <w:noProof/>
              </w:rPr>
            </w:pPr>
            <w:r>
              <w:rPr>
                <w:rFonts w:asciiTheme="majorBidi" w:hAnsiTheme="majorBidi"/>
                <w:noProof/>
              </w:rPr>
              <w:t>Западноафрикански джерион, видове</w:t>
            </w:r>
          </w:p>
          <w:p>
            <w:pPr>
              <w:spacing w:before="60" w:after="60"/>
              <w:rPr>
                <w:rFonts w:asciiTheme="majorBidi" w:hAnsiTheme="majorBidi" w:cstheme="majorBidi"/>
                <w:noProof/>
              </w:rPr>
            </w:pPr>
            <w:r>
              <w:rPr>
                <w:rFonts w:asciiTheme="majorBidi" w:hAnsiTheme="majorBidi"/>
                <w:i/>
                <w:iCs/>
                <w:noProof/>
              </w:rPr>
              <w:t>Chaceon</w:t>
            </w:r>
            <w:r>
              <w:rPr>
                <w:rFonts w:asciiTheme="majorBidi" w:hAnsiTheme="majorBidi"/>
                <w:noProof/>
              </w:rPr>
              <w:t> spp.</w:t>
            </w:r>
          </w:p>
        </w:tc>
        <w:tc>
          <w:tcPr>
            <w:tcW w:w="992" w:type="dxa"/>
            <w:tcBorders>
              <w:top w:val="single" w:sz="8" w:space="0" w:color="000000"/>
              <w:left w:val="single" w:sz="8" w:space="0" w:color="auto"/>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Зона:</w:t>
            </w:r>
          </w:p>
        </w:tc>
        <w:tc>
          <w:tcPr>
            <w:tcW w:w="3709"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Подучастък B1 на SEAFO</w:t>
            </w:r>
            <w:r>
              <w:rPr>
                <w:rFonts w:asciiTheme="majorBidi" w:hAnsiTheme="majorBidi"/>
                <w:b/>
                <w:bCs/>
                <w:noProof/>
                <w:vertAlign w:val="superscript"/>
              </w:rPr>
              <w:t>(1)</w:t>
            </w:r>
          </w:p>
          <w:p>
            <w:pPr>
              <w:spacing w:before="60" w:after="60"/>
              <w:rPr>
                <w:rFonts w:asciiTheme="majorBidi" w:hAnsiTheme="majorBidi" w:cstheme="majorBidi"/>
                <w:noProof/>
              </w:rPr>
            </w:pPr>
            <w:r>
              <w:rPr>
                <w:rFonts w:asciiTheme="majorBidi" w:hAnsiTheme="majorBidi"/>
                <w:noProof/>
              </w:rPr>
              <w:t>(GER/F47NAM)</w:t>
            </w:r>
          </w:p>
        </w:tc>
      </w:tr>
      <w:tr>
        <w:trPr>
          <w:trHeight w:val="227"/>
        </w:trPr>
        <w:tc>
          <w:tcPr>
            <w:tcW w:w="1701" w:type="dxa"/>
            <w:hideMark/>
          </w:tcPr>
          <w:p>
            <w:pPr>
              <w:spacing w:before="60" w:after="60"/>
              <w:rPr>
                <w:rFonts w:asciiTheme="majorBidi" w:hAnsiTheme="majorBidi" w:cstheme="majorBidi"/>
                <w:noProof/>
              </w:rPr>
            </w:pPr>
            <w:r>
              <w:rPr>
                <w:rFonts w:asciiTheme="majorBidi" w:hAnsiTheme="majorBidi"/>
                <w:noProof/>
              </w:rPr>
              <w:t>ОДУ</w:t>
            </w:r>
          </w:p>
        </w:tc>
        <w:tc>
          <w:tcPr>
            <w:tcW w:w="1985" w:type="dxa"/>
            <w:hideMark/>
          </w:tcPr>
          <w:p>
            <w:pPr>
              <w:spacing w:before="60" w:after="60"/>
              <w:jc w:val="right"/>
              <w:rPr>
                <w:noProof/>
              </w:rPr>
            </w:pPr>
            <w:r>
              <w:rPr>
                <w:noProof/>
              </w:rPr>
              <w:t>pm</w:t>
            </w:r>
          </w:p>
        </w:tc>
        <w:tc>
          <w:tcPr>
            <w:tcW w:w="992" w:type="dxa"/>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(1)</w:t>
            </w:r>
          </w:p>
        </w:tc>
        <w:tc>
          <w:tcPr>
            <w:tcW w:w="4701" w:type="dxa"/>
            <w:gridSpan w:val="2"/>
            <w:hideMark/>
          </w:tcPr>
          <w:p>
            <w:pPr>
              <w:spacing w:before="60" w:after="60"/>
              <w:rPr>
                <w:rFonts w:asciiTheme="majorBidi" w:hAnsiTheme="majorBidi" w:cstheme="majorBidi"/>
                <w:noProof/>
              </w:rPr>
            </w:pPr>
            <w:r>
              <w:rPr>
                <w:rFonts w:asciiTheme="majorBidi" w:hAnsiTheme="majorBidi"/>
                <w:noProof/>
              </w:rPr>
              <w:t>Предпазен ОДУ</w:t>
            </w:r>
          </w:p>
        </w:tc>
      </w:tr>
      <w:tr>
        <w:trPr>
          <w:trHeight w:val="227"/>
        </w:trPr>
        <w:tc>
          <w:tcPr>
            <w:tcW w:w="9379" w:type="dxa"/>
            <w:gridSpan w:val="5"/>
            <w:tcBorders>
              <w:top w:val="nil"/>
              <w:left w:val="nil"/>
              <w:bottom w:val="single" w:sz="8" w:space="0" w:color="000000"/>
              <w:right w:val="nil"/>
            </w:tcBorders>
            <w:hideMark/>
          </w:tcPr>
          <w:p>
            <w:pPr>
              <w:spacing w:before="60" w:after="60"/>
              <w:ind w:left="720" w:hanging="720"/>
              <w:rPr>
                <w:rFonts w:asciiTheme="majorBidi" w:hAnsiTheme="majorBidi" w:cstheme="majorBidi"/>
                <w:noProof/>
              </w:rPr>
            </w:pPr>
            <w:r>
              <w:rPr>
                <w:rFonts w:asciiTheme="majorBidi" w:hAnsiTheme="majorBidi"/>
                <w:b/>
                <w:bCs/>
                <w:noProof/>
                <w:vertAlign w:val="superscript"/>
              </w:rPr>
              <w:t>(1)</w:t>
            </w:r>
            <w:r>
              <w:rPr>
                <w:noProof/>
              </w:rPr>
              <w:tab/>
            </w:r>
            <w:r>
              <w:rPr>
                <w:rFonts w:asciiTheme="majorBidi" w:hAnsiTheme="majorBidi"/>
                <w:noProof/>
              </w:rPr>
              <w:t>За целите на този ОДУ откритият за риболов район се определя със:</w:t>
            </w:r>
            <w:r>
              <w:rPr>
                <w:noProof/>
              </w:rPr>
              <w:t xml:space="preserve"> </w:t>
            </w:r>
            <w:r>
              <w:rPr>
                <w:noProof/>
              </w:rPr>
              <w:br/>
            </w:r>
            <w:r>
              <w:rPr>
                <w:rFonts w:asciiTheme="majorBidi" w:hAnsiTheme="majorBidi"/>
                <w:noProof/>
              </w:rPr>
              <w:t>— западна граница 0° и.д.,</w:t>
            </w:r>
            <w:r>
              <w:rPr>
                <w:noProof/>
              </w:rPr>
              <w:t xml:space="preserve"> </w:t>
            </w:r>
            <w:r>
              <w:rPr>
                <w:noProof/>
              </w:rPr>
              <w:br/>
            </w:r>
            <w:r>
              <w:rPr>
                <w:rFonts w:asciiTheme="majorBidi" w:hAnsiTheme="majorBidi"/>
                <w:noProof/>
              </w:rPr>
              <w:t>— северна граница 20° ю.ш.,</w:t>
            </w:r>
            <w:r>
              <w:rPr>
                <w:noProof/>
              </w:rPr>
              <w:t xml:space="preserve"> </w:t>
            </w:r>
            <w:r>
              <w:rPr>
                <w:noProof/>
              </w:rPr>
              <w:br/>
            </w:r>
            <w:r>
              <w:rPr>
                <w:rFonts w:asciiTheme="majorBidi" w:hAnsiTheme="majorBidi"/>
                <w:noProof/>
              </w:rPr>
              <w:t>— южна граница 28° ю.ш. и</w:t>
            </w:r>
            <w:r>
              <w:rPr>
                <w:noProof/>
              </w:rPr>
              <w:t xml:space="preserve"> </w:t>
            </w:r>
            <w:r>
              <w:rPr>
                <w:noProof/>
              </w:rPr>
              <w:br/>
            </w:r>
            <w:r>
              <w:rPr>
                <w:rFonts w:asciiTheme="majorBidi" w:hAnsiTheme="majorBidi"/>
                <w:noProof/>
              </w:rPr>
              <w:t>— източна граница по външните очертания на ИИЗ на Намибия.</w:t>
            </w:r>
          </w:p>
        </w:tc>
      </w:tr>
      <w:tr>
        <w:trPr>
          <w:trHeight w:val="227"/>
        </w:trPr>
        <w:tc>
          <w:tcPr>
            <w:tcW w:w="9379" w:type="dxa"/>
            <w:gridSpan w:val="5"/>
            <w:tcBorders>
              <w:top w:val="single" w:sz="8" w:space="0" w:color="000000"/>
              <w:left w:val="nil"/>
              <w:bottom w:val="single" w:sz="8" w:space="0" w:color="auto"/>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auto"/>
              <w:left w:val="nil"/>
              <w:bottom w:val="single" w:sz="8" w:space="0" w:color="000000"/>
              <w:right w:val="nil"/>
            </w:tcBorders>
            <w:hideMark/>
          </w:tcPr>
          <w:p>
            <w:pPr>
              <w:pageBreakBefore/>
              <w:spacing w:before="60" w:after="60"/>
              <w:rPr>
                <w:rFonts w:asciiTheme="majorBidi" w:hAnsiTheme="majorBidi" w:cstheme="majorBidi"/>
                <w:noProof/>
              </w:rPr>
            </w:pPr>
            <w:r>
              <w:rPr>
                <w:rFonts w:asciiTheme="majorBidi" w:hAnsiTheme="majorBidi"/>
                <w:noProof/>
              </w:rPr>
              <w:t>Вид:</w:t>
            </w:r>
          </w:p>
        </w:tc>
        <w:tc>
          <w:tcPr>
            <w:tcW w:w="2977" w:type="dxa"/>
            <w:gridSpan w:val="2"/>
            <w:tcBorders>
              <w:top w:val="single" w:sz="8" w:space="0" w:color="auto"/>
              <w:left w:val="nil"/>
              <w:bottom w:val="single" w:sz="8" w:space="0" w:color="000000"/>
              <w:right w:val="single" w:sz="8" w:space="0" w:color="auto"/>
            </w:tcBorders>
            <w:hideMark/>
          </w:tcPr>
          <w:p>
            <w:pPr>
              <w:spacing w:before="60" w:after="60"/>
              <w:rPr>
                <w:rFonts w:asciiTheme="majorBidi" w:hAnsiTheme="majorBidi" w:cstheme="majorBidi"/>
                <w:noProof/>
              </w:rPr>
            </w:pPr>
            <w:r>
              <w:rPr>
                <w:rFonts w:asciiTheme="majorBidi" w:hAnsiTheme="majorBidi"/>
                <w:noProof/>
              </w:rPr>
              <w:t>Западноафрикански джерион, видове</w:t>
            </w:r>
          </w:p>
          <w:p>
            <w:pPr>
              <w:spacing w:before="60" w:after="60"/>
              <w:rPr>
                <w:rFonts w:asciiTheme="majorBidi" w:hAnsiTheme="majorBidi" w:cstheme="majorBidi"/>
                <w:noProof/>
              </w:rPr>
            </w:pPr>
            <w:r>
              <w:rPr>
                <w:rFonts w:asciiTheme="majorBidi" w:hAnsiTheme="majorBidi"/>
                <w:i/>
                <w:iCs/>
                <w:noProof/>
              </w:rPr>
              <w:t>Chaceon</w:t>
            </w:r>
            <w:r>
              <w:rPr>
                <w:rFonts w:asciiTheme="majorBidi" w:hAnsiTheme="majorBidi"/>
                <w:noProof/>
              </w:rPr>
              <w:t xml:space="preserve"> spp.</w:t>
            </w:r>
          </w:p>
        </w:tc>
        <w:tc>
          <w:tcPr>
            <w:tcW w:w="992" w:type="dxa"/>
            <w:tcBorders>
              <w:top w:val="single" w:sz="8" w:space="0" w:color="auto"/>
              <w:left w:val="single" w:sz="8" w:space="0" w:color="auto"/>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Зона:</w:t>
            </w:r>
          </w:p>
        </w:tc>
        <w:tc>
          <w:tcPr>
            <w:tcW w:w="3709" w:type="dxa"/>
            <w:tcBorders>
              <w:top w:val="single" w:sz="8" w:space="0" w:color="auto"/>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SEAFO, с изключение на подучастък B1</w:t>
            </w:r>
          </w:p>
          <w:p>
            <w:pPr>
              <w:spacing w:before="60" w:after="60"/>
              <w:rPr>
                <w:rFonts w:asciiTheme="majorBidi" w:hAnsiTheme="majorBidi" w:cstheme="majorBidi"/>
                <w:noProof/>
              </w:rPr>
            </w:pPr>
            <w:r>
              <w:rPr>
                <w:rFonts w:asciiTheme="majorBidi" w:hAnsiTheme="majorBidi"/>
                <w:noProof/>
              </w:rPr>
              <w:t>(GER/F47X)</w:t>
            </w:r>
          </w:p>
        </w:tc>
      </w:tr>
      <w:tr>
        <w:trPr>
          <w:trHeight w:val="227"/>
        </w:trPr>
        <w:tc>
          <w:tcPr>
            <w:tcW w:w="1701" w:type="dxa"/>
            <w:hideMark/>
          </w:tcPr>
          <w:p>
            <w:pPr>
              <w:spacing w:before="60" w:after="60"/>
              <w:rPr>
                <w:rFonts w:asciiTheme="majorBidi" w:hAnsiTheme="majorBidi" w:cstheme="majorBidi"/>
                <w:noProof/>
              </w:rPr>
            </w:pPr>
            <w:r>
              <w:rPr>
                <w:rFonts w:asciiTheme="majorBidi" w:hAnsiTheme="majorBidi"/>
                <w:noProof/>
              </w:rPr>
              <w:t>ОДУ</w:t>
            </w:r>
          </w:p>
        </w:tc>
        <w:tc>
          <w:tcPr>
            <w:tcW w:w="1985" w:type="dxa"/>
            <w:hideMark/>
          </w:tcPr>
          <w:p>
            <w:pPr>
              <w:spacing w:before="60" w:after="60"/>
              <w:jc w:val="right"/>
              <w:rPr>
                <w:noProof/>
              </w:rPr>
            </w:pPr>
            <w:r>
              <w:rPr>
                <w:noProof/>
              </w:rPr>
              <w:t>pm</w:t>
            </w:r>
          </w:p>
        </w:tc>
        <w:tc>
          <w:tcPr>
            <w:tcW w:w="992" w:type="dxa"/>
          </w:tcPr>
          <w:p>
            <w:pPr>
              <w:spacing w:before="60" w:after="60"/>
              <w:rPr>
                <w:rFonts w:asciiTheme="majorBidi" w:hAnsiTheme="majorBidi" w:cstheme="majorBidi"/>
                <w:noProof/>
              </w:rPr>
            </w:pPr>
          </w:p>
        </w:tc>
        <w:tc>
          <w:tcPr>
            <w:tcW w:w="4701" w:type="dxa"/>
            <w:gridSpan w:val="2"/>
            <w:hideMark/>
          </w:tcPr>
          <w:p>
            <w:pPr>
              <w:spacing w:before="60" w:after="60"/>
              <w:rPr>
                <w:rFonts w:asciiTheme="majorBidi" w:hAnsiTheme="majorBidi" w:cstheme="majorBidi"/>
                <w:noProof/>
              </w:rPr>
            </w:pPr>
            <w:r>
              <w:rPr>
                <w:rFonts w:asciiTheme="majorBidi" w:hAnsiTheme="majorBidi"/>
                <w:noProof/>
              </w:rPr>
              <w:t>Предпазен ОДУ</w:t>
            </w:r>
          </w:p>
        </w:tc>
      </w:tr>
      <w:tr>
        <w:trPr>
          <w:trHeight w:val="227"/>
        </w:trPr>
        <w:tc>
          <w:tcPr>
            <w:tcW w:w="9379" w:type="dxa"/>
            <w:gridSpan w:val="5"/>
            <w:tcBorders>
              <w:top w:val="single" w:sz="8" w:space="0" w:color="000000"/>
              <w:left w:val="nil"/>
              <w:bottom w:val="single" w:sz="8" w:space="0" w:color="000000"/>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Вид:</w:t>
            </w:r>
          </w:p>
        </w:tc>
        <w:tc>
          <w:tcPr>
            <w:tcW w:w="2977" w:type="dxa"/>
            <w:gridSpan w:val="2"/>
            <w:tcBorders>
              <w:top w:val="single" w:sz="8" w:space="0" w:color="000000"/>
              <w:left w:val="nil"/>
              <w:bottom w:val="single" w:sz="8" w:space="0" w:color="000000"/>
              <w:right w:val="single" w:sz="8" w:space="0" w:color="auto"/>
            </w:tcBorders>
            <w:hideMark/>
          </w:tcPr>
          <w:p>
            <w:pPr>
              <w:spacing w:before="60" w:after="60"/>
              <w:rPr>
                <w:rFonts w:asciiTheme="majorBidi" w:hAnsiTheme="majorBidi" w:cstheme="majorBidi"/>
                <w:noProof/>
              </w:rPr>
            </w:pPr>
            <w:r>
              <w:rPr>
                <w:rFonts w:asciiTheme="majorBidi" w:hAnsiTheme="majorBidi"/>
                <w:noProof/>
              </w:rPr>
              <w:t xml:space="preserve">Патагонски кликач </w:t>
            </w:r>
            <w:r>
              <w:rPr>
                <w:rFonts w:asciiTheme="majorBidi" w:hAnsiTheme="majorBidi"/>
                <w:i/>
                <w:iCs/>
                <w:noProof/>
              </w:rPr>
              <w:t>Dissostichus eleginoides</w:t>
            </w:r>
          </w:p>
        </w:tc>
        <w:tc>
          <w:tcPr>
            <w:tcW w:w="992" w:type="dxa"/>
            <w:tcBorders>
              <w:top w:val="single" w:sz="8" w:space="0" w:color="000000"/>
              <w:left w:val="single" w:sz="8" w:space="0" w:color="auto"/>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Зона:</w:t>
            </w:r>
          </w:p>
        </w:tc>
        <w:tc>
          <w:tcPr>
            <w:tcW w:w="3709"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Подзона D на SEAFO</w:t>
            </w:r>
          </w:p>
          <w:p>
            <w:pPr>
              <w:spacing w:before="60" w:after="60"/>
              <w:rPr>
                <w:rFonts w:asciiTheme="majorBidi" w:hAnsiTheme="majorBidi" w:cstheme="majorBidi"/>
                <w:noProof/>
              </w:rPr>
            </w:pPr>
            <w:r>
              <w:rPr>
                <w:rFonts w:asciiTheme="majorBidi" w:hAnsiTheme="majorBidi"/>
                <w:noProof/>
              </w:rPr>
              <w:t>(TOP/F47D)</w:t>
            </w:r>
          </w:p>
        </w:tc>
      </w:tr>
      <w:tr>
        <w:trPr>
          <w:trHeight w:val="227"/>
        </w:trPr>
        <w:tc>
          <w:tcPr>
            <w:tcW w:w="1701" w:type="dxa"/>
            <w:tcBorders>
              <w:top w:val="single" w:sz="8" w:space="0" w:color="000000"/>
              <w:left w:val="nil"/>
              <w:bottom w:val="single" w:sz="4" w:space="0" w:color="000000"/>
              <w:right w:val="nil"/>
            </w:tcBorders>
            <w:hideMark/>
          </w:tcPr>
          <w:p>
            <w:pPr>
              <w:spacing w:before="60" w:after="60"/>
              <w:rPr>
                <w:rFonts w:asciiTheme="majorBidi" w:hAnsiTheme="majorBidi" w:cstheme="majorBidi"/>
                <w:noProof/>
              </w:rPr>
            </w:pPr>
            <w:r>
              <w:rPr>
                <w:rFonts w:asciiTheme="majorBidi" w:hAnsiTheme="majorBidi"/>
                <w:noProof/>
              </w:rPr>
              <w:t>ОДУ</w:t>
            </w:r>
          </w:p>
        </w:tc>
        <w:tc>
          <w:tcPr>
            <w:tcW w:w="1985" w:type="dxa"/>
            <w:tcBorders>
              <w:top w:val="single" w:sz="8" w:space="0" w:color="000000"/>
              <w:left w:val="nil"/>
              <w:bottom w:val="single" w:sz="4" w:space="0" w:color="000000"/>
              <w:right w:val="nil"/>
            </w:tcBorders>
            <w:hideMark/>
          </w:tcPr>
          <w:p>
            <w:pPr>
              <w:spacing w:before="60" w:after="60"/>
              <w:jc w:val="right"/>
              <w:rPr>
                <w:noProof/>
              </w:rPr>
            </w:pPr>
            <w:r>
              <w:rPr>
                <w:noProof/>
              </w:rPr>
              <w:t>pm</w:t>
            </w:r>
          </w:p>
        </w:tc>
        <w:tc>
          <w:tcPr>
            <w:tcW w:w="992" w:type="dxa"/>
            <w:tcBorders>
              <w:top w:val="single" w:sz="8" w:space="0" w:color="000000"/>
              <w:left w:val="nil"/>
              <w:bottom w:val="single" w:sz="4" w:space="0" w:color="000000"/>
              <w:right w:val="nil"/>
            </w:tcBorders>
          </w:tcPr>
          <w:p>
            <w:pPr>
              <w:spacing w:before="60" w:after="60"/>
              <w:rPr>
                <w:rFonts w:asciiTheme="majorBidi" w:hAnsiTheme="majorBidi" w:cstheme="majorBidi"/>
                <w:noProof/>
              </w:rPr>
            </w:pPr>
          </w:p>
        </w:tc>
        <w:tc>
          <w:tcPr>
            <w:tcW w:w="4701" w:type="dxa"/>
            <w:gridSpan w:val="2"/>
            <w:tcBorders>
              <w:top w:val="single" w:sz="8" w:space="0" w:color="000000"/>
              <w:left w:val="nil"/>
              <w:bottom w:val="single" w:sz="4" w:space="0" w:color="000000"/>
              <w:right w:val="nil"/>
            </w:tcBorders>
            <w:hideMark/>
          </w:tcPr>
          <w:p>
            <w:pPr>
              <w:spacing w:before="60" w:after="60"/>
              <w:rPr>
                <w:rFonts w:asciiTheme="majorBidi" w:hAnsiTheme="majorBidi" w:cstheme="majorBidi"/>
                <w:noProof/>
              </w:rPr>
            </w:pPr>
            <w:r>
              <w:rPr>
                <w:rFonts w:asciiTheme="majorBidi" w:hAnsiTheme="majorBidi"/>
                <w:noProof/>
              </w:rPr>
              <w:t>Предпазен ОДУ</w:t>
            </w:r>
          </w:p>
        </w:tc>
      </w:tr>
      <w:tr>
        <w:trPr>
          <w:trHeight w:val="227"/>
        </w:trPr>
        <w:tc>
          <w:tcPr>
            <w:tcW w:w="9379" w:type="dxa"/>
            <w:gridSpan w:val="5"/>
            <w:tcBorders>
              <w:top w:val="single" w:sz="8" w:space="0" w:color="000000"/>
              <w:left w:val="nil"/>
              <w:bottom w:val="single" w:sz="4" w:space="0" w:color="000000"/>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Вид:</w:t>
            </w:r>
          </w:p>
        </w:tc>
        <w:tc>
          <w:tcPr>
            <w:tcW w:w="2977" w:type="dxa"/>
            <w:gridSpan w:val="2"/>
            <w:tcBorders>
              <w:top w:val="single" w:sz="8" w:space="0" w:color="000000"/>
              <w:left w:val="nil"/>
              <w:bottom w:val="single" w:sz="8" w:space="0" w:color="000000"/>
              <w:right w:val="single" w:sz="8" w:space="0" w:color="auto"/>
            </w:tcBorders>
            <w:hideMark/>
          </w:tcPr>
          <w:p>
            <w:pPr>
              <w:spacing w:before="60" w:after="60"/>
              <w:rPr>
                <w:rFonts w:asciiTheme="majorBidi" w:hAnsiTheme="majorBidi" w:cstheme="majorBidi"/>
                <w:noProof/>
              </w:rPr>
            </w:pPr>
            <w:r>
              <w:rPr>
                <w:rFonts w:asciiTheme="majorBidi" w:hAnsiTheme="majorBidi"/>
                <w:noProof/>
              </w:rPr>
              <w:t>Патагонски кликач</w:t>
            </w:r>
          </w:p>
          <w:p>
            <w:pPr>
              <w:spacing w:before="60" w:after="60"/>
              <w:rPr>
                <w:rFonts w:asciiTheme="majorBidi" w:hAnsiTheme="majorBidi" w:cstheme="majorBidi"/>
                <w:noProof/>
              </w:rPr>
            </w:pPr>
            <w:r>
              <w:rPr>
                <w:rFonts w:asciiTheme="majorBidi" w:hAnsiTheme="majorBidi"/>
                <w:i/>
                <w:iCs/>
                <w:noProof/>
              </w:rPr>
              <w:t>Dissostichus eleginoides</w:t>
            </w:r>
          </w:p>
        </w:tc>
        <w:tc>
          <w:tcPr>
            <w:tcW w:w="992" w:type="dxa"/>
            <w:tcBorders>
              <w:top w:val="single" w:sz="8" w:space="0" w:color="000000"/>
              <w:left w:val="single" w:sz="8" w:space="0" w:color="auto"/>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Зона:</w:t>
            </w:r>
          </w:p>
        </w:tc>
        <w:tc>
          <w:tcPr>
            <w:tcW w:w="3709"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SEAFO, с изключение на подзона D</w:t>
            </w:r>
          </w:p>
          <w:p>
            <w:pPr>
              <w:spacing w:before="60" w:after="60"/>
              <w:rPr>
                <w:rFonts w:asciiTheme="majorBidi" w:hAnsiTheme="majorBidi" w:cstheme="majorBidi"/>
                <w:noProof/>
              </w:rPr>
            </w:pPr>
            <w:r>
              <w:rPr>
                <w:rFonts w:asciiTheme="majorBidi" w:hAnsiTheme="majorBidi"/>
                <w:noProof/>
              </w:rPr>
              <w:t>(TOP/F47-D)</w:t>
            </w:r>
          </w:p>
        </w:tc>
      </w:tr>
      <w:tr>
        <w:trPr>
          <w:trHeight w:val="227"/>
        </w:trPr>
        <w:tc>
          <w:tcPr>
            <w:tcW w:w="1701"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ОДУ</w:t>
            </w:r>
          </w:p>
        </w:tc>
        <w:tc>
          <w:tcPr>
            <w:tcW w:w="1985" w:type="dxa"/>
            <w:tcBorders>
              <w:top w:val="single" w:sz="8" w:space="0" w:color="000000"/>
              <w:left w:val="nil"/>
              <w:bottom w:val="single" w:sz="8" w:space="0" w:color="auto"/>
              <w:right w:val="nil"/>
            </w:tcBorders>
            <w:hideMark/>
          </w:tcPr>
          <w:p>
            <w:pPr>
              <w:spacing w:before="60" w:after="60"/>
              <w:jc w:val="right"/>
              <w:rPr>
                <w:noProof/>
              </w:rPr>
            </w:pPr>
            <w:r>
              <w:rPr>
                <w:noProof/>
              </w:rPr>
              <w:t>pm</w:t>
            </w:r>
          </w:p>
        </w:tc>
        <w:tc>
          <w:tcPr>
            <w:tcW w:w="992" w:type="dxa"/>
            <w:tcBorders>
              <w:top w:val="single" w:sz="8" w:space="0" w:color="000000"/>
              <w:left w:val="nil"/>
              <w:bottom w:val="single" w:sz="8" w:space="0" w:color="auto"/>
              <w:right w:val="nil"/>
            </w:tcBorders>
          </w:tcPr>
          <w:p>
            <w:pPr>
              <w:spacing w:before="60" w:after="60"/>
              <w:rPr>
                <w:rFonts w:asciiTheme="majorBidi" w:hAnsiTheme="majorBidi" w:cstheme="majorBidi"/>
                <w:noProof/>
              </w:rPr>
            </w:pPr>
          </w:p>
        </w:tc>
        <w:tc>
          <w:tcPr>
            <w:tcW w:w="4701" w:type="dxa"/>
            <w:gridSpan w:val="2"/>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Предпазен ОДУ</w:t>
            </w:r>
          </w:p>
        </w:tc>
      </w:tr>
      <w:tr>
        <w:trPr>
          <w:trHeight w:val="227"/>
        </w:trPr>
        <w:tc>
          <w:tcPr>
            <w:tcW w:w="9379" w:type="dxa"/>
            <w:gridSpan w:val="5"/>
            <w:tcBorders>
              <w:top w:val="single" w:sz="8" w:space="0" w:color="auto"/>
              <w:left w:val="nil"/>
              <w:bottom w:val="single" w:sz="8" w:space="0" w:color="auto"/>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auto"/>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Вид:</w:t>
            </w:r>
          </w:p>
        </w:tc>
        <w:tc>
          <w:tcPr>
            <w:tcW w:w="2977" w:type="dxa"/>
            <w:gridSpan w:val="2"/>
            <w:tcBorders>
              <w:top w:val="single" w:sz="8" w:space="0" w:color="auto"/>
              <w:left w:val="nil"/>
              <w:bottom w:val="single" w:sz="8" w:space="0" w:color="auto"/>
              <w:right w:val="single" w:sz="8" w:space="0" w:color="auto"/>
            </w:tcBorders>
            <w:hideMark/>
          </w:tcPr>
          <w:p>
            <w:pPr>
              <w:spacing w:before="60" w:after="60"/>
              <w:rPr>
                <w:rFonts w:asciiTheme="majorBidi" w:hAnsiTheme="majorBidi" w:cstheme="majorBidi"/>
                <w:noProof/>
              </w:rPr>
            </w:pPr>
            <w:r>
              <w:rPr>
                <w:rFonts w:asciiTheme="majorBidi" w:hAnsiTheme="majorBidi"/>
                <w:noProof/>
              </w:rPr>
              <w:t>Атлантически големоглав</w:t>
            </w:r>
          </w:p>
          <w:p>
            <w:pPr>
              <w:keepNext/>
              <w:tabs>
                <w:tab w:val="left" w:pos="850"/>
              </w:tabs>
              <w:spacing w:before="60" w:after="60"/>
              <w:rPr>
                <w:rFonts w:asciiTheme="majorBidi" w:hAnsiTheme="majorBidi" w:cstheme="majorBidi"/>
                <w:i/>
                <w:iCs/>
                <w:noProof/>
              </w:rPr>
            </w:pPr>
            <w:r>
              <w:rPr>
                <w:rFonts w:asciiTheme="majorBidi" w:hAnsiTheme="majorBidi"/>
                <w:i/>
                <w:iCs/>
                <w:noProof/>
              </w:rPr>
              <w:t>Hoplostethus atlanticus</w:t>
            </w:r>
          </w:p>
        </w:tc>
        <w:tc>
          <w:tcPr>
            <w:tcW w:w="992" w:type="dxa"/>
            <w:tcBorders>
              <w:top w:val="single" w:sz="8" w:space="0" w:color="auto"/>
              <w:left w:val="single" w:sz="8" w:space="0" w:color="auto"/>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Зона:</w:t>
            </w:r>
          </w:p>
        </w:tc>
        <w:tc>
          <w:tcPr>
            <w:tcW w:w="3709" w:type="dxa"/>
            <w:tcBorders>
              <w:top w:val="single" w:sz="8" w:space="0" w:color="auto"/>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Подучастък B1 на SEAFO</w:t>
            </w:r>
            <w:r>
              <w:rPr>
                <w:rFonts w:asciiTheme="majorBidi" w:hAnsiTheme="majorBidi"/>
                <w:b/>
                <w:bCs/>
                <w:noProof/>
                <w:vertAlign w:val="superscript"/>
              </w:rPr>
              <w:t>(1)</w:t>
            </w:r>
          </w:p>
          <w:p>
            <w:pPr>
              <w:spacing w:before="60" w:after="60"/>
              <w:rPr>
                <w:rFonts w:asciiTheme="majorBidi" w:hAnsiTheme="majorBidi" w:cstheme="majorBidi"/>
                <w:noProof/>
              </w:rPr>
            </w:pPr>
            <w:r>
              <w:rPr>
                <w:rFonts w:asciiTheme="majorBidi" w:hAnsiTheme="majorBidi"/>
                <w:noProof/>
              </w:rPr>
              <w:t>(ORY/F47NAM)</w:t>
            </w:r>
          </w:p>
        </w:tc>
      </w:tr>
      <w:tr>
        <w:trPr>
          <w:trHeight w:val="227"/>
        </w:trPr>
        <w:tc>
          <w:tcPr>
            <w:tcW w:w="1701" w:type="dxa"/>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ОДУ</w:t>
            </w:r>
          </w:p>
        </w:tc>
        <w:tc>
          <w:tcPr>
            <w:tcW w:w="1985" w:type="dxa"/>
            <w:tcBorders>
              <w:top w:val="single" w:sz="8" w:space="0" w:color="auto"/>
              <w:left w:val="nil"/>
              <w:bottom w:val="nil"/>
              <w:right w:val="nil"/>
            </w:tcBorders>
            <w:hideMark/>
          </w:tcPr>
          <w:p>
            <w:pPr>
              <w:spacing w:before="60" w:after="60"/>
              <w:jc w:val="right"/>
              <w:rPr>
                <w:noProof/>
              </w:rPr>
            </w:pPr>
            <w:r>
              <w:rPr>
                <w:noProof/>
              </w:rPr>
              <w:t>pm</w:t>
            </w:r>
          </w:p>
        </w:tc>
        <w:tc>
          <w:tcPr>
            <w:tcW w:w="992" w:type="dxa"/>
            <w:tcBorders>
              <w:top w:val="single" w:sz="8" w:space="0" w:color="auto"/>
              <w:left w:val="nil"/>
              <w:bottom w:val="nil"/>
              <w:right w:val="nil"/>
            </w:tcBorders>
            <w:hideMark/>
          </w:tcPr>
          <w:p>
            <w:pPr>
              <w:spacing w:before="60" w:after="60"/>
              <w:rPr>
                <w:rFonts w:asciiTheme="majorBidi" w:hAnsiTheme="majorBidi" w:cstheme="majorBidi"/>
                <w:b/>
                <w:bCs/>
                <w:noProof/>
                <w:vertAlign w:val="superscript"/>
              </w:rPr>
            </w:pPr>
            <w:r>
              <w:rPr>
                <w:rFonts w:asciiTheme="majorBidi" w:hAnsiTheme="majorBidi"/>
                <w:b/>
                <w:bCs/>
                <w:noProof/>
                <w:vertAlign w:val="superscript"/>
              </w:rPr>
              <w:t>(2)</w:t>
            </w:r>
          </w:p>
        </w:tc>
        <w:tc>
          <w:tcPr>
            <w:tcW w:w="4701" w:type="dxa"/>
            <w:gridSpan w:val="2"/>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Предпазен ОДУ</w:t>
            </w:r>
          </w:p>
        </w:tc>
      </w:tr>
      <w:tr>
        <w:trPr>
          <w:trHeight w:val="227"/>
        </w:trPr>
        <w:tc>
          <w:tcPr>
            <w:tcW w:w="9379" w:type="dxa"/>
            <w:gridSpan w:val="5"/>
            <w:tcBorders>
              <w:top w:val="nil"/>
              <w:left w:val="nil"/>
              <w:bottom w:val="single" w:sz="8" w:space="0" w:color="auto"/>
              <w:right w:val="nil"/>
            </w:tcBorders>
            <w:hideMark/>
          </w:tcPr>
          <w:p>
            <w:pPr>
              <w:spacing w:before="60" w:after="60"/>
              <w:ind w:left="720" w:hanging="720"/>
              <w:rPr>
                <w:rFonts w:asciiTheme="majorBidi" w:hAnsiTheme="majorBidi" w:cstheme="majorBidi"/>
                <w:noProof/>
              </w:rPr>
            </w:pPr>
            <w:r>
              <w:rPr>
                <w:rFonts w:asciiTheme="majorBidi" w:hAnsiTheme="majorBidi"/>
                <w:b/>
                <w:bCs/>
                <w:noProof/>
                <w:vertAlign w:val="superscript"/>
              </w:rPr>
              <w:t>(1)</w:t>
            </w:r>
            <w:r>
              <w:rPr>
                <w:noProof/>
              </w:rPr>
              <w:tab/>
            </w:r>
            <w:r>
              <w:rPr>
                <w:rFonts w:asciiTheme="majorBidi" w:hAnsiTheme="majorBidi"/>
                <w:noProof/>
              </w:rPr>
              <w:t>За целите на настоящото приложение откритият за риболов район се определя със:</w:t>
            </w:r>
            <w:r>
              <w:rPr>
                <w:noProof/>
              </w:rPr>
              <w:t xml:space="preserve"> </w:t>
            </w:r>
            <w:r>
              <w:rPr>
                <w:noProof/>
              </w:rPr>
              <w:br/>
            </w:r>
            <w:r>
              <w:rPr>
                <w:rFonts w:asciiTheme="majorBidi" w:hAnsiTheme="majorBidi"/>
                <w:noProof/>
              </w:rPr>
              <w:t>— западна граница 0° и.д.,</w:t>
            </w:r>
            <w:r>
              <w:rPr>
                <w:noProof/>
              </w:rPr>
              <w:t xml:space="preserve"> </w:t>
            </w:r>
            <w:r>
              <w:rPr>
                <w:noProof/>
              </w:rPr>
              <w:br/>
            </w:r>
            <w:r>
              <w:rPr>
                <w:rFonts w:asciiTheme="majorBidi" w:hAnsiTheme="majorBidi"/>
                <w:noProof/>
              </w:rPr>
              <w:t>— северна граница 20° ю.ш.,</w:t>
            </w:r>
            <w:r>
              <w:rPr>
                <w:noProof/>
              </w:rPr>
              <w:t xml:space="preserve"> </w:t>
            </w:r>
            <w:r>
              <w:rPr>
                <w:noProof/>
              </w:rPr>
              <w:br/>
            </w:r>
            <w:r>
              <w:rPr>
                <w:rFonts w:asciiTheme="majorBidi" w:hAnsiTheme="majorBidi"/>
                <w:noProof/>
              </w:rPr>
              <w:t>— южна граница 28° ю.ш. и</w:t>
            </w:r>
            <w:r>
              <w:rPr>
                <w:noProof/>
              </w:rPr>
              <w:t xml:space="preserve"> </w:t>
            </w:r>
            <w:r>
              <w:rPr>
                <w:noProof/>
              </w:rPr>
              <w:br/>
            </w:r>
            <w:r>
              <w:rPr>
                <w:rFonts w:asciiTheme="majorBidi" w:hAnsiTheme="majorBidi"/>
                <w:noProof/>
              </w:rPr>
              <w:t>— източна граница по външните очертания на ИИЗ на Намибия.</w:t>
            </w:r>
          </w:p>
          <w:p>
            <w:pPr>
              <w:spacing w:before="60" w:after="60"/>
              <w:ind w:left="720" w:hanging="720"/>
              <w:rPr>
                <w:rFonts w:asciiTheme="majorBidi" w:hAnsiTheme="majorBidi" w:cstheme="majorBidi"/>
                <w:noProof/>
              </w:rPr>
            </w:pPr>
            <w:r>
              <w:rPr>
                <w:rFonts w:asciiTheme="majorBidi" w:hAnsiTheme="majorBidi"/>
                <w:b/>
                <w:bCs/>
                <w:noProof/>
                <w:vertAlign w:val="superscript"/>
              </w:rPr>
              <w:t>(2)</w:t>
            </w:r>
            <w:r>
              <w:rPr>
                <w:noProof/>
              </w:rPr>
              <w:tab/>
            </w:r>
            <w:r>
              <w:rPr>
                <w:rFonts w:asciiTheme="majorBidi" w:hAnsiTheme="majorBidi"/>
                <w:noProof/>
              </w:rPr>
              <w:t>С изключение на разрешението за прилов от 4 тона (ORY/*F47NA).</w:t>
            </w:r>
          </w:p>
        </w:tc>
      </w:tr>
      <w:tr>
        <w:trPr>
          <w:trHeight w:val="227"/>
        </w:trPr>
        <w:tc>
          <w:tcPr>
            <w:tcW w:w="9379" w:type="dxa"/>
            <w:gridSpan w:val="5"/>
            <w:tcBorders>
              <w:top w:val="single" w:sz="8" w:space="0" w:color="auto"/>
              <w:left w:val="nil"/>
              <w:bottom w:val="single" w:sz="8" w:space="0" w:color="000000"/>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000000"/>
              <w:left w:val="nil"/>
              <w:bottom w:val="single" w:sz="8" w:space="0" w:color="auto"/>
              <w:right w:val="nil"/>
            </w:tcBorders>
            <w:hideMark/>
          </w:tcPr>
          <w:p>
            <w:pPr>
              <w:pageBreakBefore/>
              <w:spacing w:before="60" w:after="60"/>
              <w:rPr>
                <w:rFonts w:asciiTheme="majorBidi" w:hAnsiTheme="majorBidi" w:cstheme="majorBidi"/>
                <w:noProof/>
              </w:rPr>
            </w:pPr>
            <w:r>
              <w:rPr>
                <w:rFonts w:asciiTheme="majorBidi" w:hAnsiTheme="majorBidi"/>
                <w:noProof/>
              </w:rPr>
              <w:t>Вид:</w:t>
            </w:r>
          </w:p>
        </w:tc>
        <w:tc>
          <w:tcPr>
            <w:tcW w:w="2977" w:type="dxa"/>
            <w:gridSpan w:val="2"/>
            <w:tcBorders>
              <w:top w:val="single" w:sz="8" w:space="0" w:color="000000"/>
              <w:left w:val="nil"/>
              <w:bottom w:val="single" w:sz="8" w:space="0" w:color="auto"/>
              <w:right w:val="single" w:sz="8" w:space="0" w:color="auto"/>
            </w:tcBorders>
            <w:hideMark/>
          </w:tcPr>
          <w:p>
            <w:pPr>
              <w:spacing w:before="60" w:after="60"/>
              <w:rPr>
                <w:rFonts w:asciiTheme="majorBidi" w:hAnsiTheme="majorBidi" w:cstheme="majorBidi"/>
                <w:noProof/>
              </w:rPr>
            </w:pPr>
            <w:r>
              <w:rPr>
                <w:rFonts w:asciiTheme="majorBidi" w:hAnsiTheme="majorBidi"/>
                <w:noProof/>
              </w:rPr>
              <w:t>Атлантически големоглав</w:t>
            </w:r>
          </w:p>
          <w:p>
            <w:pPr>
              <w:keepNext/>
              <w:tabs>
                <w:tab w:val="left" w:pos="850"/>
              </w:tabs>
              <w:spacing w:before="60" w:after="60"/>
              <w:rPr>
                <w:rFonts w:asciiTheme="majorBidi" w:hAnsiTheme="majorBidi" w:cstheme="majorBidi"/>
                <w:i/>
                <w:iCs/>
                <w:noProof/>
              </w:rPr>
            </w:pPr>
            <w:r>
              <w:rPr>
                <w:rFonts w:asciiTheme="majorBidi" w:hAnsiTheme="majorBidi"/>
                <w:i/>
                <w:iCs/>
                <w:noProof/>
              </w:rPr>
              <w:t>Hoplostethus atlanticus</w:t>
            </w:r>
          </w:p>
        </w:tc>
        <w:tc>
          <w:tcPr>
            <w:tcW w:w="992" w:type="dxa"/>
            <w:tcBorders>
              <w:top w:val="single" w:sz="8" w:space="0" w:color="000000"/>
              <w:left w:val="single" w:sz="8" w:space="0" w:color="auto"/>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Зона:</w:t>
            </w:r>
          </w:p>
        </w:tc>
        <w:tc>
          <w:tcPr>
            <w:tcW w:w="3709"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SEAFO, с изключение на подучастък B1</w:t>
            </w:r>
          </w:p>
          <w:p>
            <w:pPr>
              <w:spacing w:before="60" w:after="60"/>
              <w:rPr>
                <w:rFonts w:asciiTheme="majorBidi" w:hAnsiTheme="majorBidi" w:cstheme="majorBidi"/>
                <w:noProof/>
              </w:rPr>
            </w:pPr>
            <w:r>
              <w:rPr>
                <w:rFonts w:asciiTheme="majorBidi" w:hAnsiTheme="majorBidi"/>
                <w:noProof/>
              </w:rPr>
              <w:t>(ORY/F47X)</w:t>
            </w:r>
          </w:p>
        </w:tc>
      </w:tr>
      <w:tr>
        <w:trPr>
          <w:trHeight w:val="227"/>
        </w:trPr>
        <w:tc>
          <w:tcPr>
            <w:tcW w:w="1701" w:type="dxa"/>
            <w:tcBorders>
              <w:top w:val="single" w:sz="8" w:space="0" w:color="auto"/>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ОДУ</w:t>
            </w:r>
          </w:p>
        </w:tc>
        <w:tc>
          <w:tcPr>
            <w:tcW w:w="1985" w:type="dxa"/>
            <w:tcBorders>
              <w:top w:val="single" w:sz="8" w:space="0" w:color="auto"/>
              <w:left w:val="nil"/>
              <w:bottom w:val="single" w:sz="8" w:space="0" w:color="000000"/>
              <w:right w:val="nil"/>
            </w:tcBorders>
            <w:hideMark/>
          </w:tcPr>
          <w:p>
            <w:pPr>
              <w:spacing w:before="60" w:after="60"/>
              <w:jc w:val="right"/>
              <w:rPr>
                <w:noProof/>
              </w:rPr>
            </w:pPr>
            <w:r>
              <w:rPr>
                <w:noProof/>
              </w:rPr>
              <w:t>pm</w:t>
            </w:r>
          </w:p>
        </w:tc>
        <w:tc>
          <w:tcPr>
            <w:tcW w:w="992" w:type="dxa"/>
            <w:tcBorders>
              <w:top w:val="single" w:sz="8" w:space="0" w:color="auto"/>
              <w:left w:val="nil"/>
              <w:bottom w:val="single" w:sz="8" w:space="0" w:color="000000"/>
              <w:right w:val="nil"/>
            </w:tcBorders>
          </w:tcPr>
          <w:p>
            <w:pPr>
              <w:spacing w:before="60" w:after="60"/>
              <w:rPr>
                <w:rFonts w:asciiTheme="majorBidi" w:hAnsiTheme="majorBidi" w:cstheme="majorBidi"/>
                <w:noProof/>
              </w:rPr>
            </w:pPr>
          </w:p>
        </w:tc>
        <w:tc>
          <w:tcPr>
            <w:tcW w:w="4701" w:type="dxa"/>
            <w:gridSpan w:val="2"/>
            <w:tcBorders>
              <w:top w:val="single" w:sz="8" w:space="0" w:color="auto"/>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Предпазен ОДУ</w:t>
            </w:r>
          </w:p>
        </w:tc>
      </w:tr>
      <w:tr>
        <w:trPr>
          <w:trHeight w:val="227"/>
        </w:trPr>
        <w:tc>
          <w:tcPr>
            <w:tcW w:w="9379" w:type="dxa"/>
            <w:gridSpan w:val="5"/>
            <w:tcBorders>
              <w:top w:val="single" w:sz="4" w:space="0" w:color="000000"/>
              <w:left w:val="nil"/>
              <w:bottom w:val="single" w:sz="8" w:space="0" w:color="000000"/>
              <w:right w:val="nil"/>
            </w:tcBorders>
          </w:tcPr>
          <w:p>
            <w:pPr>
              <w:spacing w:before="60" w:after="60"/>
              <w:rPr>
                <w:rFonts w:asciiTheme="majorBidi" w:hAnsiTheme="majorBidi" w:cstheme="majorBidi"/>
                <w:noProof/>
              </w:rPr>
            </w:pPr>
          </w:p>
        </w:tc>
      </w:tr>
      <w:tr>
        <w:trPr>
          <w:trHeight w:val="227"/>
        </w:trPr>
        <w:tc>
          <w:tcPr>
            <w:tcW w:w="1701"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Вид:</w:t>
            </w:r>
          </w:p>
        </w:tc>
        <w:tc>
          <w:tcPr>
            <w:tcW w:w="2977" w:type="dxa"/>
            <w:gridSpan w:val="2"/>
            <w:tcBorders>
              <w:top w:val="single" w:sz="8" w:space="0" w:color="000000"/>
              <w:left w:val="nil"/>
              <w:bottom w:val="single" w:sz="8" w:space="0" w:color="auto"/>
              <w:right w:val="single" w:sz="8" w:space="0" w:color="auto"/>
            </w:tcBorders>
            <w:hideMark/>
          </w:tcPr>
          <w:p>
            <w:pPr>
              <w:spacing w:before="60" w:after="60"/>
              <w:rPr>
                <w:rFonts w:asciiTheme="majorBidi" w:hAnsiTheme="majorBidi" w:cstheme="majorBidi"/>
                <w:noProof/>
              </w:rPr>
            </w:pPr>
            <w:r>
              <w:rPr>
                <w:rFonts w:asciiTheme="majorBidi" w:hAnsiTheme="majorBidi"/>
                <w:noProof/>
              </w:rPr>
              <w:t>Пелагична лъчеперка, видове</w:t>
            </w:r>
          </w:p>
          <w:p>
            <w:pPr>
              <w:spacing w:before="60" w:after="60"/>
              <w:rPr>
                <w:rFonts w:asciiTheme="majorBidi" w:hAnsiTheme="majorBidi" w:cstheme="majorBidi"/>
                <w:noProof/>
              </w:rPr>
            </w:pPr>
            <w:r>
              <w:rPr>
                <w:rFonts w:asciiTheme="majorBidi" w:hAnsiTheme="majorBidi"/>
                <w:i/>
                <w:iCs/>
                <w:noProof/>
              </w:rPr>
              <w:t>Pseudopentaceros</w:t>
            </w:r>
            <w:r>
              <w:rPr>
                <w:rFonts w:asciiTheme="majorBidi" w:hAnsiTheme="majorBidi"/>
                <w:noProof/>
              </w:rPr>
              <w:t xml:space="preserve"> spp.</w:t>
            </w:r>
          </w:p>
        </w:tc>
        <w:tc>
          <w:tcPr>
            <w:tcW w:w="992" w:type="dxa"/>
            <w:tcBorders>
              <w:top w:val="single" w:sz="8" w:space="0" w:color="000000"/>
              <w:left w:val="single" w:sz="8" w:space="0" w:color="auto"/>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Зона:</w:t>
            </w:r>
          </w:p>
        </w:tc>
        <w:tc>
          <w:tcPr>
            <w:tcW w:w="3709"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SEAFO</w:t>
            </w:r>
          </w:p>
          <w:p>
            <w:pPr>
              <w:spacing w:before="60" w:after="60"/>
              <w:rPr>
                <w:rFonts w:asciiTheme="majorBidi" w:hAnsiTheme="majorBidi" w:cstheme="majorBidi"/>
                <w:noProof/>
              </w:rPr>
            </w:pPr>
            <w:r>
              <w:rPr>
                <w:rFonts w:asciiTheme="majorBidi" w:hAnsiTheme="majorBidi"/>
                <w:noProof/>
              </w:rPr>
              <w:t>(EDW/SEAFO)</w:t>
            </w:r>
          </w:p>
        </w:tc>
      </w:tr>
      <w:tr>
        <w:trPr>
          <w:trHeight w:val="227"/>
        </w:trPr>
        <w:tc>
          <w:tcPr>
            <w:tcW w:w="1701" w:type="dxa"/>
            <w:tcBorders>
              <w:top w:val="single" w:sz="8" w:space="0" w:color="auto"/>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ОДУ</w:t>
            </w:r>
          </w:p>
        </w:tc>
        <w:tc>
          <w:tcPr>
            <w:tcW w:w="1985" w:type="dxa"/>
            <w:tcBorders>
              <w:top w:val="single" w:sz="8" w:space="0" w:color="auto"/>
              <w:left w:val="nil"/>
              <w:bottom w:val="single" w:sz="8" w:space="0" w:color="000000"/>
              <w:right w:val="nil"/>
            </w:tcBorders>
            <w:hideMark/>
          </w:tcPr>
          <w:p>
            <w:pPr>
              <w:spacing w:before="60" w:after="60"/>
              <w:jc w:val="right"/>
              <w:rPr>
                <w:noProof/>
              </w:rPr>
            </w:pPr>
            <w:r>
              <w:rPr>
                <w:noProof/>
              </w:rPr>
              <w:t>pm</w:t>
            </w:r>
          </w:p>
        </w:tc>
        <w:tc>
          <w:tcPr>
            <w:tcW w:w="992" w:type="dxa"/>
            <w:tcBorders>
              <w:top w:val="single" w:sz="8" w:space="0" w:color="auto"/>
              <w:left w:val="nil"/>
              <w:bottom w:val="single" w:sz="8" w:space="0" w:color="000000"/>
              <w:right w:val="nil"/>
            </w:tcBorders>
          </w:tcPr>
          <w:p>
            <w:pPr>
              <w:spacing w:before="60" w:after="60"/>
              <w:rPr>
                <w:rFonts w:asciiTheme="majorBidi" w:hAnsiTheme="majorBidi" w:cstheme="majorBidi"/>
                <w:noProof/>
              </w:rPr>
            </w:pPr>
          </w:p>
        </w:tc>
        <w:tc>
          <w:tcPr>
            <w:tcW w:w="4701" w:type="dxa"/>
            <w:gridSpan w:val="2"/>
            <w:tcBorders>
              <w:top w:val="single" w:sz="8" w:space="0" w:color="auto"/>
              <w:left w:val="nil"/>
              <w:bottom w:val="single" w:sz="8" w:space="0" w:color="000000"/>
              <w:right w:val="nil"/>
            </w:tcBorders>
            <w:hideMark/>
          </w:tcPr>
          <w:p>
            <w:pPr>
              <w:spacing w:before="60" w:after="60"/>
              <w:rPr>
                <w:rFonts w:asciiTheme="majorBidi" w:hAnsiTheme="majorBidi" w:cstheme="majorBidi"/>
                <w:noProof/>
              </w:rPr>
            </w:pPr>
            <w:r>
              <w:rPr>
                <w:rFonts w:asciiTheme="majorBidi" w:hAnsiTheme="majorBidi"/>
                <w:noProof/>
              </w:rPr>
              <w:t>Предпазен ОДУ</w:t>
            </w:r>
          </w:p>
        </w:tc>
      </w:tr>
    </w:tbl>
    <w:p>
      <w:pPr>
        <w:pStyle w:val="Lignefinal"/>
        <w:rPr>
          <w:noProof/>
          <w:szCs w:val="22"/>
        </w:rPr>
      </w:pPr>
    </w:p>
    <w:p>
      <w:pPr>
        <w:spacing w:before="0" w:after="0"/>
        <w:rPr>
          <w:noProof/>
        </w:rPr>
        <w:sectPr>
          <w:pgSz w:w="11907" w:h="16840"/>
          <w:pgMar w:top="1134" w:right="1134" w:bottom="1134" w:left="1134" w:header="567" w:footer="567" w:gutter="0"/>
          <w:pgNumType w:start="106"/>
          <w:cols w:space="720"/>
          <w:docGrid w:linePitch="326"/>
        </w:sectPr>
      </w:pPr>
    </w:p>
    <w:p>
      <w:pPr>
        <w:jc w:val="center"/>
        <w:rPr>
          <w:b/>
          <w:noProof/>
          <w:szCs w:val="24"/>
        </w:rPr>
      </w:pPr>
      <w:r>
        <w:rPr>
          <w:b/>
          <w:noProof/>
        </w:rPr>
        <w:t>ПРИЛОЖЕНИЕ IЕ</w:t>
      </w:r>
    </w:p>
    <w:p>
      <w:pPr>
        <w:pStyle w:val="NormalCentered"/>
        <w:rPr>
          <w:noProof/>
        </w:rPr>
      </w:pPr>
      <w:r>
        <w:rPr>
          <w:noProof/>
        </w:rPr>
        <w:t>ЮЖЕН ЧЕРВЕН ТОН — ЗОНИ НА РАЗПРОСТРАНЕНИЕ</w:t>
      </w:r>
    </w:p>
    <w:tbl>
      <w:tblPr>
        <w:tblW w:w="0" w:type="auto"/>
        <w:tblCellMar>
          <w:left w:w="0" w:type="dxa"/>
          <w:right w:w="0" w:type="dxa"/>
        </w:tblCellMar>
        <w:tblLook w:val="01E0" w:firstRow="1" w:lastRow="1" w:firstColumn="1" w:lastColumn="1" w:noHBand="0" w:noVBand="0"/>
      </w:tblPr>
      <w:tblGrid>
        <w:gridCol w:w="1701"/>
        <w:gridCol w:w="1985"/>
        <w:gridCol w:w="992"/>
        <w:gridCol w:w="992"/>
        <w:gridCol w:w="3969"/>
      </w:tblGrid>
      <w:tr>
        <w:trPr>
          <w:trHeight w:val="227"/>
        </w:trPr>
        <w:tc>
          <w:tcPr>
            <w:tcW w:w="1701" w:type="dxa"/>
            <w:tcBorders>
              <w:top w:val="single" w:sz="4" w:space="0" w:color="auto"/>
              <w:left w:val="nil"/>
              <w:bottom w:val="single" w:sz="4" w:space="0" w:color="auto"/>
              <w:right w:val="nil"/>
            </w:tcBorders>
            <w:hideMark/>
          </w:tcPr>
          <w:p>
            <w:pPr>
              <w:spacing w:before="60" w:after="60"/>
              <w:rPr>
                <w:rFonts w:eastAsia="Calibri"/>
                <w:noProof/>
              </w:rPr>
            </w:pPr>
            <w:r>
              <w:rPr>
                <w:noProof/>
              </w:rPr>
              <w:t>Вид:</w:t>
            </w:r>
          </w:p>
        </w:tc>
        <w:tc>
          <w:tcPr>
            <w:tcW w:w="2977" w:type="dxa"/>
            <w:gridSpan w:val="2"/>
            <w:tcBorders>
              <w:top w:val="single" w:sz="4" w:space="0" w:color="auto"/>
              <w:left w:val="nil"/>
              <w:bottom w:val="single" w:sz="4" w:space="0" w:color="auto"/>
              <w:right w:val="single" w:sz="4" w:space="0" w:color="auto"/>
            </w:tcBorders>
            <w:hideMark/>
          </w:tcPr>
          <w:p>
            <w:pPr>
              <w:spacing w:before="60" w:after="60"/>
              <w:rPr>
                <w:rFonts w:eastAsia="Calibri"/>
                <w:noProof/>
              </w:rPr>
            </w:pPr>
            <w:r>
              <w:rPr>
                <w:noProof/>
              </w:rPr>
              <w:t>Южен червен тон от вида</w:t>
            </w:r>
          </w:p>
          <w:p>
            <w:pPr>
              <w:spacing w:before="60" w:after="60"/>
              <w:rPr>
                <w:rFonts w:eastAsia="Calibri"/>
                <w:i/>
                <w:iCs/>
                <w:noProof/>
              </w:rPr>
            </w:pPr>
            <w:r>
              <w:rPr>
                <w:i/>
                <w:iCs/>
                <w:noProof/>
              </w:rPr>
              <w:t>Thunnus maccoyii</w:t>
            </w:r>
          </w:p>
        </w:tc>
        <w:tc>
          <w:tcPr>
            <w:tcW w:w="992" w:type="dxa"/>
            <w:tcBorders>
              <w:top w:val="single" w:sz="4" w:space="0" w:color="auto"/>
              <w:left w:val="single" w:sz="4" w:space="0" w:color="auto"/>
              <w:bottom w:val="single" w:sz="4" w:space="0" w:color="auto"/>
              <w:right w:val="nil"/>
            </w:tcBorders>
            <w:hideMark/>
          </w:tcPr>
          <w:p>
            <w:pPr>
              <w:spacing w:before="60" w:after="60"/>
              <w:rPr>
                <w:rFonts w:eastAsia="Calibri"/>
                <w:noProof/>
              </w:rPr>
            </w:pPr>
            <w:r>
              <w:rPr>
                <w:noProof/>
              </w:rPr>
              <w:t>Зона:</w:t>
            </w:r>
          </w:p>
        </w:tc>
        <w:tc>
          <w:tcPr>
            <w:tcW w:w="3969" w:type="dxa"/>
            <w:tcBorders>
              <w:top w:val="single" w:sz="4" w:space="0" w:color="auto"/>
              <w:left w:val="nil"/>
              <w:bottom w:val="single" w:sz="4" w:space="0" w:color="auto"/>
              <w:right w:val="nil"/>
            </w:tcBorders>
            <w:hideMark/>
          </w:tcPr>
          <w:p>
            <w:pPr>
              <w:spacing w:before="60" w:after="60"/>
              <w:rPr>
                <w:rFonts w:eastAsia="Calibri"/>
                <w:noProof/>
              </w:rPr>
            </w:pPr>
            <w:r>
              <w:rPr>
                <w:noProof/>
              </w:rPr>
              <w:t>Всички зони на разпространение (SBF/F41-81)</w:t>
            </w:r>
          </w:p>
        </w:tc>
      </w:tr>
      <w:tr>
        <w:trPr>
          <w:trHeight w:val="227"/>
        </w:trPr>
        <w:tc>
          <w:tcPr>
            <w:tcW w:w="1701" w:type="dxa"/>
            <w:tcBorders>
              <w:top w:val="single" w:sz="4" w:space="0" w:color="auto"/>
              <w:left w:val="nil"/>
              <w:bottom w:val="nil"/>
              <w:right w:val="nil"/>
            </w:tcBorders>
            <w:hideMark/>
          </w:tcPr>
          <w:p>
            <w:pPr>
              <w:spacing w:before="60" w:after="60"/>
              <w:rPr>
                <w:rFonts w:eastAsia="Calibri"/>
                <w:noProof/>
              </w:rPr>
            </w:pPr>
            <w:r>
              <w:rPr>
                <w:noProof/>
              </w:rPr>
              <w:t>Съюз</w:t>
            </w:r>
          </w:p>
        </w:tc>
        <w:tc>
          <w:tcPr>
            <w:tcW w:w="1985" w:type="dxa"/>
            <w:tcBorders>
              <w:top w:val="single" w:sz="4" w:space="0" w:color="auto"/>
              <w:left w:val="nil"/>
              <w:bottom w:val="nil"/>
              <w:right w:val="nil"/>
            </w:tcBorders>
            <w:hideMark/>
          </w:tcPr>
          <w:p>
            <w:pPr>
              <w:spacing w:before="60" w:after="60"/>
              <w:jc w:val="right"/>
              <w:rPr>
                <w:rFonts w:eastAsia="Calibri"/>
                <w:noProof/>
              </w:rPr>
            </w:pPr>
            <w:r>
              <w:rPr>
                <w:rFonts w:asciiTheme="majorBidi" w:hAnsiTheme="majorBidi"/>
                <w:noProof/>
                <w:color w:val="000000"/>
              </w:rPr>
              <w:t>pm</w:t>
            </w:r>
          </w:p>
        </w:tc>
        <w:tc>
          <w:tcPr>
            <w:tcW w:w="992" w:type="dxa"/>
            <w:tcBorders>
              <w:top w:val="single" w:sz="4" w:space="0" w:color="auto"/>
              <w:left w:val="nil"/>
              <w:bottom w:val="nil"/>
              <w:right w:val="nil"/>
            </w:tcBorders>
            <w:hideMark/>
          </w:tcPr>
          <w:p>
            <w:pPr>
              <w:spacing w:before="60" w:after="60"/>
              <w:rPr>
                <w:rFonts w:eastAsia="Calibri"/>
                <w:b/>
                <w:bCs/>
                <w:noProof/>
                <w:vertAlign w:val="superscript"/>
              </w:rPr>
            </w:pPr>
            <w:r>
              <w:rPr>
                <w:b/>
                <w:bCs/>
                <w:noProof/>
                <w:vertAlign w:val="superscript"/>
              </w:rPr>
              <w:t>(1)</w:t>
            </w:r>
          </w:p>
        </w:tc>
        <w:tc>
          <w:tcPr>
            <w:tcW w:w="4961" w:type="dxa"/>
            <w:gridSpan w:val="2"/>
            <w:tcBorders>
              <w:top w:val="single" w:sz="4" w:space="0" w:color="auto"/>
              <w:left w:val="nil"/>
              <w:bottom w:val="nil"/>
              <w:right w:val="nil"/>
            </w:tcBorders>
            <w:hideMark/>
          </w:tcPr>
          <w:p>
            <w:pPr>
              <w:spacing w:before="60" w:after="60"/>
              <w:rPr>
                <w:rFonts w:eastAsia="Calibri"/>
                <w:noProof/>
              </w:rPr>
            </w:pPr>
            <w:r>
              <w:rPr>
                <w:noProof/>
              </w:rPr>
              <w:t>Аналитичен ОДУ</w:t>
            </w:r>
          </w:p>
          <w:p>
            <w:pPr>
              <w:spacing w:before="60" w:after="60"/>
              <w:rPr>
                <w:rFonts w:eastAsia="Calibri"/>
                <w:noProof/>
              </w:rPr>
            </w:pPr>
            <w:r>
              <w:rPr>
                <w:noProof/>
              </w:rPr>
              <w:t>Член 3 от Регламент (ЕО) № 847/96 не се прилага.</w:t>
            </w:r>
          </w:p>
          <w:p>
            <w:pPr>
              <w:spacing w:before="60" w:after="60"/>
              <w:rPr>
                <w:rFonts w:eastAsia="Calibri"/>
                <w:noProof/>
              </w:rPr>
            </w:pPr>
            <w:r>
              <w:rPr>
                <w:noProof/>
              </w:rPr>
              <w:t>Член 4 от Регламент (ЕО) № 847/96 не се прилага.</w:t>
            </w:r>
          </w:p>
        </w:tc>
      </w:tr>
      <w:tr>
        <w:trPr>
          <w:trHeight w:val="227"/>
        </w:trPr>
        <w:tc>
          <w:tcPr>
            <w:tcW w:w="1701" w:type="dxa"/>
            <w:hideMark/>
          </w:tcPr>
          <w:p>
            <w:pPr>
              <w:spacing w:before="60" w:after="60"/>
              <w:rPr>
                <w:rFonts w:eastAsia="Calibri"/>
                <w:noProof/>
              </w:rPr>
            </w:pPr>
            <w:r>
              <w:rPr>
                <w:noProof/>
              </w:rPr>
              <w:t>ОДУ</w:t>
            </w:r>
          </w:p>
        </w:tc>
        <w:tc>
          <w:tcPr>
            <w:tcW w:w="1985" w:type="dxa"/>
            <w:hideMark/>
          </w:tcPr>
          <w:p>
            <w:pPr>
              <w:spacing w:before="60" w:after="60"/>
              <w:jc w:val="right"/>
              <w:rPr>
                <w:rFonts w:eastAsia="Calibri"/>
                <w:noProof/>
              </w:rPr>
            </w:pPr>
            <w:r>
              <w:rPr>
                <w:rFonts w:asciiTheme="majorBidi" w:hAnsiTheme="majorBidi"/>
                <w:noProof/>
                <w:color w:val="000000"/>
              </w:rPr>
              <w:t>pm</w:t>
            </w:r>
          </w:p>
        </w:tc>
        <w:tc>
          <w:tcPr>
            <w:tcW w:w="5953" w:type="dxa"/>
            <w:gridSpan w:val="3"/>
          </w:tcPr>
          <w:p>
            <w:pPr>
              <w:spacing w:before="60" w:after="60"/>
              <w:rPr>
                <w:rFonts w:eastAsia="Calibri"/>
                <w:noProof/>
              </w:rPr>
            </w:pPr>
          </w:p>
        </w:tc>
      </w:tr>
      <w:tr>
        <w:trPr>
          <w:trHeight w:val="227"/>
        </w:trPr>
        <w:tc>
          <w:tcPr>
            <w:tcW w:w="1701" w:type="dxa"/>
            <w:tcBorders>
              <w:top w:val="nil"/>
              <w:left w:val="nil"/>
              <w:bottom w:val="single" w:sz="4" w:space="0" w:color="auto"/>
              <w:right w:val="nil"/>
            </w:tcBorders>
            <w:hideMark/>
          </w:tcPr>
          <w:p>
            <w:pPr>
              <w:spacing w:before="60" w:after="60"/>
              <w:jc w:val="right"/>
              <w:rPr>
                <w:rFonts w:eastAsia="Calibri"/>
                <w:b/>
                <w:bCs/>
                <w:noProof/>
                <w:vertAlign w:val="superscript"/>
              </w:rPr>
            </w:pPr>
            <w:r>
              <w:rPr>
                <w:b/>
                <w:bCs/>
                <w:noProof/>
                <w:vertAlign w:val="superscript"/>
              </w:rPr>
              <w:t>(1)</w:t>
            </w:r>
          </w:p>
        </w:tc>
        <w:tc>
          <w:tcPr>
            <w:tcW w:w="7938" w:type="dxa"/>
            <w:gridSpan w:val="4"/>
            <w:tcBorders>
              <w:top w:val="nil"/>
              <w:left w:val="nil"/>
              <w:bottom w:val="single" w:sz="4" w:space="0" w:color="auto"/>
              <w:right w:val="nil"/>
            </w:tcBorders>
            <w:hideMark/>
          </w:tcPr>
          <w:p>
            <w:pPr>
              <w:spacing w:before="60" w:after="60"/>
              <w:rPr>
                <w:rFonts w:eastAsia="Calibri"/>
                <w:noProof/>
              </w:rPr>
            </w:pPr>
            <w:r>
              <w:rPr>
                <w:noProof/>
              </w:rPr>
              <w:t xml:space="preserve"> Изключително за прилов. В рамките на тази квота не се разрешава целеви риболов.</w:t>
            </w:r>
          </w:p>
        </w:tc>
      </w:tr>
    </w:tbl>
    <w:p>
      <w:pPr>
        <w:pStyle w:val="Lignefinal"/>
        <w:rPr>
          <w:noProof/>
        </w:rPr>
      </w:pPr>
    </w:p>
    <w:p>
      <w:pPr>
        <w:spacing w:before="0" w:after="0"/>
        <w:rPr>
          <w:b/>
          <w:noProof/>
          <w:u w:val="single"/>
        </w:rPr>
        <w:sectPr>
          <w:pgSz w:w="11907" w:h="16840"/>
          <w:pgMar w:top="1134" w:right="1134" w:bottom="1134" w:left="1134" w:header="567" w:footer="567" w:gutter="0"/>
          <w:pgNumType w:start="109"/>
          <w:cols w:space="720"/>
          <w:docGrid w:linePitch="326"/>
        </w:sectPr>
      </w:pPr>
    </w:p>
    <w:p>
      <w:pPr>
        <w:jc w:val="center"/>
        <w:rPr>
          <w:b/>
          <w:noProof/>
        </w:rPr>
      </w:pPr>
      <w:r>
        <w:rPr>
          <w:b/>
          <w:noProof/>
        </w:rPr>
        <w:t>ПРИЛОЖЕНИЕ IЖ</w:t>
      </w:r>
    </w:p>
    <w:p>
      <w:pPr>
        <w:pStyle w:val="NormalCentered"/>
        <w:rPr>
          <w:noProof/>
        </w:rPr>
      </w:pPr>
      <w:r>
        <w:rPr>
          <w:noProof/>
        </w:rPr>
        <w:t>ЗОНА НА КОНВЕНЦИЯТА WCPFC</w:t>
      </w:r>
    </w:p>
    <w:tbl>
      <w:tblPr>
        <w:tblW w:w="5000" w:type="pct"/>
        <w:tblLook w:val="04A0" w:firstRow="1" w:lastRow="0" w:firstColumn="1" w:lastColumn="0" w:noHBand="0" w:noVBand="1"/>
      </w:tblPr>
      <w:tblGrid>
        <w:gridCol w:w="1809"/>
        <w:gridCol w:w="2127"/>
        <w:gridCol w:w="708"/>
        <w:gridCol w:w="1135"/>
        <w:gridCol w:w="4076"/>
      </w:tblGrid>
      <w:tr>
        <w:trPr>
          <w:trHeight w:val="227"/>
        </w:trPr>
        <w:tc>
          <w:tcPr>
            <w:tcW w:w="918" w:type="pct"/>
            <w:tcBorders>
              <w:top w:val="single" w:sz="8" w:space="0" w:color="000000"/>
              <w:left w:val="nil"/>
              <w:bottom w:val="single" w:sz="8" w:space="0" w:color="auto"/>
              <w:right w:val="single" w:sz="8" w:space="0" w:color="auto"/>
            </w:tcBorders>
            <w:hideMark/>
          </w:tcPr>
          <w:p>
            <w:pPr>
              <w:spacing w:before="60" w:after="60"/>
              <w:rPr>
                <w:noProof/>
                <w:szCs w:val="18"/>
              </w:rPr>
            </w:pPr>
            <w:r>
              <w:rPr>
                <w:noProof/>
              </w:rPr>
              <w:t>Вид:</w:t>
            </w:r>
          </w:p>
        </w:tc>
        <w:tc>
          <w:tcPr>
            <w:tcW w:w="1438" w:type="pct"/>
            <w:gridSpan w:val="2"/>
            <w:tcBorders>
              <w:top w:val="single" w:sz="8" w:space="0" w:color="000000"/>
              <w:left w:val="nil"/>
              <w:bottom w:val="single" w:sz="8" w:space="0" w:color="auto"/>
              <w:right w:val="single" w:sz="8" w:space="0" w:color="auto"/>
            </w:tcBorders>
            <w:hideMark/>
          </w:tcPr>
          <w:p>
            <w:pPr>
              <w:spacing w:before="60" w:after="60"/>
              <w:rPr>
                <w:i/>
                <w:iCs/>
                <w:noProof/>
                <w:szCs w:val="18"/>
              </w:rPr>
            </w:pPr>
            <w:r>
              <w:rPr>
                <w:noProof/>
              </w:rPr>
              <w:t>Големоок тон</w:t>
            </w:r>
          </w:p>
          <w:p>
            <w:pPr>
              <w:spacing w:before="60" w:after="60"/>
              <w:rPr>
                <w:noProof/>
                <w:szCs w:val="18"/>
              </w:rPr>
            </w:pPr>
            <w:r>
              <w:rPr>
                <w:i/>
                <w:iCs/>
                <w:noProof/>
                <w:szCs w:val="18"/>
              </w:rPr>
              <w:t>Thunnus obesus</w:t>
            </w:r>
          </w:p>
        </w:tc>
        <w:tc>
          <w:tcPr>
            <w:tcW w:w="576" w:type="pct"/>
            <w:tcBorders>
              <w:top w:val="single" w:sz="8" w:space="0" w:color="000000"/>
              <w:left w:val="single" w:sz="8" w:space="0" w:color="auto"/>
              <w:bottom w:val="single" w:sz="8" w:space="0" w:color="auto"/>
              <w:right w:val="nil"/>
            </w:tcBorders>
            <w:hideMark/>
          </w:tcPr>
          <w:p>
            <w:pPr>
              <w:spacing w:before="60" w:after="60"/>
              <w:rPr>
                <w:noProof/>
                <w:szCs w:val="18"/>
              </w:rPr>
            </w:pPr>
            <w:r>
              <w:rPr>
                <w:noProof/>
              </w:rPr>
              <w:t>Зона:</w:t>
            </w:r>
          </w:p>
        </w:tc>
        <w:tc>
          <w:tcPr>
            <w:tcW w:w="2068" w:type="pct"/>
            <w:tcBorders>
              <w:top w:val="single" w:sz="8" w:space="0" w:color="000000"/>
              <w:left w:val="nil"/>
              <w:bottom w:val="single" w:sz="8" w:space="0" w:color="auto"/>
              <w:right w:val="nil"/>
            </w:tcBorders>
            <w:hideMark/>
          </w:tcPr>
          <w:p>
            <w:pPr>
              <w:spacing w:before="60" w:after="60"/>
              <w:rPr>
                <w:noProof/>
                <w:szCs w:val="16"/>
              </w:rPr>
            </w:pPr>
            <w:r>
              <w:rPr>
                <w:noProof/>
              </w:rPr>
              <w:t>Зона на Конвенцията WCPFC на юг от 20° ю.ш.</w:t>
            </w:r>
          </w:p>
          <w:p>
            <w:pPr>
              <w:spacing w:before="60" w:after="60"/>
              <w:rPr>
                <w:noProof/>
                <w:szCs w:val="18"/>
              </w:rPr>
            </w:pPr>
            <w:r>
              <w:rPr>
                <w:noProof/>
              </w:rPr>
              <w:t>(BET/F7120S)</w:t>
            </w:r>
          </w:p>
        </w:tc>
      </w:tr>
      <w:tr>
        <w:trPr>
          <w:trHeight w:val="227"/>
        </w:trPr>
        <w:tc>
          <w:tcPr>
            <w:tcW w:w="918" w:type="pct"/>
            <w:hideMark/>
          </w:tcPr>
          <w:p>
            <w:pPr>
              <w:spacing w:before="60" w:after="60"/>
              <w:rPr>
                <w:noProof/>
                <w:szCs w:val="18"/>
              </w:rPr>
            </w:pPr>
            <w:r>
              <w:rPr>
                <w:noProof/>
              </w:rPr>
              <w:t>Съюз</w:t>
            </w:r>
          </w:p>
        </w:tc>
        <w:tc>
          <w:tcPr>
            <w:tcW w:w="1079" w:type="pct"/>
            <w:hideMark/>
          </w:tcPr>
          <w:p>
            <w:pPr>
              <w:spacing w:before="60" w:after="60"/>
              <w:jc w:val="right"/>
              <w:rPr>
                <w:noProof/>
                <w:szCs w:val="18"/>
              </w:rPr>
            </w:pPr>
            <w:r>
              <w:rPr>
                <w:rFonts w:asciiTheme="majorBidi" w:hAnsiTheme="majorBidi"/>
                <w:noProof/>
                <w:color w:val="000000"/>
              </w:rPr>
              <w:t>pm</w:t>
            </w:r>
          </w:p>
        </w:tc>
        <w:tc>
          <w:tcPr>
            <w:tcW w:w="359" w:type="pct"/>
            <w:hideMark/>
          </w:tcPr>
          <w:p>
            <w:pPr>
              <w:spacing w:before="60" w:after="60"/>
              <w:rPr>
                <w:b/>
                <w:bCs/>
                <w:noProof/>
                <w:szCs w:val="18"/>
                <w:vertAlign w:val="superscript"/>
              </w:rPr>
            </w:pPr>
            <w:r>
              <w:rPr>
                <w:b/>
                <w:bCs/>
                <w:noProof/>
                <w:szCs w:val="18"/>
                <w:vertAlign w:val="superscript"/>
              </w:rPr>
              <w:t>(1)</w:t>
            </w:r>
          </w:p>
        </w:tc>
        <w:tc>
          <w:tcPr>
            <w:tcW w:w="2644" w:type="pct"/>
            <w:gridSpan w:val="2"/>
            <w:hideMark/>
          </w:tcPr>
          <w:p>
            <w:pPr>
              <w:spacing w:before="60" w:after="60"/>
              <w:rPr>
                <w:noProof/>
                <w:szCs w:val="18"/>
              </w:rPr>
            </w:pPr>
            <w:r>
              <w:rPr>
                <w:noProof/>
              </w:rPr>
              <w:t>Предпазен ОДУ</w:t>
            </w:r>
          </w:p>
        </w:tc>
      </w:tr>
      <w:tr>
        <w:trPr>
          <w:trHeight w:val="227"/>
        </w:trPr>
        <w:tc>
          <w:tcPr>
            <w:tcW w:w="918" w:type="pct"/>
            <w:hideMark/>
          </w:tcPr>
          <w:p>
            <w:pPr>
              <w:spacing w:before="60" w:after="60"/>
              <w:rPr>
                <w:noProof/>
                <w:szCs w:val="18"/>
              </w:rPr>
            </w:pPr>
            <w:r>
              <w:rPr>
                <w:noProof/>
              </w:rPr>
              <w:t>ОДУ</w:t>
            </w:r>
          </w:p>
        </w:tc>
        <w:tc>
          <w:tcPr>
            <w:tcW w:w="1079" w:type="pct"/>
            <w:hideMark/>
          </w:tcPr>
          <w:p>
            <w:pPr>
              <w:spacing w:before="60" w:after="60"/>
              <w:jc w:val="right"/>
              <w:rPr>
                <w:noProof/>
                <w:szCs w:val="18"/>
              </w:rPr>
            </w:pPr>
            <w:r>
              <w:rPr>
                <w:noProof/>
              </w:rPr>
              <w:t>Не се прилага</w:t>
            </w:r>
          </w:p>
        </w:tc>
        <w:tc>
          <w:tcPr>
            <w:tcW w:w="359" w:type="pct"/>
            <w:hideMark/>
          </w:tcPr>
          <w:p>
            <w:pPr>
              <w:spacing w:before="60" w:after="60"/>
              <w:rPr>
                <w:b/>
                <w:bCs/>
                <w:noProof/>
                <w:szCs w:val="18"/>
                <w:vertAlign w:val="superscript"/>
              </w:rPr>
            </w:pPr>
            <w:r>
              <w:rPr>
                <w:b/>
                <w:bCs/>
                <w:noProof/>
                <w:szCs w:val="18"/>
                <w:vertAlign w:val="superscript"/>
              </w:rPr>
              <w:t>(1)</w:t>
            </w:r>
          </w:p>
        </w:tc>
        <w:tc>
          <w:tcPr>
            <w:tcW w:w="2644" w:type="pct"/>
            <w:gridSpan w:val="2"/>
          </w:tcPr>
          <w:p>
            <w:pPr>
              <w:spacing w:before="60" w:after="60"/>
              <w:rPr>
                <w:noProof/>
                <w:szCs w:val="18"/>
              </w:rPr>
            </w:pPr>
          </w:p>
        </w:tc>
      </w:tr>
      <w:tr>
        <w:trPr>
          <w:trHeight w:val="227"/>
        </w:trPr>
        <w:tc>
          <w:tcPr>
            <w:tcW w:w="918" w:type="pct"/>
            <w:tcBorders>
              <w:top w:val="nil"/>
              <w:left w:val="nil"/>
              <w:bottom w:val="single" w:sz="8" w:space="0" w:color="000000"/>
              <w:right w:val="nil"/>
            </w:tcBorders>
            <w:hideMark/>
          </w:tcPr>
          <w:p>
            <w:pPr>
              <w:spacing w:before="60" w:after="60"/>
              <w:jc w:val="right"/>
              <w:rPr>
                <w:b/>
                <w:bCs/>
                <w:noProof/>
                <w:szCs w:val="18"/>
                <w:vertAlign w:val="superscript"/>
              </w:rPr>
            </w:pPr>
            <w:r>
              <w:rPr>
                <w:b/>
                <w:bCs/>
                <w:noProof/>
                <w:szCs w:val="18"/>
                <w:vertAlign w:val="superscript"/>
              </w:rPr>
              <w:t>(1)</w:t>
            </w:r>
          </w:p>
        </w:tc>
        <w:tc>
          <w:tcPr>
            <w:tcW w:w="4082" w:type="pct"/>
            <w:gridSpan w:val="4"/>
            <w:tcBorders>
              <w:top w:val="nil"/>
              <w:left w:val="nil"/>
              <w:bottom w:val="single" w:sz="8" w:space="0" w:color="000000"/>
              <w:right w:val="nil"/>
            </w:tcBorders>
            <w:hideMark/>
          </w:tcPr>
          <w:p>
            <w:pPr>
              <w:spacing w:before="60" w:after="60"/>
              <w:rPr>
                <w:noProof/>
                <w:szCs w:val="18"/>
              </w:rPr>
            </w:pPr>
            <w:r>
              <w:rPr>
                <w:noProof/>
              </w:rPr>
              <w:t>Риболов по тази квота може да извършват само кораби с парагади.</w:t>
            </w:r>
          </w:p>
        </w:tc>
      </w:tr>
      <w:tr>
        <w:trPr>
          <w:trHeight w:val="227"/>
        </w:trPr>
        <w:tc>
          <w:tcPr>
            <w:tcW w:w="918" w:type="pct"/>
            <w:tcBorders>
              <w:top w:val="single" w:sz="8" w:space="0" w:color="auto"/>
              <w:left w:val="nil"/>
              <w:bottom w:val="single" w:sz="8" w:space="0" w:color="000000"/>
              <w:right w:val="nil"/>
            </w:tcBorders>
            <w:shd w:val="clear" w:color="auto" w:fill="FFFFFF"/>
          </w:tcPr>
          <w:p>
            <w:pPr>
              <w:spacing w:before="60" w:after="60"/>
              <w:rPr>
                <w:noProof/>
                <w:szCs w:val="24"/>
              </w:rPr>
            </w:pPr>
          </w:p>
        </w:tc>
        <w:tc>
          <w:tcPr>
            <w:tcW w:w="1438" w:type="pct"/>
            <w:gridSpan w:val="2"/>
            <w:tcBorders>
              <w:top w:val="single" w:sz="8" w:space="0" w:color="auto"/>
              <w:left w:val="nil"/>
              <w:bottom w:val="single" w:sz="8" w:space="0" w:color="000000"/>
              <w:right w:val="single" w:sz="8" w:space="0" w:color="auto"/>
            </w:tcBorders>
            <w:shd w:val="clear" w:color="auto" w:fill="FFFFFF"/>
          </w:tcPr>
          <w:p>
            <w:pPr>
              <w:spacing w:before="60" w:after="60"/>
              <w:rPr>
                <w:noProof/>
              </w:rPr>
            </w:pPr>
          </w:p>
        </w:tc>
        <w:tc>
          <w:tcPr>
            <w:tcW w:w="576" w:type="pct"/>
            <w:tcBorders>
              <w:top w:val="single" w:sz="8" w:space="0" w:color="auto"/>
              <w:left w:val="single" w:sz="8" w:space="0" w:color="auto"/>
              <w:bottom w:val="single" w:sz="8" w:space="0" w:color="000000"/>
              <w:right w:val="nil"/>
            </w:tcBorders>
            <w:shd w:val="clear" w:color="auto" w:fill="FFFFFF"/>
          </w:tcPr>
          <w:p>
            <w:pPr>
              <w:spacing w:before="60" w:after="60"/>
              <w:rPr>
                <w:noProof/>
              </w:rPr>
            </w:pPr>
          </w:p>
        </w:tc>
        <w:tc>
          <w:tcPr>
            <w:tcW w:w="2068" w:type="pct"/>
            <w:tcBorders>
              <w:top w:val="single" w:sz="8" w:space="0" w:color="auto"/>
              <w:left w:val="nil"/>
              <w:bottom w:val="single" w:sz="8" w:space="0" w:color="000000"/>
              <w:right w:val="nil"/>
            </w:tcBorders>
            <w:shd w:val="clear" w:color="auto" w:fill="FFFFFF"/>
          </w:tcPr>
          <w:p>
            <w:pPr>
              <w:spacing w:before="60" w:after="60"/>
              <w:rPr>
                <w:noProof/>
              </w:rPr>
            </w:pPr>
          </w:p>
        </w:tc>
      </w:tr>
      <w:tr>
        <w:trPr>
          <w:trHeight w:val="227"/>
        </w:trPr>
        <w:tc>
          <w:tcPr>
            <w:tcW w:w="918" w:type="pct"/>
            <w:tcBorders>
              <w:top w:val="single" w:sz="8" w:space="0" w:color="auto"/>
              <w:left w:val="nil"/>
              <w:bottom w:val="single" w:sz="8" w:space="0" w:color="000000"/>
              <w:right w:val="nil"/>
            </w:tcBorders>
            <w:shd w:val="clear" w:color="auto" w:fill="FFFFFF"/>
            <w:hideMark/>
          </w:tcPr>
          <w:p>
            <w:pPr>
              <w:spacing w:before="60" w:after="60"/>
              <w:rPr>
                <w:noProof/>
              </w:rPr>
            </w:pPr>
            <w:r>
              <w:rPr>
                <w:noProof/>
              </w:rPr>
              <w:t>Вид:</w:t>
            </w:r>
          </w:p>
        </w:tc>
        <w:tc>
          <w:tcPr>
            <w:tcW w:w="1438" w:type="pct"/>
            <w:gridSpan w:val="2"/>
            <w:tcBorders>
              <w:top w:val="single" w:sz="8" w:space="0" w:color="auto"/>
              <w:left w:val="nil"/>
              <w:bottom w:val="single" w:sz="8" w:space="0" w:color="000000"/>
              <w:right w:val="single" w:sz="8" w:space="0" w:color="auto"/>
            </w:tcBorders>
            <w:shd w:val="clear" w:color="auto" w:fill="FFFFFF"/>
            <w:hideMark/>
          </w:tcPr>
          <w:p>
            <w:pPr>
              <w:spacing w:before="60" w:after="60"/>
              <w:rPr>
                <w:noProof/>
              </w:rPr>
            </w:pPr>
            <w:r>
              <w:rPr>
                <w:noProof/>
              </w:rPr>
              <w:t>Риба меч</w:t>
            </w:r>
          </w:p>
          <w:p>
            <w:pPr>
              <w:spacing w:before="60" w:after="60"/>
              <w:rPr>
                <w:i/>
                <w:iCs/>
                <w:noProof/>
              </w:rPr>
            </w:pPr>
            <w:r>
              <w:rPr>
                <w:i/>
                <w:iCs/>
                <w:noProof/>
              </w:rPr>
              <w:t>Xiphias gladius</w:t>
            </w:r>
          </w:p>
        </w:tc>
        <w:tc>
          <w:tcPr>
            <w:tcW w:w="576" w:type="pct"/>
            <w:tcBorders>
              <w:top w:val="single" w:sz="8" w:space="0" w:color="auto"/>
              <w:left w:val="single" w:sz="8" w:space="0" w:color="auto"/>
              <w:bottom w:val="single" w:sz="8" w:space="0" w:color="000000"/>
              <w:right w:val="nil"/>
            </w:tcBorders>
            <w:shd w:val="clear" w:color="auto" w:fill="FFFFFF"/>
            <w:hideMark/>
          </w:tcPr>
          <w:p>
            <w:pPr>
              <w:spacing w:before="60" w:after="60"/>
              <w:rPr>
                <w:noProof/>
              </w:rPr>
            </w:pPr>
            <w:r>
              <w:rPr>
                <w:noProof/>
              </w:rPr>
              <w:t>Зона:</w:t>
            </w:r>
          </w:p>
        </w:tc>
        <w:tc>
          <w:tcPr>
            <w:tcW w:w="2068" w:type="pct"/>
            <w:tcBorders>
              <w:top w:val="single" w:sz="8" w:space="0" w:color="auto"/>
              <w:left w:val="nil"/>
              <w:bottom w:val="single" w:sz="8" w:space="0" w:color="000000"/>
              <w:right w:val="nil"/>
            </w:tcBorders>
            <w:shd w:val="clear" w:color="auto" w:fill="FFFFFF"/>
            <w:hideMark/>
          </w:tcPr>
          <w:p>
            <w:pPr>
              <w:spacing w:before="60" w:after="60"/>
              <w:rPr>
                <w:noProof/>
              </w:rPr>
            </w:pPr>
            <w:r>
              <w:rPr>
                <w:noProof/>
              </w:rPr>
              <w:t>Зона на Конвенцията WCPFC на юг от 20° ю.ш.</w:t>
            </w:r>
          </w:p>
          <w:p>
            <w:pPr>
              <w:spacing w:before="60" w:after="60"/>
              <w:rPr>
                <w:noProof/>
              </w:rPr>
            </w:pPr>
            <w:r>
              <w:rPr>
                <w:noProof/>
              </w:rPr>
              <w:t>(SWO/F7120S)</w:t>
            </w:r>
          </w:p>
        </w:tc>
      </w:tr>
      <w:tr>
        <w:trPr>
          <w:trHeight w:val="227"/>
        </w:trPr>
        <w:tc>
          <w:tcPr>
            <w:tcW w:w="918" w:type="pct"/>
            <w:hideMark/>
          </w:tcPr>
          <w:p>
            <w:pPr>
              <w:spacing w:before="60" w:after="60"/>
              <w:rPr>
                <w:noProof/>
              </w:rPr>
            </w:pPr>
            <w:r>
              <w:rPr>
                <w:noProof/>
              </w:rPr>
              <w:t>Съюз</w:t>
            </w:r>
          </w:p>
        </w:tc>
        <w:tc>
          <w:tcPr>
            <w:tcW w:w="1079" w:type="pct"/>
            <w:hideMark/>
          </w:tcPr>
          <w:p>
            <w:pPr>
              <w:spacing w:before="60" w:after="60"/>
              <w:jc w:val="right"/>
              <w:rPr>
                <w:noProof/>
              </w:rPr>
            </w:pPr>
            <w:r>
              <w:rPr>
                <w:rFonts w:asciiTheme="majorBidi" w:hAnsiTheme="majorBidi"/>
                <w:noProof/>
                <w:color w:val="000000"/>
              </w:rPr>
              <w:t>pm</w:t>
            </w:r>
          </w:p>
        </w:tc>
        <w:tc>
          <w:tcPr>
            <w:tcW w:w="359" w:type="pct"/>
          </w:tcPr>
          <w:p>
            <w:pPr>
              <w:spacing w:before="60" w:after="60"/>
              <w:rPr>
                <w:noProof/>
              </w:rPr>
            </w:pPr>
          </w:p>
        </w:tc>
        <w:tc>
          <w:tcPr>
            <w:tcW w:w="2644" w:type="pct"/>
            <w:gridSpan w:val="2"/>
            <w:vMerge w:val="restart"/>
            <w:tcBorders>
              <w:top w:val="single" w:sz="8" w:space="0" w:color="000000"/>
              <w:left w:val="nil"/>
              <w:bottom w:val="single" w:sz="8" w:space="0" w:color="auto"/>
              <w:right w:val="nil"/>
            </w:tcBorders>
            <w:hideMark/>
          </w:tcPr>
          <w:p>
            <w:pPr>
              <w:spacing w:before="60" w:after="60"/>
              <w:rPr>
                <w:noProof/>
              </w:rPr>
            </w:pPr>
            <w:r>
              <w:rPr>
                <w:noProof/>
              </w:rPr>
              <w:t>Предпазен ОДУ</w:t>
            </w:r>
          </w:p>
        </w:tc>
      </w:tr>
      <w:tr>
        <w:trPr>
          <w:trHeight w:val="227"/>
        </w:trPr>
        <w:tc>
          <w:tcPr>
            <w:tcW w:w="918" w:type="pct"/>
            <w:tcBorders>
              <w:top w:val="nil"/>
              <w:left w:val="nil"/>
              <w:bottom w:val="single" w:sz="8" w:space="0" w:color="auto"/>
              <w:right w:val="nil"/>
            </w:tcBorders>
            <w:hideMark/>
          </w:tcPr>
          <w:p>
            <w:pPr>
              <w:spacing w:before="60" w:after="60"/>
              <w:rPr>
                <w:noProof/>
              </w:rPr>
            </w:pPr>
            <w:r>
              <w:rPr>
                <w:noProof/>
              </w:rPr>
              <w:t>ОДУ</w:t>
            </w:r>
          </w:p>
        </w:tc>
        <w:tc>
          <w:tcPr>
            <w:tcW w:w="1079" w:type="pct"/>
            <w:tcBorders>
              <w:top w:val="nil"/>
              <w:left w:val="nil"/>
              <w:bottom w:val="single" w:sz="8" w:space="0" w:color="auto"/>
              <w:right w:val="nil"/>
            </w:tcBorders>
            <w:hideMark/>
          </w:tcPr>
          <w:p>
            <w:pPr>
              <w:spacing w:before="60" w:after="60"/>
              <w:jc w:val="right"/>
              <w:rPr>
                <w:noProof/>
              </w:rPr>
            </w:pPr>
            <w:r>
              <w:rPr>
                <w:noProof/>
              </w:rPr>
              <w:t>Не се прилага</w:t>
            </w:r>
          </w:p>
        </w:tc>
        <w:tc>
          <w:tcPr>
            <w:tcW w:w="359" w:type="pct"/>
            <w:tcBorders>
              <w:top w:val="nil"/>
              <w:left w:val="nil"/>
              <w:bottom w:val="single" w:sz="8" w:space="0" w:color="auto"/>
              <w:right w:val="nil"/>
            </w:tcBorders>
          </w:tcPr>
          <w:p>
            <w:pPr>
              <w:spacing w:before="60" w:after="60"/>
              <w:rPr>
                <w:noProof/>
              </w:rPr>
            </w:pPr>
          </w:p>
        </w:tc>
        <w:tc>
          <w:tcPr>
            <w:tcW w:w="0" w:type="auto"/>
            <w:gridSpan w:val="2"/>
            <w:vMerge/>
            <w:tcBorders>
              <w:top w:val="nil"/>
              <w:left w:val="nil"/>
              <w:bottom w:val="single" w:sz="8" w:space="0" w:color="auto"/>
              <w:right w:val="nil"/>
            </w:tcBorders>
            <w:vAlign w:val="center"/>
            <w:hideMark/>
          </w:tcPr>
          <w:p>
            <w:pPr>
              <w:spacing w:before="0" w:after="0"/>
              <w:rPr>
                <w:noProof/>
                <w:szCs w:val="24"/>
              </w:rPr>
            </w:pPr>
          </w:p>
        </w:tc>
      </w:tr>
    </w:tbl>
    <w:p>
      <w:pPr>
        <w:pStyle w:val="Lignefinal"/>
        <w:rPr>
          <w:noProof/>
          <w:szCs w:val="22"/>
        </w:rPr>
      </w:pPr>
    </w:p>
    <w:p>
      <w:pPr>
        <w:spacing w:before="0" w:after="0"/>
        <w:rPr>
          <w:noProof/>
        </w:rPr>
        <w:sectPr>
          <w:pgSz w:w="11907" w:h="16840"/>
          <w:pgMar w:top="1134" w:right="1134" w:bottom="1134" w:left="1134" w:header="567" w:footer="567" w:gutter="0"/>
          <w:pgNumType w:start="110"/>
          <w:cols w:space="720"/>
          <w:docGrid w:linePitch="326"/>
        </w:sectPr>
      </w:pPr>
    </w:p>
    <w:p>
      <w:pPr>
        <w:jc w:val="center"/>
        <w:rPr>
          <w:b/>
          <w:noProof/>
          <w:szCs w:val="24"/>
        </w:rPr>
      </w:pPr>
      <w:r>
        <w:rPr>
          <w:b/>
          <w:noProof/>
        </w:rPr>
        <w:t>ПРИЛОЖЕНИЕ IЗ</w:t>
      </w:r>
    </w:p>
    <w:p>
      <w:pPr>
        <w:pStyle w:val="NormalCentered"/>
        <w:rPr>
          <w:noProof/>
        </w:rPr>
      </w:pPr>
      <w:r>
        <w:rPr>
          <w:noProof/>
        </w:rPr>
        <w:t>ЗОНА НА КОНВЕНЦИЯТА SPRFMO</w:t>
      </w:r>
    </w:p>
    <w:tbl>
      <w:tblPr>
        <w:tblW w:w="0" w:type="auto"/>
        <w:tblLook w:val="04A0" w:firstRow="1" w:lastRow="0" w:firstColumn="1" w:lastColumn="0" w:noHBand="0" w:noVBand="1"/>
      </w:tblPr>
      <w:tblGrid>
        <w:gridCol w:w="1809"/>
        <w:gridCol w:w="2127"/>
        <w:gridCol w:w="708"/>
        <w:gridCol w:w="1040"/>
        <w:gridCol w:w="4171"/>
      </w:tblGrid>
      <w:tr>
        <w:trPr>
          <w:trHeight w:val="227"/>
        </w:trPr>
        <w:tc>
          <w:tcPr>
            <w:tcW w:w="1809" w:type="dxa"/>
            <w:tcBorders>
              <w:top w:val="single" w:sz="8" w:space="0" w:color="auto"/>
              <w:left w:val="nil"/>
              <w:bottom w:val="single" w:sz="8" w:space="0" w:color="auto"/>
              <w:right w:val="nil"/>
            </w:tcBorders>
            <w:noWrap/>
            <w:hideMark/>
          </w:tcPr>
          <w:p>
            <w:pPr>
              <w:spacing w:before="60" w:after="60"/>
              <w:rPr>
                <w:noProof/>
              </w:rPr>
            </w:pPr>
            <w:r>
              <w:rPr>
                <w:noProof/>
              </w:rPr>
              <w:t>Вид:</w:t>
            </w:r>
          </w:p>
        </w:tc>
        <w:tc>
          <w:tcPr>
            <w:tcW w:w="2835" w:type="dxa"/>
            <w:gridSpan w:val="2"/>
            <w:tcBorders>
              <w:top w:val="single" w:sz="8" w:space="0" w:color="auto"/>
              <w:left w:val="nil"/>
              <w:bottom w:val="single" w:sz="8" w:space="0" w:color="auto"/>
              <w:right w:val="nil"/>
            </w:tcBorders>
            <w:noWrap/>
            <w:hideMark/>
          </w:tcPr>
          <w:p>
            <w:pPr>
              <w:spacing w:before="60" w:after="60"/>
              <w:rPr>
                <w:noProof/>
              </w:rPr>
            </w:pPr>
            <w:r>
              <w:rPr>
                <w:noProof/>
              </w:rPr>
              <w:t>Чилийски сафрид</w:t>
            </w:r>
          </w:p>
          <w:p>
            <w:pPr>
              <w:keepNext/>
              <w:tabs>
                <w:tab w:val="left" w:pos="850"/>
              </w:tabs>
              <w:spacing w:before="60" w:after="60"/>
              <w:outlineLvl w:val="0"/>
              <w:rPr>
                <w:noProof/>
              </w:rPr>
            </w:pPr>
            <w:r>
              <w:rPr>
                <w:i/>
                <w:iCs/>
                <w:noProof/>
              </w:rPr>
              <w:t>Trachurus murphyi</w:t>
            </w:r>
          </w:p>
        </w:tc>
        <w:tc>
          <w:tcPr>
            <w:tcW w:w="1040" w:type="dxa"/>
            <w:tcBorders>
              <w:top w:val="single" w:sz="8" w:space="0" w:color="auto"/>
              <w:left w:val="single" w:sz="8" w:space="0" w:color="auto"/>
              <w:bottom w:val="single" w:sz="8" w:space="0" w:color="auto"/>
              <w:right w:val="nil"/>
            </w:tcBorders>
            <w:noWrap/>
            <w:hideMark/>
          </w:tcPr>
          <w:p>
            <w:pPr>
              <w:spacing w:before="60" w:after="60"/>
              <w:rPr>
                <w:noProof/>
              </w:rPr>
            </w:pPr>
            <w:r>
              <w:rPr>
                <w:noProof/>
              </w:rPr>
              <w:t>Зона:</w:t>
            </w:r>
          </w:p>
        </w:tc>
        <w:tc>
          <w:tcPr>
            <w:tcW w:w="4171" w:type="dxa"/>
            <w:tcBorders>
              <w:top w:val="single" w:sz="8" w:space="0" w:color="auto"/>
              <w:left w:val="nil"/>
              <w:bottom w:val="single" w:sz="8" w:space="0" w:color="auto"/>
              <w:right w:val="nil"/>
            </w:tcBorders>
            <w:noWrap/>
            <w:hideMark/>
          </w:tcPr>
          <w:p>
            <w:pPr>
              <w:spacing w:before="60" w:after="60"/>
              <w:rPr>
                <w:noProof/>
              </w:rPr>
            </w:pPr>
            <w:r>
              <w:rPr>
                <w:noProof/>
              </w:rPr>
              <w:t>Зона на Конвенцията SPRFMO</w:t>
            </w:r>
          </w:p>
          <w:p>
            <w:pPr>
              <w:spacing w:before="60" w:after="60"/>
              <w:rPr>
                <w:noProof/>
              </w:rPr>
            </w:pPr>
            <w:r>
              <w:rPr>
                <w:noProof/>
              </w:rPr>
              <w:t>(CJM/SPRFMO)</w:t>
            </w:r>
          </w:p>
        </w:tc>
      </w:tr>
      <w:tr>
        <w:trPr>
          <w:trHeight w:val="227"/>
        </w:trPr>
        <w:tc>
          <w:tcPr>
            <w:tcW w:w="1809" w:type="dxa"/>
            <w:tcBorders>
              <w:top w:val="single" w:sz="8" w:space="0" w:color="auto"/>
              <w:left w:val="nil"/>
              <w:bottom w:val="nil"/>
              <w:right w:val="nil"/>
            </w:tcBorders>
            <w:noWrap/>
            <w:hideMark/>
          </w:tcPr>
          <w:p>
            <w:pPr>
              <w:spacing w:before="60" w:after="60"/>
              <w:rPr>
                <w:noProof/>
              </w:rPr>
            </w:pPr>
            <w:r>
              <w:rPr>
                <w:noProof/>
              </w:rPr>
              <w:t>Германия</w:t>
            </w:r>
          </w:p>
        </w:tc>
        <w:tc>
          <w:tcPr>
            <w:tcW w:w="2127" w:type="dxa"/>
            <w:tcBorders>
              <w:top w:val="single" w:sz="8" w:space="0" w:color="auto"/>
              <w:left w:val="nil"/>
              <w:bottom w:val="nil"/>
              <w:right w:val="nil"/>
            </w:tcBorders>
            <w:noWrap/>
            <w:hideMark/>
          </w:tcPr>
          <w:p>
            <w:pPr>
              <w:spacing w:before="60" w:after="60"/>
              <w:jc w:val="right"/>
              <w:rPr>
                <w:noProof/>
              </w:rPr>
            </w:pPr>
            <w:r>
              <w:rPr>
                <w:noProof/>
              </w:rPr>
              <w:t>Предстои да бъде определен</w:t>
            </w:r>
          </w:p>
        </w:tc>
        <w:tc>
          <w:tcPr>
            <w:tcW w:w="708" w:type="dxa"/>
            <w:tcBorders>
              <w:top w:val="single" w:sz="8" w:space="0" w:color="auto"/>
              <w:left w:val="nil"/>
              <w:bottom w:val="nil"/>
              <w:right w:val="nil"/>
            </w:tcBorders>
          </w:tcPr>
          <w:p>
            <w:pPr>
              <w:spacing w:before="60" w:after="60"/>
              <w:rPr>
                <w:b/>
                <w:bCs/>
                <w:noProof/>
                <w:vertAlign w:val="superscript"/>
              </w:rPr>
            </w:pPr>
          </w:p>
        </w:tc>
        <w:tc>
          <w:tcPr>
            <w:tcW w:w="5211" w:type="dxa"/>
            <w:gridSpan w:val="2"/>
            <w:vMerge w:val="restart"/>
            <w:tcBorders>
              <w:top w:val="single" w:sz="8" w:space="0" w:color="auto"/>
              <w:left w:val="nil"/>
              <w:bottom w:val="nil"/>
              <w:right w:val="nil"/>
            </w:tcBorders>
            <w:noWrap/>
            <w:hideMark/>
          </w:tcPr>
          <w:p>
            <w:pPr>
              <w:spacing w:before="60" w:after="60"/>
              <w:rPr>
                <w:noProof/>
              </w:rPr>
            </w:pPr>
            <w:r>
              <w:rPr>
                <w:noProof/>
              </w:rPr>
              <w:t>Аналитичен ОДУ</w:t>
            </w:r>
          </w:p>
          <w:p>
            <w:pPr>
              <w:spacing w:before="60" w:after="60"/>
              <w:rPr>
                <w:noProof/>
              </w:rPr>
            </w:pPr>
            <w:r>
              <w:rPr>
                <w:noProof/>
              </w:rPr>
              <w:t>Член 3 от Регламент (ЕО) № 847/96 не се прилага.</w:t>
            </w:r>
          </w:p>
          <w:p>
            <w:pPr>
              <w:spacing w:before="60" w:after="60"/>
              <w:rPr>
                <w:noProof/>
              </w:rPr>
            </w:pPr>
            <w:r>
              <w:rPr>
                <w:noProof/>
              </w:rPr>
              <w:t>Член 4 от Регламент (ЕО) № 847/96 не се прилага.</w:t>
            </w:r>
          </w:p>
        </w:tc>
      </w:tr>
      <w:tr>
        <w:trPr>
          <w:trHeight w:val="227"/>
        </w:trPr>
        <w:tc>
          <w:tcPr>
            <w:tcW w:w="1809" w:type="dxa"/>
            <w:noWrap/>
            <w:hideMark/>
          </w:tcPr>
          <w:p>
            <w:pPr>
              <w:spacing w:before="60" w:after="60"/>
              <w:rPr>
                <w:noProof/>
              </w:rPr>
            </w:pPr>
            <w:r>
              <w:rPr>
                <w:noProof/>
              </w:rPr>
              <w:t>Нидерландия</w:t>
            </w:r>
          </w:p>
        </w:tc>
        <w:tc>
          <w:tcPr>
            <w:tcW w:w="2127" w:type="dxa"/>
            <w:noWrap/>
            <w:hideMark/>
          </w:tcPr>
          <w:p>
            <w:pPr>
              <w:spacing w:before="60" w:after="60"/>
              <w:jc w:val="right"/>
              <w:rPr>
                <w:noProof/>
              </w:rPr>
            </w:pPr>
            <w:r>
              <w:rPr>
                <w:noProof/>
              </w:rPr>
              <w:t>Предстои да бъде определен</w:t>
            </w:r>
          </w:p>
        </w:tc>
        <w:tc>
          <w:tcPr>
            <w:tcW w:w="708" w:type="dxa"/>
          </w:tcPr>
          <w:p>
            <w:pPr>
              <w:spacing w:before="60" w:after="60"/>
              <w:rPr>
                <w:noProof/>
              </w:rPr>
            </w:pPr>
          </w:p>
        </w:tc>
        <w:tc>
          <w:tcPr>
            <w:tcW w:w="0" w:type="auto"/>
            <w:gridSpan w:val="2"/>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1809" w:type="dxa"/>
            <w:noWrap/>
            <w:hideMark/>
          </w:tcPr>
          <w:p>
            <w:pPr>
              <w:spacing w:before="60" w:after="60"/>
              <w:rPr>
                <w:noProof/>
              </w:rPr>
            </w:pPr>
            <w:r>
              <w:rPr>
                <w:noProof/>
              </w:rPr>
              <w:t>Литва</w:t>
            </w:r>
          </w:p>
        </w:tc>
        <w:tc>
          <w:tcPr>
            <w:tcW w:w="2127" w:type="dxa"/>
            <w:noWrap/>
            <w:hideMark/>
          </w:tcPr>
          <w:p>
            <w:pPr>
              <w:spacing w:before="60" w:after="60"/>
              <w:jc w:val="right"/>
              <w:rPr>
                <w:noProof/>
              </w:rPr>
            </w:pPr>
            <w:r>
              <w:rPr>
                <w:noProof/>
              </w:rPr>
              <w:t>Предстои да бъде определен</w:t>
            </w:r>
          </w:p>
        </w:tc>
        <w:tc>
          <w:tcPr>
            <w:tcW w:w="708" w:type="dxa"/>
          </w:tcPr>
          <w:p>
            <w:pPr>
              <w:spacing w:before="60" w:after="60"/>
              <w:rPr>
                <w:noProof/>
              </w:rPr>
            </w:pPr>
          </w:p>
        </w:tc>
        <w:tc>
          <w:tcPr>
            <w:tcW w:w="0" w:type="auto"/>
            <w:gridSpan w:val="2"/>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1809" w:type="dxa"/>
            <w:noWrap/>
            <w:hideMark/>
          </w:tcPr>
          <w:p>
            <w:pPr>
              <w:spacing w:before="60" w:after="60"/>
              <w:rPr>
                <w:noProof/>
              </w:rPr>
            </w:pPr>
            <w:r>
              <w:rPr>
                <w:noProof/>
              </w:rPr>
              <w:t>Полша</w:t>
            </w:r>
          </w:p>
        </w:tc>
        <w:tc>
          <w:tcPr>
            <w:tcW w:w="2127" w:type="dxa"/>
            <w:noWrap/>
            <w:hideMark/>
          </w:tcPr>
          <w:p>
            <w:pPr>
              <w:spacing w:before="60" w:after="60"/>
              <w:jc w:val="right"/>
              <w:rPr>
                <w:noProof/>
              </w:rPr>
            </w:pPr>
            <w:r>
              <w:rPr>
                <w:noProof/>
              </w:rPr>
              <w:t>Предстои да бъде определен</w:t>
            </w:r>
          </w:p>
        </w:tc>
        <w:tc>
          <w:tcPr>
            <w:tcW w:w="708" w:type="dxa"/>
          </w:tcPr>
          <w:p>
            <w:pPr>
              <w:spacing w:before="60" w:after="60"/>
              <w:rPr>
                <w:noProof/>
              </w:rPr>
            </w:pPr>
          </w:p>
        </w:tc>
        <w:tc>
          <w:tcPr>
            <w:tcW w:w="0" w:type="auto"/>
            <w:gridSpan w:val="2"/>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1809" w:type="dxa"/>
            <w:noWrap/>
            <w:hideMark/>
          </w:tcPr>
          <w:p>
            <w:pPr>
              <w:spacing w:before="60" w:after="60"/>
              <w:rPr>
                <w:noProof/>
              </w:rPr>
            </w:pPr>
            <w:r>
              <w:rPr>
                <w:noProof/>
              </w:rPr>
              <w:t>Съюз</w:t>
            </w:r>
          </w:p>
        </w:tc>
        <w:tc>
          <w:tcPr>
            <w:tcW w:w="2127" w:type="dxa"/>
            <w:noWrap/>
            <w:hideMark/>
          </w:tcPr>
          <w:p>
            <w:pPr>
              <w:spacing w:before="60" w:after="60"/>
              <w:jc w:val="right"/>
              <w:rPr>
                <w:noProof/>
              </w:rPr>
            </w:pPr>
            <w:r>
              <w:rPr>
                <w:noProof/>
              </w:rPr>
              <w:t>Предстои да бъде определен</w:t>
            </w:r>
          </w:p>
        </w:tc>
        <w:tc>
          <w:tcPr>
            <w:tcW w:w="708" w:type="dxa"/>
          </w:tcPr>
          <w:p>
            <w:pPr>
              <w:spacing w:before="60" w:after="60"/>
              <w:rPr>
                <w:noProof/>
              </w:rPr>
            </w:pPr>
          </w:p>
        </w:tc>
        <w:tc>
          <w:tcPr>
            <w:tcW w:w="0" w:type="auto"/>
            <w:gridSpan w:val="2"/>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1809" w:type="dxa"/>
            <w:noWrap/>
            <w:hideMark/>
          </w:tcPr>
          <w:p>
            <w:pPr>
              <w:spacing w:before="60" w:after="60"/>
              <w:rPr>
                <w:noProof/>
              </w:rPr>
            </w:pPr>
            <w:r>
              <w:rPr>
                <w:noProof/>
              </w:rPr>
              <w:t>ОДУ</w:t>
            </w:r>
          </w:p>
        </w:tc>
        <w:tc>
          <w:tcPr>
            <w:tcW w:w="2127" w:type="dxa"/>
            <w:noWrap/>
            <w:hideMark/>
          </w:tcPr>
          <w:p>
            <w:pPr>
              <w:spacing w:before="60" w:after="60"/>
              <w:rPr>
                <w:noProof/>
              </w:rPr>
            </w:pPr>
            <w:r>
              <w:rPr>
                <w:noProof/>
              </w:rPr>
              <w:t>Не се прилага</w:t>
            </w:r>
          </w:p>
        </w:tc>
        <w:tc>
          <w:tcPr>
            <w:tcW w:w="708" w:type="dxa"/>
          </w:tcPr>
          <w:p>
            <w:pPr>
              <w:spacing w:before="60" w:after="60"/>
              <w:rPr>
                <w:noProof/>
              </w:rPr>
            </w:pPr>
          </w:p>
        </w:tc>
        <w:tc>
          <w:tcPr>
            <w:tcW w:w="0" w:type="auto"/>
            <w:gridSpan w:val="2"/>
            <w:vMerge/>
            <w:tcBorders>
              <w:top w:val="single" w:sz="8" w:space="0" w:color="auto"/>
              <w:left w:val="nil"/>
              <w:bottom w:val="nil"/>
              <w:right w:val="nil"/>
            </w:tcBorders>
            <w:vAlign w:val="center"/>
            <w:hideMark/>
          </w:tcPr>
          <w:p>
            <w:pPr>
              <w:spacing w:before="0" w:after="0"/>
              <w:rPr>
                <w:noProof/>
                <w:szCs w:val="24"/>
              </w:rPr>
            </w:pPr>
          </w:p>
        </w:tc>
      </w:tr>
      <w:tr>
        <w:trPr>
          <w:trHeight w:val="227"/>
        </w:trPr>
        <w:tc>
          <w:tcPr>
            <w:tcW w:w="1809" w:type="dxa"/>
            <w:tcBorders>
              <w:top w:val="single" w:sz="4" w:space="0" w:color="auto"/>
              <w:left w:val="nil"/>
              <w:bottom w:val="single" w:sz="8" w:space="0" w:color="auto"/>
              <w:right w:val="nil"/>
            </w:tcBorders>
            <w:noWrap/>
          </w:tcPr>
          <w:p>
            <w:pPr>
              <w:spacing w:before="60" w:after="60"/>
              <w:rPr>
                <w:b/>
                <w:bCs/>
                <w:noProof/>
                <w:vertAlign w:val="superscript"/>
              </w:rPr>
            </w:pPr>
          </w:p>
        </w:tc>
        <w:tc>
          <w:tcPr>
            <w:tcW w:w="8046" w:type="dxa"/>
            <w:gridSpan w:val="4"/>
            <w:tcBorders>
              <w:top w:val="single" w:sz="4" w:space="0" w:color="auto"/>
              <w:left w:val="nil"/>
              <w:bottom w:val="single" w:sz="8" w:space="0" w:color="auto"/>
              <w:right w:val="nil"/>
            </w:tcBorders>
            <w:noWrap/>
          </w:tcPr>
          <w:p>
            <w:pPr>
              <w:spacing w:before="60" w:after="60"/>
              <w:rPr>
                <w:noProof/>
              </w:rPr>
            </w:pPr>
          </w:p>
        </w:tc>
      </w:tr>
      <w:tr>
        <w:trPr>
          <w:trHeight w:val="227"/>
        </w:trPr>
        <w:tc>
          <w:tcPr>
            <w:tcW w:w="1809" w:type="dxa"/>
            <w:tcBorders>
              <w:top w:val="single" w:sz="8" w:space="0" w:color="auto"/>
              <w:left w:val="nil"/>
              <w:bottom w:val="single" w:sz="8" w:space="0" w:color="auto"/>
              <w:right w:val="nil"/>
            </w:tcBorders>
            <w:hideMark/>
          </w:tcPr>
          <w:p>
            <w:pPr>
              <w:spacing w:before="60" w:after="60"/>
              <w:rPr>
                <w:noProof/>
              </w:rPr>
            </w:pPr>
            <w:r>
              <w:rPr>
                <w:noProof/>
              </w:rPr>
              <w:t>Вид:</w:t>
            </w:r>
          </w:p>
        </w:tc>
        <w:tc>
          <w:tcPr>
            <w:tcW w:w="2835" w:type="dxa"/>
            <w:gridSpan w:val="2"/>
            <w:tcBorders>
              <w:top w:val="single" w:sz="8" w:space="0" w:color="auto"/>
              <w:left w:val="nil"/>
              <w:bottom w:val="single" w:sz="8" w:space="0" w:color="auto"/>
              <w:right w:val="single" w:sz="8" w:space="0" w:color="auto"/>
            </w:tcBorders>
            <w:hideMark/>
          </w:tcPr>
          <w:p>
            <w:pPr>
              <w:spacing w:before="60" w:after="60"/>
              <w:rPr>
                <w:noProof/>
              </w:rPr>
            </w:pPr>
            <w:r>
              <w:rPr>
                <w:noProof/>
              </w:rPr>
              <w:t>Кликач, видове</w:t>
            </w:r>
          </w:p>
          <w:p>
            <w:pPr>
              <w:keepNext/>
              <w:tabs>
                <w:tab w:val="left" w:pos="850"/>
              </w:tabs>
              <w:spacing w:before="60" w:after="60"/>
              <w:rPr>
                <w:i/>
                <w:iCs/>
                <w:noProof/>
              </w:rPr>
            </w:pPr>
            <w:r>
              <w:rPr>
                <w:i/>
                <w:iCs/>
                <w:noProof/>
              </w:rPr>
              <w:t xml:space="preserve">Dissostichus </w:t>
            </w:r>
            <w:r>
              <w:rPr>
                <w:noProof/>
              </w:rPr>
              <w:t>spp.</w:t>
            </w:r>
          </w:p>
        </w:tc>
        <w:tc>
          <w:tcPr>
            <w:tcW w:w="1040" w:type="dxa"/>
            <w:tcBorders>
              <w:top w:val="single" w:sz="8" w:space="0" w:color="auto"/>
              <w:left w:val="single" w:sz="8" w:space="0" w:color="auto"/>
              <w:bottom w:val="single" w:sz="8" w:space="0" w:color="auto"/>
              <w:right w:val="nil"/>
            </w:tcBorders>
            <w:hideMark/>
          </w:tcPr>
          <w:p>
            <w:pPr>
              <w:spacing w:before="60" w:after="60"/>
              <w:rPr>
                <w:noProof/>
              </w:rPr>
            </w:pPr>
            <w:r>
              <w:rPr>
                <w:noProof/>
              </w:rPr>
              <w:t>Зона:</w:t>
            </w:r>
          </w:p>
        </w:tc>
        <w:tc>
          <w:tcPr>
            <w:tcW w:w="4171" w:type="dxa"/>
            <w:tcBorders>
              <w:top w:val="single" w:sz="8" w:space="0" w:color="auto"/>
              <w:left w:val="nil"/>
              <w:bottom w:val="single" w:sz="8" w:space="0" w:color="auto"/>
              <w:right w:val="nil"/>
            </w:tcBorders>
            <w:hideMark/>
          </w:tcPr>
          <w:p>
            <w:pPr>
              <w:spacing w:before="60" w:after="60"/>
              <w:rPr>
                <w:noProof/>
              </w:rPr>
            </w:pPr>
            <w:r>
              <w:rPr>
                <w:noProof/>
              </w:rPr>
              <w:t>Зона на Конвенцията SPRFMO</w:t>
            </w:r>
          </w:p>
          <w:p>
            <w:pPr>
              <w:spacing w:before="60" w:after="60"/>
              <w:rPr>
                <w:noProof/>
              </w:rPr>
            </w:pPr>
            <w:r>
              <w:rPr>
                <w:noProof/>
              </w:rPr>
              <w:t>(TOT/SPR-AE)</w:t>
            </w:r>
          </w:p>
        </w:tc>
      </w:tr>
      <w:tr>
        <w:trPr>
          <w:trHeight w:val="227"/>
        </w:trPr>
        <w:tc>
          <w:tcPr>
            <w:tcW w:w="1809" w:type="dxa"/>
            <w:tcBorders>
              <w:top w:val="single" w:sz="8" w:space="0" w:color="auto"/>
              <w:left w:val="nil"/>
              <w:bottom w:val="nil"/>
              <w:right w:val="nil"/>
            </w:tcBorders>
            <w:hideMark/>
          </w:tcPr>
          <w:p>
            <w:pPr>
              <w:spacing w:before="60" w:after="60"/>
              <w:rPr>
                <w:noProof/>
              </w:rPr>
            </w:pPr>
            <w:r>
              <w:rPr>
                <w:noProof/>
              </w:rPr>
              <w:t>ОДУ</w:t>
            </w:r>
          </w:p>
        </w:tc>
        <w:tc>
          <w:tcPr>
            <w:tcW w:w="2127" w:type="dxa"/>
            <w:tcBorders>
              <w:top w:val="single" w:sz="8" w:space="0" w:color="auto"/>
              <w:left w:val="nil"/>
              <w:bottom w:val="nil"/>
              <w:right w:val="nil"/>
            </w:tcBorders>
            <w:hideMark/>
          </w:tcPr>
          <w:p>
            <w:pPr>
              <w:spacing w:before="60" w:after="60"/>
              <w:jc w:val="right"/>
              <w:rPr>
                <w:noProof/>
              </w:rPr>
            </w:pPr>
            <w:r>
              <w:rPr>
                <w:noProof/>
              </w:rPr>
              <w:t>Предстои да бъде определен</w:t>
            </w:r>
          </w:p>
        </w:tc>
        <w:tc>
          <w:tcPr>
            <w:tcW w:w="708" w:type="dxa"/>
            <w:tcBorders>
              <w:top w:val="single" w:sz="8" w:space="0" w:color="auto"/>
              <w:left w:val="nil"/>
              <w:bottom w:val="nil"/>
              <w:right w:val="nil"/>
            </w:tcBorders>
            <w:hideMark/>
          </w:tcPr>
          <w:p>
            <w:pPr>
              <w:spacing w:before="60" w:after="60"/>
              <w:rPr>
                <w:b/>
                <w:bCs/>
                <w:noProof/>
                <w:vertAlign w:val="superscript"/>
              </w:rPr>
            </w:pPr>
            <w:r>
              <w:rPr>
                <w:b/>
                <w:bCs/>
                <w:noProof/>
                <w:vertAlign w:val="superscript"/>
              </w:rPr>
              <w:t>(1)</w:t>
            </w:r>
          </w:p>
        </w:tc>
        <w:tc>
          <w:tcPr>
            <w:tcW w:w="5211" w:type="dxa"/>
            <w:gridSpan w:val="2"/>
            <w:tcBorders>
              <w:top w:val="single" w:sz="8" w:space="0" w:color="auto"/>
              <w:left w:val="nil"/>
              <w:bottom w:val="nil"/>
              <w:right w:val="nil"/>
            </w:tcBorders>
            <w:hideMark/>
          </w:tcPr>
          <w:p>
            <w:pPr>
              <w:spacing w:before="60" w:after="60"/>
              <w:rPr>
                <w:noProof/>
              </w:rPr>
            </w:pPr>
            <w:r>
              <w:rPr>
                <w:noProof/>
              </w:rPr>
              <w:t>Предпазен ОДУ</w:t>
            </w:r>
          </w:p>
        </w:tc>
      </w:tr>
      <w:tr>
        <w:trPr>
          <w:trHeight w:val="227"/>
        </w:trPr>
        <w:tc>
          <w:tcPr>
            <w:tcW w:w="0" w:type="auto"/>
            <w:gridSpan w:val="5"/>
            <w:tcBorders>
              <w:top w:val="nil"/>
              <w:left w:val="nil"/>
              <w:bottom w:val="single" w:sz="4" w:space="0" w:color="auto"/>
              <w:right w:val="nil"/>
            </w:tcBorders>
            <w:hideMark/>
          </w:tcPr>
          <w:p>
            <w:pPr>
              <w:spacing w:before="60" w:after="60"/>
              <w:ind w:left="720" w:hanging="720"/>
              <w:jc w:val="left"/>
              <w:rPr>
                <w:noProof/>
              </w:rPr>
            </w:pPr>
            <w:r>
              <w:rPr>
                <w:b/>
                <w:bCs/>
                <w:noProof/>
                <w:vertAlign w:val="superscript"/>
              </w:rPr>
              <w:t>(1)</w:t>
            </w:r>
            <w:r>
              <w:rPr>
                <w:noProof/>
              </w:rPr>
              <w:tab/>
              <w:t xml:space="preserve">Този ОДУ е само за проучвателен риболов. Риболовът се извършва само в рамките на следните проучвателни участъци (A—Д): </w:t>
            </w:r>
            <w:r>
              <w:rPr>
                <w:noProof/>
              </w:rPr>
              <w:br/>
              <w:t xml:space="preserve">— проучвателен участък A: зона, ограничена от 47° 15' ю.ш. и 48° 15' ю.ш., и 146° 30' и.д. и 147° 30' и.д., </w:t>
            </w:r>
            <w:r>
              <w:rPr>
                <w:noProof/>
              </w:rPr>
              <w:br/>
              <w:t xml:space="preserve">— проучвателен участък Б: зона, ограничена от 47° 15' ю.ш. и 48° 15' ю.ш., и 147° 30' и.д. и 148° 30' и.д., </w:t>
            </w:r>
            <w:r>
              <w:rPr>
                <w:noProof/>
              </w:rPr>
              <w:br/>
              <w:t xml:space="preserve">— проучвателен участък В: зона, ограничена от 47° 15' ю.ш. и 48° 15' ю.ш., и 148° 30' и.д. и 150° 00' и.д., </w:t>
            </w:r>
            <w:r>
              <w:rPr>
                <w:noProof/>
              </w:rPr>
              <w:br/>
              <w:t xml:space="preserve">— проучвателен участък Г: зона, ограничена от 48° 15′ ю.ш. и 49° 15′ ю.ш., и 149° 00′ и.д. и 150° 00′ и.д., </w:t>
            </w:r>
            <w:r>
              <w:rPr>
                <w:noProof/>
              </w:rPr>
              <w:br/>
              <w:t>— проучвателен участък Д: зона, ограничена от 48° 15' ю.ш. и 49° 30' ю.ш., и 150° 00' и.д. и 151° 00' и.д.</w:t>
            </w:r>
          </w:p>
        </w:tc>
      </w:tr>
    </w:tbl>
    <w:p>
      <w:pPr>
        <w:pStyle w:val="Lignefinal"/>
        <w:rPr>
          <w:noProof/>
          <w:szCs w:val="22"/>
        </w:rPr>
      </w:pPr>
    </w:p>
    <w:p>
      <w:pPr>
        <w:spacing w:before="0" w:after="0"/>
        <w:rPr>
          <w:noProof/>
        </w:rPr>
        <w:sectPr>
          <w:pgSz w:w="11907" w:h="16840"/>
          <w:pgMar w:top="1134" w:right="1134" w:bottom="1134" w:left="1134" w:header="567" w:footer="567" w:gutter="0"/>
          <w:pgNumType w:start="111"/>
          <w:cols w:space="720"/>
          <w:docGrid w:linePitch="326"/>
        </w:sectPr>
      </w:pPr>
    </w:p>
    <w:p>
      <w:pPr>
        <w:jc w:val="center"/>
        <w:rPr>
          <w:b/>
          <w:noProof/>
          <w:szCs w:val="24"/>
        </w:rPr>
      </w:pPr>
      <w:r>
        <w:rPr>
          <w:b/>
          <w:noProof/>
        </w:rPr>
        <w:t>ПРИЛОЖЕНИЕ IЙ</w:t>
      </w:r>
    </w:p>
    <w:p>
      <w:pPr>
        <w:pStyle w:val="NormalCentered"/>
        <w:rPr>
          <w:noProof/>
        </w:rPr>
      </w:pPr>
      <w:r>
        <w:rPr>
          <w:noProof/>
        </w:rPr>
        <w:t>ЗОНА НА КОМПЕТЕНТНОСТ НА IOTC</w:t>
      </w:r>
    </w:p>
    <w:p>
      <w:pPr>
        <w:rPr>
          <w:noProof/>
        </w:rPr>
      </w:pPr>
      <w:r>
        <w:rPr>
          <w:noProof/>
        </w:rPr>
        <w:t>Уловът на жълтопер тунец от кораби на Съюза с мрежи гъргър не надвишава ограниченията на улова, определени в настоящото приложение.</w:t>
      </w:r>
    </w:p>
    <w:tbl>
      <w:tblPr>
        <w:tblW w:w="9406" w:type="dxa"/>
        <w:tblInd w:w="108" w:type="dxa"/>
        <w:tblLayout w:type="fixed"/>
        <w:tblLook w:val="04A0" w:firstRow="1" w:lastRow="0" w:firstColumn="1" w:lastColumn="0" w:noHBand="0" w:noVBand="1"/>
      </w:tblPr>
      <w:tblGrid>
        <w:gridCol w:w="1843"/>
        <w:gridCol w:w="1559"/>
        <w:gridCol w:w="993"/>
        <w:gridCol w:w="850"/>
        <w:gridCol w:w="4161"/>
      </w:tblGrid>
      <w:tr>
        <w:trPr>
          <w:trHeight w:val="40"/>
        </w:trPr>
        <w:tc>
          <w:tcPr>
            <w:tcW w:w="1843" w:type="dxa"/>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Вид:</w:t>
            </w:r>
          </w:p>
        </w:tc>
        <w:tc>
          <w:tcPr>
            <w:tcW w:w="2552" w:type="dxa"/>
            <w:gridSpan w:val="2"/>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Жълтопер тунец</w:t>
            </w:r>
          </w:p>
          <w:p>
            <w:pPr>
              <w:spacing w:before="60" w:after="60"/>
              <w:rPr>
                <w:rFonts w:asciiTheme="majorBidi" w:hAnsiTheme="majorBidi" w:cstheme="majorBidi"/>
                <w:noProof/>
              </w:rPr>
            </w:pPr>
            <w:r>
              <w:rPr>
                <w:rFonts w:asciiTheme="majorBidi" w:hAnsiTheme="majorBidi"/>
                <w:i/>
                <w:iCs/>
                <w:noProof/>
              </w:rPr>
              <w:t>Thunnus albacares</w:t>
            </w:r>
          </w:p>
        </w:tc>
        <w:tc>
          <w:tcPr>
            <w:tcW w:w="850" w:type="dxa"/>
            <w:tcBorders>
              <w:top w:val="single" w:sz="8" w:space="0" w:color="auto"/>
              <w:left w:val="single" w:sz="8" w:space="0" w:color="auto"/>
              <w:bottom w:val="nil"/>
              <w:right w:val="nil"/>
            </w:tcBorders>
            <w:hideMark/>
          </w:tcPr>
          <w:p>
            <w:pPr>
              <w:spacing w:before="60" w:after="60"/>
              <w:rPr>
                <w:rFonts w:asciiTheme="majorBidi" w:hAnsiTheme="majorBidi" w:cstheme="majorBidi"/>
                <w:noProof/>
              </w:rPr>
            </w:pPr>
            <w:r>
              <w:rPr>
                <w:rFonts w:asciiTheme="majorBidi" w:hAnsiTheme="majorBidi"/>
                <w:noProof/>
              </w:rPr>
              <w:t>Зона:</w:t>
            </w:r>
          </w:p>
        </w:tc>
        <w:tc>
          <w:tcPr>
            <w:tcW w:w="4161" w:type="dxa"/>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Зона на компетентност на IOTC</w:t>
            </w:r>
          </w:p>
          <w:p>
            <w:pPr>
              <w:spacing w:before="60" w:after="60"/>
              <w:rPr>
                <w:rFonts w:asciiTheme="majorBidi" w:hAnsiTheme="majorBidi" w:cstheme="majorBidi"/>
                <w:noProof/>
              </w:rPr>
            </w:pPr>
            <w:r>
              <w:rPr>
                <w:rFonts w:asciiTheme="majorBidi" w:hAnsiTheme="majorBidi"/>
                <w:noProof/>
              </w:rPr>
              <w:t>(YFT/IOTC)</w:t>
            </w:r>
          </w:p>
        </w:tc>
      </w:tr>
      <w:tr>
        <w:trPr>
          <w:trHeight w:val="227"/>
        </w:trPr>
        <w:tc>
          <w:tcPr>
            <w:tcW w:w="1843" w:type="dxa"/>
            <w:tcBorders>
              <w:top w:val="single" w:sz="8" w:space="0" w:color="auto"/>
              <w:left w:val="nil"/>
              <w:bottom w:val="nil"/>
              <w:right w:val="nil"/>
            </w:tcBorders>
            <w:hideMark/>
          </w:tcPr>
          <w:p>
            <w:pPr>
              <w:spacing w:before="60" w:after="60"/>
              <w:rPr>
                <w:rFonts w:asciiTheme="majorBidi" w:hAnsiTheme="majorBidi" w:cstheme="majorBidi"/>
                <w:noProof/>
              </w:rPr>
            </w:pPr>
            <w:r>
              <w:rPr>
                <w:rFonts w:asciiTheme="majorBidi" w:hAnsiTheme="majorBidi"/>
                <w:noProof/>
              </w:rPr>
              <w:t>Франция</w:t>
            </w:r>
          </w:p>
        </w:tc>
        <w:tc>
          <w:tcPr>
            <w:tcW w:w="1559" w:type="dxa"/>
            <w:tcBorders>
              <w:top w:val="single" w:sz="8" w:space="0" w:color="auto"/>
              <w:left w:val="nil"/>
              <w:bottom w:val="nil"/>
              <w:right w:val="nil"/>
            </w:tcBorders>
            <w:hideMark/>
          </w:tcPr>
          <w:p>
            <w:pPr>
              <w:spacing w:before="60" w:after="60"/>
              <w:jc w:val="right"/>
              <w:rPr>
                <w:noProof/>
                <w:color w:val="000000"/>
              </w:rPr>
            </w:pPr>
            <w:r>
              <w:rPr>
                <w:rFonts w:asciiTheme="majorBidi" w:hAnsiTheme="majorBidi"/>
                <w:noProof/>
                <w:color w:val="000000"/>
              </w:rPr>
              <w:t>pm</w:t>
            </w:r>
          </w:p>
        </w:tc>
        <w:tc>
          <w:tcPr>
            <w:tcW w:w="993" w:type="dxa"/>
            <w:tcBorders>
              <w:top w:val="single" w:sz="8" w:space="0" w:color="auto"/>
              <w:left w:val="nil"/>
              <w:bottom w:val="nil"/>
              <w:right w:val="nil"/>
            </w:tcBorders>
            <w:hideMark/>
          </w:tcPr>
          <w:p>
            <w:pPr>
              <w:rPr>
                <w:noProof/>
                <w:color w:val="000000"/>
                <w:lang w:eastAsia="en-GB"/>
              </w:rPr>
            </w:pPr>
          </w:p>
        </w:tc>
        <w:tc>
          <w:tcPr>
            <w:tcW w:w="5011" w:type="dxa"/>
            <w:gridSpan w:val="2"/>
            <w:vMerge w:val="restart"/>
            <w:tcBorders>
              <w:top w:val="single" w:sz="8" w:space="0" w:color="auto"/>
              <w:left w:val="nil"/>
              <w:bottom w:val="single" w:sz="8" w:space="0" w:color="auto"/>
              <w:right w:val="nil"/>
            </w:tcBorders>
            <w:hideMark/>
          </w:tcPr>
          <w:p>
            <w:pPr>
              <w:spacing w:before="60" w:after="60"/>
              <w:rPr>
                <w:rFonts w:asciiTheme="majorBidi" w:hAnsiTheme="majorBidi" w:cstheme="majorBidi"/>
                <w:noProof/>
                <w:szCs w:val="24"/>
              </w:rPr>
            </w:pPr>
            <w:r>
              <w:rPr>
                <w:rFonts w:asciiTheme="majorBidi" w:hAnsiTheme="majorBidi"/>
                <w:noProof/>
              </w:rPr>
              <w:t>Аналитичен ОДУ</w:t>
            </w:r>
          </w:p>
          <w:p>
            <w:pPr>
              <w:spacing w:before="60" w:after="60"/>
              <w:rPr>
                <w:rFonts w:asciiTheme="majorBidi" w:hAnsiTheme="majorBidi" w:cstheme="majorBidi"/>
                <w:noProof/>
              </w:rPr>
            </w:pPr>
            <w:r>
              <w:rPr>
                <w:rFonts w:asciiTheme="majorBidi" w:hAnsiTheme="majorBidi"/>
                <w:noProof/>
              </w:rPr>
              <w:t>Член 3 от Регламент (ЕО) № 847/96 не се прилага.</w:t>
            </w:r>
          </w:p>
          <w:p>
            <w:pPr>
              <w:spacing w:before="60" w:after="60"/>
              <w:rPr>
                <w:rFonts w:asciiTheme="majorBidi" w:hAnsiTheme="majorBidi" w:cstheme="majorBidi"/>
                <w:noProof/>
              </w:rPr>
            </w:pPr>
            <w:r>
              <w:rPr>
                <w:rFonts w:asciiTheme="majorBidi" w:hAnsiTheme="majorBidi"/>
                <w:noProof/>
              </w:rPr>
              <w:t>Член 4 от Регламент (ЕО) № 847/96 не се прилага.</w:t>
            </w:r>
          </w:p>
        </w:tc>
      </w:tr>
      <w:tr>
        <w:trPr>
          <w:trHeight w:val="227"/>
        </w:trPr>
        <w:tc>
          <w:tcPr>
            <w:tcW w:w="1843" w:type="dxa"/>
            <w:hideMark/>
          </w:tcPr>
          <w:p>
            <w:pPr>
              <w:spacing w:before="60" w:after="60"/>
              <w:rPr>
                <w:rFonts w:asciiTheme="majorBidi" w:hAnsiTheme="majorBidi" w:cstheme="majorBidi"/>
                <w:noProof/>
              </w:rPr>
            </w:pPr>
            <w:r>
              <w:rPr>
                <w:rFonts w:asciiTheme="majorBidi" w:hAnsiTheme="majorBidi"/>
                <w:noProof/>
              </w:rPr>
              <w:t>Италия</w:t>
            </w:r>
          </w:p>
        </w:tc>
        <w:tc>
          <w:tcPr>
            <w:tcW w:w="1559" w:type="dxa"/>
            <w:hideMark/>
          </w:tcPr>
          <w:p>
            <w:pPr>
              <w:spacing w:before="60" w:after="60"/>
              <w:jc w:val="right"/>
              <w:rPr>
                <w:noProof/>
                <w:color w:val="000000"/>
              </w:rPr>
            </w:pPr>
            <w:r>
              <w:rPr>
                <w:rFonts w:asciiTheme="majorBidi" w:hAnsiTheme="majorBidi"/>
                <w:noProof/>
                <w:color w:val="000000"/>
              </w:rPr>
              <w:t>pm</w:t>
            </w:r>
          </w:p>
        </w:tc>
        <w:tc>
          <w:tcPr>
            <w:tcW w:w="993" w:type="dxa"/>
            <w:hideMark/>
          </w:tcPr>
          <w:p>
            <w:pPr>
              <w:rPr>
                <w:noProof/>
                <w:color w:val="000000"/>
                <w:lang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843" w:type="dxa"/>
            <w:hideMark/>
          </w:tcPr>
          <w:p>
            <w:pPr>
              <w:spacing w:before="60" w:after="60"/>
              <w:rPr>
                <w:rFonts w:asciiTheme="majorBidi" w:hAnsiTheme="majorBidi" w:cstheme="majorBidi"/>
                <w:noProof/>
                <w:szCs w:val="24"/>
              </w:rPr>
            </w:pPr>
            <w:r>
              <w:rPr>
                <w:rFonts w:asciiTheme="majorBidi" w:hAnsiTheme="majorBidi"/>
                <w:noProof/>
              </w:rPr>
              <w:t>Испания</w:t>
            </w:r>
          </w:p>
        </w:tc>
        <w:tc>
          <w:tcPr>
            <w:tcW w:w="1559" w:type="dxa"/>
            <w:hideMark/>
          </w:tcPr>
          <w:p>
            <w:pPr>
              <w:spacing w:before="60" w:after="60"/>
              <w:jc w:val="right"/>
              <w:rPr>
                <w:noProof/>
                <w:color w:val="000000"/>
              </w:rPr>
            </w:pPr>
            <w:r>
              <w:rPr>
                <w:rFonts w:asciiTheme="majorBidi" w:hAnsiTheme="majorBidi"/>
                <w:noProof/>
                <w:color w:val="000000"/>
              </w:rPr>
              <w:t>pm</w:t>
            </w:r>
          </w:p>
        </w:tc>
        <w:tc>
          <w:tcPr>
            <w:tcW w:w="993" w:type="dxa"/>
            <w:hideMark/>
          </w:tcPr>
          <w:p>
            <w:pPr>
              <w:rPr>
                <w:noProof/>
                <w:color w:val="000000"/>
                <w:lang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843" w:type="dxa"/>
          </w:tcPr>
          <w:p>
            <w:pPr>
              <w:spacing w:before="60" w:after="60"/>
              <w:rPr>
                <w:rFonts w:asciiTheme="majorBidi" w:hAnsiTheme="majorBidi" w:cstheme="majorBidi"/>
                <w:noProof/>
                <w:szCs w:val="24"/>
              </w:rPr>
            </w:pPr>
          </w:p>
        </w:tc>
        <w:tc>
          <w:tcPr>
            <w:tcW w:w="1559" w:type="dxa"/>
          </w:tcPr>
          <w:p>
            <w:pPr>
              <w:spacing w:before="60" w:after="60"/>
              <w:jc w:val="right"/>
              <w:rPr>
                <w:rFonts w:asciiTheme="majorBidi" w:hAnsiTheme="majorBidi" w:cstheme="majorBidi"/>
                <w:noProof/>
              </w:rPr>
            </w:pPr>
          </w:p>
        </w:tc>
        <w:tc>
          <w:tcPr>
            <w:tcW w:w="993" w:type="dxa"/>
          </w:tcPr>
          <w:p>
            <w:pPr>
              <w:spacing w:before="60" w:after="60"/>
              <w:rPr>
                <w:rFonts w:asciiTheme="majorBidi" w:hAnsiTheme="majorBidi" w:cstheme="majorBidi"/>
                <w:noProof/>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843" w:type="dxa"/>
            <w:hideMark/>
          </w:tcPr>
          <w:p>
            <w:pPr>
              <w:spacing w:before="60" w:after="60"/>
              <w:rPr>
                <w:rFonts w:asciiTheme="majorBidi" w:hAnsiTheme="majorBidi" w:cstheme="majorBidi"/>
                <w:noProof/>
              </w:rPr>
            </w:pPr>
            <w:r>
              <w:rPr>
                <w:rFonts w:asciiTheme="majorBidi" w:hAnsiTheme="majorBidi"/>
                <w:noProof/>
              </w:rPr>
              <w:t>Съюз</w:t>
            </w:r>
          </w:p>
        </w:tc>
        <w:tc>
          <w:tcPr>
            <w:tcW w:w="1559" w:type="dxa"/>
            <w:hideMark/>
          </w:tcPr>
          <w:p>
            <w:pPr>
              <w:spacing w:before="60" w:after="60"/>
              <w:jc w:val="right"/>
              <w:rPr>
                <w:noProof/>
                <w:color w:val="000000"/>
              </w:rPr>
            </w:pPr>
            <w:r>
              <w:rPr>
                <w:rFonts w:asciiTheme="majorBidi" w:hAnsiTheme="majorBidi"/>
                <w:noProof/>
                <w:color w:val="000000"/>
              </w:rPr>
              <w:t>pm</w:t>
            </w:r>
          </w:p>
        </w:tc>
        <w:tc>
          <w:tcPr>
            <w:tcW w:w="993" w:type="dxa"/>
            <w:hideMark/>
          </w:tcPr>
          <w:p>
            <w:pPr>
              <w:rPr>
                <w:noProof/>
                <w:color w:val="000000"/>
                <w:lang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843" w:type="dxa"/>
            <w:hideMark/>
          </w:tcPr>
          <w:p>
            <w:pPr>
              <w:spacing w:before="0" w:after="0"/>
              <w:rPr>
                <w:noProof/>
                <w:sz w:val="20"/>
                <w:szCs w:val="20"/>
                <w:lang w:eastAsia="en-GB"/>
              </w:rPr>
            </w:pPr>
          </w:p>
        </w:tc>
        <w:tc>
          <w:tcPr>
            <w:tcW w:w="1559" w:type="dxa"/>
            <w:hideMark/>
          </w:tcPr>
          <w:p>
            <w:pPr>
              <w:spacing w:before="0" w:after="0"/>
              <w:rPr>
                <w:noProof/>
                <w:sz w:val="20"/>
                <w:szCs w:val="20"/>
                <w:lang w:eastAsia="en-GB"/>
              </w:rPr>
            </w:pPr>
          </w:p>
        </w:tc>
        <w:tc>
          <w:tcPr>
            <w:tcW w:w="993" w:type="dxa"/>
            <w:hideMark/>
          </w:tcPr>
          <w:p>
            <w:pPr>
              <w:spacing w:before="0" w:after="0"/>
              <w:rPr>
                <w:noProof/>
                <w:sz w:val="20"/>
                <w:szCs w:val="20"/>
                <w:lang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rPr>
            </w:pPr>
          </w:p>
        </w:tc>
      </w:tr>
      <w:tr>
        <w:trPr>
          <w:trHeight w:val="227"/>
        </w:trPr>
        <w:tc>
          <w:tcPr>
            <w:tcW w:w="1843" w:type="dxa"/>
            <w:tcBorders>
              <w:top w:val="nil"/>
              <w:left w:val="nil"/>
              <w:bottom w:val="single" w:sz="8" w:space="0" w:color="auto"/>
              <w:right w:val="nil"/>
            </w:tcBorders>
            <w:hideMark/>
          </w:tcPr>
          <w:p>
            <w:pPr>
              <w:spacing w:before="60" w:after="60"/>
              <w:rPr>
                <w:rFonts w:asciiTheme="majorBidi" w:hAnsiTheme="majorBidi" w:cstheme="majorBidi"/>
                <w:noProof/>
                <w:szCs w:val="24"/>
              </w:rPr>
            </w:pPr>
            <w:r>
              <w:rPr>
                <w:rFonts w:asciiTheme="majorBidi" w:hAnsiTheme="majorBidi"/>
                <w:noProof/>
              </w:rPr>
              <w:t>ОДУ</w:t>
            </w:r>
          </w:p>
        </w:tc>
        <w:tc>
          <w:tcPr>
            <w:tcW w:w="1559" w:type="dxa"/>
            <w:tcBorders>
              <w:top w:val="nil"/>
              <w:left w:val="nil"/>
              <w:bottom w:val="single" w:sz="8" w:space="0" w:color="auto"/>
              <w:right w:val="nil"/>
            </w:tcBorders>
            <w:hideMark/>
          </w:tcPr>
          <w:p>
            <w:pPr>
              <w:spacing w:before="60" w:after="60"/>
              <w:rPr>
                <w:rFonts w:asciiTheme="majorBidi" w:hAnsiTheme="majorBidi" w:cstheme="majorBidi"/>
                <w:noProof/>
              </w:rPr>
            </w:pPr>
            <w:r>
              <w:rPr>
                <w:rFonts w:asciiTheme="majorBidi" w:hAnsiTheme="majorBidi"/>
                <w:noProof/>
              </w:rPr>
              <w:t>Не се прилага</w:t>
            </w:r>
          </w:p>
        </w:tc>
        <w:tc>
          <w:tcPr>
            <w:tcW w:w="993" w:type="dxa"/>
            <w:tcBorders>
              <w:top w:val="nil"/>
              <w:left w:val="nil"/>
              <w:bottom w:val="single" w:sz="8" w:space="0" w:color="auto"/>
              <w:right w:val="nil"/>
            </w:tcBorders>
            <w:hideMark/>
          </w:tcPr>
          <w:p>
            <w:pPr>
              <w:rPr>
                <w:rFonts w:asciiTheme="majorBidi" w:hAnsiTheme="majorBidi" w:cstheme="majorBidi"/>
                <w:noProof/>
              </w:rPr>
            </w:pPr>
          </w:p>
        </w:tc>
        <w:tc>
          <w:tcPr>
            <w:tcW w:w="501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rPr>
            </w:pPr>
          </w:p>
        </w:tc>
      </w:tr>
    </w:tbl>
    <w:p>
      <w:pPr>
        <w:pStyle w:val="Lignefinal"/>
        <w:rPr>
          <w:noProof/>
          <w:szCs w:val="22"/>
        </w:rPr>
      </w:pPr>
    </w:p>
    <w:p>
      <w:pPr>
        <w:spacing w:before="0" w:after="0"/>
        <w:rPr>
          <w:noProof/>
        </w:rPr>
        <w:sectPr>
          <w:pgSz w:w="11907" w:h="16840"/>
          <w:pgMar w:top="1134" w:right="1134" w:bottom="1134" w:left="1134" w:header="567" w:footer="567" w:gutter="0"/>
          <w:pgNumType w:start="112"/>
          <w:cols w:space="720"/>
          <w:docGrid w:linePitch="326"/>
        </w:sectPr>
      </w:pPr>
    </w:p>
    <w:p>
      <w:pPr>
        <w:jc w:val="center"/>
        <w:rPr>
          <w:b/>
          <w:noProof/>
          <w:szCs w:val="24"/>
        </w:rPr>
      </w:pPr>
      <w:r>
        <w:rPr>
          <w:b/>
          <w:noProof/>
        </w:rPr>
        <w:t>ПРИЛОЖЕНИЕ IК</w:t>
      </w:r>
    </w:p>
    <w:p>
      <w:pPr>
        <w:pStyle w:val="NormalCentered"/>
        <w:rPr>
          <w:noProof/>
        </w:rPr>
      </w:pPr>
      <w:r>
        <w:rPr>
          <w:noProof/>
        </w:rPr>
        <w:t>ЗОНА НА СПОРАЗУМЕНИЕТО SIOFA</w:t>
      </w:r>
    </w:p>
    <w:tbl>
      <w:tblPr>
        <w:tblW w:w="9711" w:type="dxa"/>
        <w:tblInd w:w="108" w:type="dxa"/>
        <w:tblLayout w:type="fixed"/>
        <w:tblLook w:val="04A0" w:firstRow="1" w:lastRow="0" w:firstColumn="1" w:lastColumn="0" w:noHBand="0" w:noVBand="1"/>
      </w:tblPr>
      <w:tblGrid>
        <w:gridCol w:w="1701"/>
        <w:gridCol w:w="1701"/>
        <w:gridCol w:w="196"/>
        <w:gridCol w:w="797"/>
        <w:gridCol w:w="992"/>
        <w:gridCol w:w="4324"/>
      </w:tblGrid>
      <w:tr>
        <w:trPr>
          <w:trHeight w:val="227"/>
        </w:trPr>
        <w:tc>
          <w:tcPr>
            <w:tcW w:w="1701" w:type="dxa"/>
            <w:tcBorders>
              <w:top w:val="single" w:sz="8" w:space="0" w:color="auto"/>
              <w:left w:val="nil"/>
              <w:bottom w:val="single" w:sz="8" w:space="0" w:color="000000"/>
              <w:right w:val="nil"/>
            </w:tcBorders>
            <w:shd w:val="clear" w:color="auto" w:fill="FFFFFF"/>
            <w:hideMark/>
          </w:tcPr>
          <w:p>
            <w:pPr>
              <w:spacing w:before="60" w:after="60"/>
              <w:rPr>
                <w:noProof/>
              </w:rPr>
            </w:pPr>
            <w:r>
              <w:rPr>
                <w:noProof/>
              </w:rPr>
              <w:t>Вид:</w:t>
            </w:r>
          </w:p>
        </w:tc>
        <w:tc>
          <w:tcPr>
            <w:tcW w:w="2694" w:type="dxa"/>
            <w:gridSpan w:val="3"/>
            <w:tcBorders>
              <w:top w:val="single" w:sz="8" w:space="0" w:color="auto"/>
              <w:left w:val="nil"/>
              <w:bottom w:val="single" w:sz="8" w:space="0" w:color="000000"/>
              <w:right w:val="single" w:sz="8" w:space="0" w:color="auto"/>
            </w:tcBorders>
            <w:shd w:val="clear" w:color="auto" w:fill="FFFFFF"/>
            <w:hideMark/>
          </w:tcPr>
          <w:p>
            <w:pPr>
              <w:spacing w:before="60" w:after="60"/>
              <w:rPr>
                <w:noProof/>
              </w:rPr>
            </w:pPr>
            <w:r>
              <w:rPr>
                <w:noProof/>
              </w:rPr>
              <w:t>Кликач, видове</w:t>
            </w:r>
          </w:p>
          <w:p>
            <w:pPr>
              <w:spacing w:before="60" w:after="60"/>
              <w:rPr>
                <w:i/>
                <w:iCs/>
                <w:noProof/>
              </w:rPr>
            </w:pPr>
            <w:r>
              <w:rPr>
                <w:i/>
                <w:iCs/>
                <w:noProof/>
              </w:rPr>
              <w:t xml:space="preserve">Dissostichus </w:t>
            </w:r>
            <w:r>
              <w:rPr>
                <w:noProof/>
              </w:rPr>
              <w:t>spp.</w:t>
            </w:r>
          </w:p>
        </w:tc>
        <w:tc>
          <w:tcPr>
            <w:tcW w:w="992" w:type="dxa"/>
            <w:tcBorders>
              <w:top w:val="single" w:sz="8" w:space="0" w:color="auto"/>
              <w:left w:val="single" w:sz="8" w:space="0" w:color="auto"/>
              <w:bottom w:val="single" w:sz="8" w:space="0" w:color="000000"/>
              <w:right w:val="nil"/>
            </w:tcBorders>
            <w:shd w:val="clear" w:color="auto" w:fill="FFFFFF"/>
            <w:hideMark/>
          </w:tcPr>
          <w:p>
            <w:pPr>
              <w:spacing w:before="60" w:after="60"/>
              <w:rPr>
                <w:noProof/>
              </w:rPr>
            </w:pPr>
            <w:r>
              <w:rPr>
                <w:noProof/>
              </w:rPr>
              <w:t>Зона:</w:t>
            </w:r>
          </w:p>
        </w:tc>
        <w:tc>
          <w:tcPr>
            <w:tcW w:w="4324" w:type="dxa"/>
            <w:tcBorders>
              <w:top w:val="single" w:sz="8" w:space="0" w:color="auto"/>
              <w:left w:val="nil"/>
              <w:bottom w:val="single" w:sz="8" w:space="0" w:color="000000"/>
              <w:right w:val="nil"/>
            </w:tcBorders>
            <w:shd w:val="clear" w:color="auto" w:fill="FFFFFF"/>
            <w:hideMark/>
          </w:tcPr>
          <w:p>
            <w:pPr>
              <w:spacing w:before="60" w:after="60"/>
              <w:rPr>
                <w:noProof/>
              </w:rPr>
            </w:pPr>
            <w:r>
              <w:rPr>
                <w:noProof/>
              </w:rPr>
              <w:t>Зона около възвишението Del Caño</w:t>
            </w:r>
            <w:r>
              <w:rPr>
                <w:b/>
                <w:bCs/>
                <w:noProof/>
                <w:vertAlign w:val="superscript"/>
              </w:rPr>
              <w:t>(1)</w:t>
            </w:r>
          </w:p>
          <w:p>
            <w:pPr>
              <w:spacing w:before="60" w:after="60"/>
              <w:rPr>
                <w:noProof/>
              </w:rPr>
            </w:pPr>
            <w:r>
              <w:rPr>
                <w:noProof/>
              </w:rPr>
              <w:t>(TOT/F517DC)</w:t>
            </w:r>
          </w:p>
        </w:tc>
      </w:tr>
      <w:tr>
        <w:trPr>
          <w:trHeight w:val="227"/>
        </w:trPr>
        <w:tc>
          <w:tcPr>
            <w:tcW w:w="1701" w:type="dxa"/>
            <w:hideMark/>
          </w:tcPr>
          <w:p>
            <w:pPr>
              <w:spacing w:before="60" w:after="60"/>
              <w:rPr>
                <w:noProof/>
              </w:rPr>
            </w:pPr>
            <w:r>
              <w:rPr>
                <w:noProof/>
              </w:rPr>
              <w:t>Съюз</w:t>
            </w:r>
          </w:p>
        </w:tc>
        <w:tc>
          <w:tcPr>
            <w:tcW w:w="1897" w:type="dxa"/>
            <w:gridSpan w:val="2"/>
            <w:hideMark/>
          </w:tcPr>
          <w:p>
            <w:pPr>
              <w:spacing w:before="60" w:after="60"/>
              <w:jc w:val="right"/>
              <w:rPr>
                <w:noProof/>
              </w:rPr>
            </w:pPr>
            <w:r>
              <w:rPr>
                <w:rFonts w:asciiTheme="majorBidi" w:hAnsiTheme="majorBidi"/>
                <w:noProof/>
                <w:color w:val="000000"/>
              </w:rPr>
              <w:t>pm</w:t>
            </w:r>
          </w:p>
        </w:tc>
        <w:tc>
          <w:tcPr>
            <w:tcW w:w="797" w:type="dxa"/>
            <w:hideMark/>
          </w:tcPr>
          <w:p>
            <w:pPr>
              <w:spacing w:before="60" w:after="60"/>
              <w:rPr>
                <w:b/>
                <w:bCs/>
                <w:noProof/>
                <w:vertAlign w:val="superscript"/>
              </w:rPr>
            </w:pPr>
            <w:r>
              <w:rPr>
                <w:b/>
                <w:bCs/>
                <w:noProof/>
                <w:vertAlign w:val="superscript"/>
              </w:rPr>
              <w:t>(2)</w:t>
            </w:r>
          </w:p>
        </w:tc>
        <w:tc>
          <w:tcPr>
            <w:tcW w:w="5316" w:type="dxa"/>
            <w:gridSpan w:val="2"/>
            <w:vMerge w:val="restart"/>
            <w:tcBorders>
              <w:top w:val="single" w:sz="8" w:space="0" w:color="000000"/>
              <w:left w:val="nil"/>
              <w:bottom w:val="nil"/>
              <w:right w:val="nil"/>
            </w:tcBorders>
            <w:hideMark/>
          </w:tcPr>
          <w:p>
            <w:pPr>
              <w:spacing w:before="60" w:after="60"/>
              <w:rPr>
                <w:noProof/>
              </w:rPr>
            </w:pPr>
            <w:r>
              <w:rPr>
                <w:noProof/>
              </w:rPr>
              <w:t>Предпазен ОДУ</w:t>
            </w:r>
          </w:p>
        </w:tc>
      </w:tr>
      <w:tr>
        <w:trPr>
          <w:trHeight w:val="227"/>
        </w:trPr>
        <w:tc>
          <w:tcPr>
            <w:tcW w:w="1701" w:type="dxa"/>
            <w:hideMark/>
          </w:tcPr>
          <w:p>
            <w:pPr>
              <w:spacing w:before="60" w:after="60"/>
              <w:rPr>
                <w:noProof/>
              </w:rPr>
            </w:pPr>
            <w:r>
              <w:rPr>
                <w:noProof/>
              </w:rPr>
              <w:t>ОДУ</w:t>
            </w:r>
          </w:p>
        </w:tc>
        <w:tc>
          <w:tcPr>
            <w:tcW w:w="1897" w:type="dxa"/>
            <w:gridSpan w:val="2"/>
            <w:hideMark/>
          </w:tcPr>
          <w:p>
            <w:pPr>
              <w:spacing w:before="60" w:after="60"/>
              <w:jc w:val="right"/>
              <w:rPr>
                <w:noProof/>
              </w:rPr>
            </w:pPr>
            <w:r>
              <w:rPr>
                <w:rFonts w:asciiTheme="majorBidi" w:hAnsiTheme="majorBidi"/>
                <w:noProof/>
                <w:color w:val="000000"/>
              </w:rPr>
              <w:t>pm</w:t>
            </w:r>
          </w:p>
        </w:tc>
        <w:tc>
          <w:tcPr>
            <w:tcW w:w="797" w:type="dxa"/>
            <w:hideMark/>
          </w:tcPr>
          <w:p>
            <w:pPr>
              <w:spacing w:before="60" w:after="60"/>
              <w:rPr>
                <w:b/>
                <w:bCs/>
                <w:noProof/>
                <w:vertAlign w:val="superscript"/>
              </w:rPr>
            </w:pPr>
            <w:r>
              <w:rPr>
                <w:b/>
                <w:bCs/>
                <w:noProof/>
                <w:vertAlign w:val="superscript"/>
              </w:rPr>
              <w:t>(2)</w:t>
            </w:r>
          </w:p>
        </w:tc>
        <w:tc>
          <w:tcPr>
            <w:tcW w:w="5316" w:type="dxa"/>
            <w:gridSpan w:val="2"/>
            <w:vMerge/>
            <w:tcBorders>
              <w:top w:val="single" w:sz="8" w:space="0" w:color="000000"/>
              <w:left w:val="nil"/>
              <w:bottom w:val="nil"/>
              <w:right w:val="nil"/>
            </w:tcBorders>
            <w:vAlign w:val="center"/>
            <w:hideMark/>
          </w:tcPr>
          <w:p>
            <w:pPr>
              <w:spacing w:before="0" w:after="0"/>
              <w:rPr>
                <w:noProof/>
                <w:szCs w:val="24"/>
              </w:rPr>
            </w:pPr>
          </w:p>
        </w:tc>
      </w:tr>
      <w:tr>
        <w:trPr>
          <w:trHeight w:val="227"/>
        </w:trPr>
        <w:tc>
          <w:tcPr>
            <w:tcW w:w="1701" w:type="dxa"/>
            <w:hideMark/>
          </w:tcPr>
          <w:p>
            <w:pPr>
              <w:spacing w:before="60" w:after="60"/>
              <w:jc w:val="right"/>
              <w:rPr>
                <w:b/>
                <w:bCs/>
                <w:noProof/>
                <w:vertAlign w:val="superscript"/>
              </w:rPr>
            </w:pPr>
            <w:r>
              <w:rPr>
                <w:b/>
                <w:bCs/>
                <w:noProof/>
                <w:vertAlign w:val="superscript"/>
              </w:rPr>
              <w:t>(1)</w:t>
            </w:r>
          </w:p>
        </w:tc>
        <w:tc>
          <w:tcPr>
            <w:tcW w:w="8010" w:type="dxa"/>
            <w:gridSpan w:val="5"/>
            <w:hideMark/>
          </w:tcPr>
          <w:p>
            <w:pPr>
              <w:spacing w:before="60" w:after="60"/>
              <w:rPr>
                <w:noProof/>
              </w:rPr>
            </w:pPr>
            <w:r>
              <w:rPr>
                <w:noProof/>
              </w:rPr>
              <w:t xml:space="preserve">Международни води в подзона 51.7 на ФАО, ограничена между - 44° ю.ш. и - 45° ю.ш., и прилежащите изключителни икономически зони на изток и запад. </w:t>
            </w:r>
          </w:p>
        </w:tc>
      </w:tr>
      <w:tr>
        <w:trPr>
          <w:trHeight w:val="227"/>
        </w:trPr>
        <w:tc>
          <w:tcPr>
            <w:tcW w:w="1701" w:type="dxa"/>
            <w:tcBorders>
              <w:top w:val="nil"/>
              <w:left w:val="nil"/>
              <w:bottom w:val="single" w:sz="8" w:space="0" w:color="auto"/>
              <w:right w:val="nil"/>
            </w:tcBorders>
            <w:hideMark/>
          </w:tcPr>
          <w:p>
            <w:pPr>
              <w:spacing w:before="60" w:after="60"/>
              <w:jc w:val="right"/>
              <w:rPr>
                <w:b/>
                <w:bCs/>
                <w:noProof/>
                <w:vertAlign w:val="superscript"/>
              </w:rPr>
            </w:pPr>
            <w:r>
              <w:rPr>
                <w:b/>
                <w:bCs/>
                <w:noProof/>
                <w:vertAlign w:val="superscript"/>
              </w:rPr>
              <w:t>(2)</w:t>
            </w:r>
          </w:p>
        </w:tc>
        <w:tc>
          <w:tcPr>
            <w:tcW w:w="8010" w:type="dxa"/>
            <w:gridSpan w:val="5"/>
            <w:tcBorders>
              <w:top w:val="nil"/>
              <w:left w:val="nil"/>
              <w:bottom w:val="single" w:sz="8" w:space="0" w:color="auto"/>
              <w:right w:val="nil"/>
            </w:tcBorders>
            <w:hideMark/>
          </w:tcPr>
          <w:p>
            <w:pPr>
              <w:spacing w:before="60" w:after="60"/>
              <w:rPr>
                <w:noProof/>
              </w:rPr>
            </w:pPr>
            <w:r>
              <w:rPr>
                <w:noProof/>
              </w:rPr>
              <w:t>Риболов може да се извършва само от кораби с парагади и с наблюдатели на борда по време на риболовния сезон от 1 декември 2020 г. до 30 ноември 2021 г. Броят на куките на всеки отделен повод на парагадите не надвишава 3000, като самите парагади се разполагат на разстояние най-малко 3 морски мили една от друга.</w:t>
            </w:r>
          </w:p>
          <w:p>
            <w:pPr>
              <w:spacing w:before="60" w:after="60"/>
              <w:rPr>
                <w:noProof/>
              </w:rPr>
            </w:pPr>
            <w:r>
              <w:rPr>
                <w:noProof/>
              </w:rPr>
              <w:t>Количеството улов от кораби, които не извършват целеви риболов на посочения вид, не може да надвишава 0,5 тона за един риболовен сезон. Когато даден кораб достигне този лимит, той губи правото да извършва риболов в зоната около възвишението Del Caño.</w:t>
            </w:r>
          </w:p>
        </w:tc>
      </w:tr>
      <w:tr>
        <w:trPr>
          <w:trHeight w:val="227"/>
        </w:trPr>
        <w:tc>
          <w:tcPr>
            <w:tcW w:w="1701" w:type="dxa"/>
            <w:tcBorders>
              <w:top w:val="single" w:sz="8" w:space="0" w:color="auto"/>
              <w:left w:val="nil"/>
              <w:bottom w:val="single" w:sz="8" w:space="0" w:color="000000"/>
              <w:right w:val="nil"/>
            </w:tcBorders>
            <w:shd w:val="clear" w:color="auto" w:fill="FFFFFF"/>
          </w:tcPr>
          <w:p>
            <w:pPr>
              <w:spacing w:before="60" w:after="60"/>
              <w:rPr>
                <w:noProof/>
              </w:rPr>
            </w:pPr>
          </w:p>
        </w:tc>
        <w:tc>
          <w:tcPr>
            <w:tcW w:w="2694" w:type="dxa"/>
            <w:gridSpan w:val="3"/>
            <w:tcBorders>
              <w:top w:val="single" w:sz="8" w:space="0" w:color="auto"/>
              <w:left w:val="nil"/>
              <w:bottom w:val="single" w:sz="8" w:space="0" w:color="000000"/>
              <w:right w:val="nil"/>
            </w:tcBorders>
            <w:shd w:val="clear" w:color="auto" w:fill="FFFFFF"/>
          </w:tcPr>
          <w:p>
            <w:pPr>
              <w:spacing w:before="60" w:after="60"/>
              <w:rPr>
                <w:noProof/>
              </w:rPr>
            </w:pPr>
          </w:p>
        </w:tc>
        <w:tc>
          <w:tcPr>
            <w:tcW w:w="992" w:type="dxa"/>
            <w:tcBorders>
              <w:top w:val="single" w:sz="8" w:space="0" w:color="auto"/>
              <w:left w:val="nil"/>
              <w:bottom w:val="single" w:sz="8" w:space="0" w:color="000000"/>
              <w:right w:val="nil"/>
            </w:tcBorders>
            <w:shd w:val="clear" w:color="auto" w:fill="FFFFFF"/>
          </w:tcPr>
          <w:p>
            <w:pPr>
              <w:spacing w:before="60" w:after="60"/>
              <w:rPr>
                <w:noProof/>
              </w:rPr>
            </w:pPr>
          </w:p>
        </w:tc>
        <w:tc>
          <w:tcPr>
            <w:tcW w:w="4324" w:type="dxa"/>
            <w:tcBorders>
              <w:top w:val="single" w:sz="8" w:space="0" w:color="auto"/>
              <w:left w:val="nil"/>
              <w:bottom w:val="single" w:sz="8" w:space="0" w:color="000000"/>
              <w:right w:val="nil"/>
            </w:tcBorders>
            <w:shd w:val="clear" w:color="auto" w:fill="FFFFFF"/>
          </w:tcPr>
          <w:p>
            <w:pPr>
              <w:spacing w:before="60" w:after="60"/>
              <w:rPr>
                <w:noProof/>
              </w:rPr>
            </w:pPr>
          </w:p>
        </w:tc>
      </w:tr>
      <w:tr>
        <w:trPr>
          <w:trHeight w:val="227"/>
        </w:trPr>
        <w:tc>
          <w:tcPr>
            <w:tcW w:w="1701" w:type="dxa"/>
            <w:tcBorders>
              <w:top w:val="single" w:sz="8" w:space="0" w:color="auto"/>
              <w:left w:val="nil"/>
              <w:bottom w:val="single" w:sz="8" w:space="0" w:color="000000"/>
              <w:right w:val="nil"/>
            </w:tcBorders>
            <w:shd w:val="clear" w:color="auto" w:fill="FFFFFF"/>
            <w:hideMark/>
          </w:tcPr>
          <w:p>
            <w:pPr>
              <w:pageBreakBefore/>
              <w:spacing w:before="60" w:after="60"/>
              <w:rPr>
                <w:noProof/>
              </w:rPr>
            </w:pPr>
            <w:r>
              <w:rPr>
                <w:noProof/>
              </w:rPr>
              <w:t>Вид:</w:t>
            </w:r>
          </w:p>
        </w:tc>
        <w:tc>
          <w:tcPr>
            <w:tcW w:w="2694" w:type="dxa"/>
            <w:gridSpan w:val="3"/>
            <w:tcBorders>
              <w:top w:val="single" w:sz="8" w:space="0" w:color="auto"/>
              <w:left w:val="nil"/>
              <w:bottom w:val="single" w:sz="8" w:space="0" w:color="000000"/>
              <w:right w:val="single" w:sz="8" w:space="0" w:color="auto"/>
            </w:tcBorders>
            <w:shd w:val="clear" w:color="auto" w:fill="FFFFFF"/>
            <w:hideMark/>
          </w:tcPr>
          <w:p>
            <w:pPr>
              <w:spacing w:before="60" w:after="60"/>
              <w:rPr>
                <w:noProof/>
              </w:rPr>
            </w:pPr>
            <w:r>
              <w:rPr>
                <w:noProof/>
              </w:rPr>
              <w:t>Кликач, видове</w:t>
            </w:r>
          </w:p>
          <w:p>
            <w:pPr>
              <w:spacing w:before="60" w:after="60"/>
              <w:rPr>
                <w:i/>
                <w:iCs/>
                <w:noProof/>
              </w:rPr>
            </w:pPr>
            <w:r>
              <w:rPr>
                <w:i/>
                <w:iCs/>
                <w:noProof/>
              </w:rPr>
              <w:t xml:space="preserve">Dissostichus </w:t>
            </w:r>
            <w:r>
              <w:rPr>
                <w:noProof/>
              </w:rPr>
              <w:t>spp.</w:t>
            </w:r>
          </w:p>
        </w:tc>
        <w:tc>
          <w:tcPr>
            <w:tcW w:w="992" w:type="dxa"/>
            <w:tcBorders>
              <w:top w:val="single" w:sz="8" w:space="0" w:color="auto"/>
              <w:left w:val="single" w:sz="8" w:space="0" w:color="auto"/>
              <w:bottom w:val="single" w:sz="8" w:space="0" w:color="000000"/>
              <w:right w:val="nil"/>
            </w:tcBorders>
            <w:shd w:val="clear" w:color="auto" w:fill="FFFFFF"/>
            <w:hideMark/>
          </w:tcPr>
          <w:p>
            <w:pPr>
              <w:spacing w:before="60" w:after="60"/>
              <w:rPr>
                <w:noProof/>
              </w:rPr>
            </w:pPr>
            <w:r>
              <w:rPr>
                <w:noProof/>
              </w:rPr>
              <w:t>Зона:</w:t>
            </w:r>
          </w:p>
        </w:tc>
        <w:tc>
          <w:tcPr>
            <w:tcW w:w="4324" w:type="dxa"/>
            <w:tcBorders>
              <w:top w:val="single" w:sz="8" w:space="0" w:color="auto"/>
              <w:left w:val="nil"/>
              <w:bottom w:val="single" w:sz="8" w:space="0" w:color="000000"/>
              <w:right w:val="nil"/>
            </w:tcBorders>
            <w:shd w:val="clear" w:color="auto" w:fill="FFFFFF"/>
            <w:hideMark/>
          </w:tcPr>
          <w:p>
            <w:pPr>
              <w:spacing w:before="60" w:after="60"/>
              <w:rPr>
                <w:noProof/>
              </w:rPr>
            </w:pPr>
            <w:r>
              <w:rPr>
                <w:noProof/>
              </w:rPr>
              <w:t>Williams Ridge</w:t>
            </w:r>
            <w:r>
              <w:rPr>
                <w:b/>
                <w:bCs/>
                <w:noProof/>
                <w:vertAlign w:val="superscript"/>
              </w:rPr>
              <w:t>(1)</w:t>
            </w:r>
          </w:p>
          <w:p>
            <w:pPr>
              <w:spacing w:before="60" w:after="60"/>
              <w:rPr>
                <w:noProof/>
              </w:rPr>
            </w:pPr>
            <w:r>
              <w:rPr>
                <w:noProof/>
              </w:rPr>
              <w:t>(TOT/F574WR)</w:t>
            </w:r>
          </w:p>
        </w:tc>
      </w:tr>
      <w:tr>
        <w:trPr>
          <w:trHeight w:val="227"/>
        </w:trPr>
        <w:tc>
          <w:tcPr>
            <w:tcW w:w="1701" w:type="dxa"/>
            <w:hideMark/>
          </w:tcPr>
          <w:p>
            <w:pPr>
              <w:spacing w:before="60" w:after="60"/>
              <w:rPr>
                <w:noProof/>
              </w:rPr>
            </w:pPr>
            <w:r>
              <w:rPr>
                <w:noProof/>
              </w:rPr>
              <w:t>Съюз</w:t>
            </w:r>
          </w:p>
        </w:tc>
        <w:tc>
          <w:tcPr>
            <w:tcW w:w="1897" w:type="dxa"/>
            <w:gridSpan w:val="2"/>
            <w:hideMark/>
          </w:tcPr>
          <w:p>
            <w:pPr>
              <w:spacing w:before="60" w:after="60"/>
              <w:jc w:val="right"/>
              <w:rPr>
                <w:noProof/>
              </w:rPr>
            </w:pPr>
            <w:r>
              <w:rPr>
                <w:noProof/>
              </w:rPr>
              <w:t>Предстои да бъде определен</w:t>
            </w:r>
          </w:p>
        </w:tc>
        <w:tc>
          <w:tcPr>
            <w:tcW w:w="797" w:type="dxa"/>
            <w:hideMark/>
          </w:tcPr>
          <w:p>
            <w:pPr>
              <w:spacing w:before="60" w:after="60"/>
              <w:rPr>
                <w:b/>
                <w:bCs/>
                <w:noProof/>
              </w:rPr>
            </w:pPr>
            <w:r>
              <w:rPr>
                <w:b/>
                <w:bCs/>
                <w:noProof/>
                <w:vertAlign w:val="superscript"/>
              </w:rPr>
              <w:t>(2)</w:t>
            </w:r>
          </w:p>
        </w:tc>
        <w:tc>
          <w:tcPr>
            <w:tcW w:w="5316" w:type="dxa"/>
            <w:gridSpan w:val="2"/>
            <w:vMerge w:val="restart"/>
            <w:tcBorders>
              <w:top w:val="single" w:sz="8" w:space="0" w:color="000000"/>
              <w:left w:val="nil"/>
              <w:bottom w:val="nil"/>
              <w:right w:val="nil"/>
            </w:tcBorders>
            <w:hideMark/>
          </w:tcPr>
          <w:p>
            <w:pPr>
              <w:spacing w:before="60" w:after="60"/>
              <w:rPr>
                <w:noProof/>
              </w:rPr>
            </w:pPr>
            <w:r>
              <w:rPr>
                <w:noProof/>
              </w:rPr>
              <w:t>Предпазен ОДУ</w:t>
            </w:r>
          </w:p>
        </w:tc>
      </w:tr>
      <w:tr>
        <w:trPr>
          <w:trHeight w:val="227"/>
        </w:trPr>
        <w:tc>
          <w:tcPr>
            <w:tcW w:w="1701" w:type="dxa"/>
            <w:hideMark/>
          </w:tcPr>
          <w:p>
            <w:pPr>
              <w:spacing w:before="60" w:after="60"/>
              <w:rPr>
                <w:noProof/>
              </w:rPr>
            </w:pPr>
            <w:r>
              <w:rPr>
                <w:noProof/>
              </w:rPr>
              <w:t>ОДУ</w:t>
            </w:r>
          </w:p>
        </w:tc>
        <w:tc>
          <w:tcPr>
            <w:tcW w:w="1897" w:type="dxa"/>
            <w:gridSpan w:val="2"/>
            <w:hideMark/>
          </w:tcPr>
          <w:p>
            <w:pPr>
              <w:spacing w:before="60" w:after="60"/>
              <w:jc w:val="right"/>
              <w:rPr>
                <w:noProof/>
              </w:rPr>
            </w:pPr>
            <w:r>
              <w:rPr>
                <w:rFonts w:asciiTheme="majorBidi" w:hAnsiTheme="majorBidi"/>
                <w:noProof/>
                <w:color w:val="000000"/>
              </w:rPr>
              <w:t>pm</w:t>
            </w:r>
          </w:p>
        </w:tc>
        <w:tc>
          <w:tcPr>
            <w:tcW w:w="797" w:type="dxa"/>
            <w:hideMark/>
          </w:tcPr>
          <w:p>
            <w:pPr>
              <w:spacing w:before="60" w:after="60"/>
              <w:rPr>
                <w:b/>
                <w:bCs/>
                <w:noProof/>
                <w:vertAlign w:val="superscript"/>
              </w:rPr>
            </w:pPr>
            <w:r>
              <w:rPr>
                <w:b/>
                <w:bCs/>
                <w:noProof/>
                <w:vertAlign w:val="superscript"/>
              </w:rPr>
              <w:t>(2)</w:t>
            </w:r>
          </w:p>
        </w:tc>
        <w:tc>
          <w:tcPr>
            <w:tcW w:w="5316" w:type="dxa"/>
            <w:gridSpan w:val="2"/>
            <w:vMerge/>
            <w:tcBorders>
              <w:top w:val="single" w:sz="8" w:space="0" w:color="000000"/>
              <w:left w:val="nil"/>
              <w:bottom w:val="nil"/>
              <w:right w:val="nil"/>
            </w:tcBorders>
            <w:vAlign w:val="center"/>
            <w:hideMark/>
          </w:tcPr>
          <w:p>
            <w:pPr>
              <w:spacing w:before="0" w:after="0"/>
              <w:rPr>
                <w:noProof/>
                <w:szCs w:val="24"/>
              </w:rPr>
            </w:pPr>
          </w:p>
        </w:tc>
      </w:tr>
      <w:tr>
        <w:trPr>
          <w:trHeight w:val="227"/>
        </w:trPr>
        <w:tc>
          <w:tcPr>
            <w:tcW w:w="1701" w:type="dxa"/>
            <w:vMerge w:val="restart"/>
            <w:hideMark/>
          </w:tcPr>
          <w:p>
            <w:pPr>
              <w:spacing w:before="60" w:after="60"/>
              <w:rPr>
                <w:b/>
                <w:bCs/>
                <w:noProof/>
                <w:vertAlign w:val="superscript"/>
              </w:rPr>
            </w:pPr>
            <w:r>
              <w:rPr>
                <w:b/>
                <w:bCs/>
                <w:noProof/>
                <w:vertAlign w:val="superscript"/>
              </w:rPr>
              <w:t>(1)</w:t>
            </w:r>
          </w:p>
        </w:tc>
        <w:tc>
          <w:tcPr>
            <w:tcW w:w="8010" w:type="dxa"/>
            <w:gridSpan w:val="5"/>
            <w:hideMark/>
          </w:tcPr>
          <w:p>
            <w:pPr>
              <w:spacing w:before="60" w:after="60"/>
              <w:rPr>
                <w:noProof/>
              </w:rPr>
            </w:pPr>
            <w:r>
              <w:rPr>
                <w:noProof/>
              </w:rPr>
              <w:t>Зона около подзона 57.4 на ФАО, ограничена от следните координати:</w:t>
            </w:r>
          </w:p>
        </w:tc>
      </w:tr>
      <w:tr>
        <w:trPr>
          <w:trHeight w:val="227"/>
        </w:trPr>
        <w:tc>
          <w:tcPr>
            <w:tcW w:w="1701" w:type="dxa"/>
            <w:vMerge/>
            <w:vAlign w:val="center"/>
            <w:hideMark/>
          </w:tcPr>
          <w:p>
            <w:pPr>
              <w:spacing w:before="0" w:after="0"/>
              <w:rPr>
                <w:b/>
                <w:bCs/>
                <w:noProof/>
                <w:szCs w:val="24"/>
                <w:vertAlign w:val="superscript"/>
              </w:rPr>
            </w:pPr>
          </w:p>
        </w:tc>
        <w:tc>
          <w:tcPr>
            <w:tcW w:w="1701" w:type="dxa"/>
            <w:hideMark/>
          </w:tcPr>
          <w:p>
            <w:pPr>
              <w:spacing w:before="60" w:after="60"/>
              <w:rPr>
                <w:noProof/>
              </w:rPr>
            </w:pPr>
            <w:r>
              <w:rPr>
                <w:noProof/>
              </w:rPr>
              <w:t>Точка</w:t>
            </w:r>
          </w:p>
        </w:tc>
        <w:tc>
          <w:tcPr>
            <w:tcW w:w="1985" w:type="dxa"/>
            <w:gridSpan w:val="3"/>
            <w:hideMark/>
          </w:tcPr>
          <w:p>
            <w:pPr>
              <w:spacing w:before="60" w:after="60"/>
              <w:rPr>
                <w:noProof/>
              </w:rPr>
            </w:pPr>
            <w:r>
              <w:rPr>
                <w:noProof/>
              </w:rPr>
              <w:t>Географска ширина</w:t>
            </w:r>
          </w:p>
        </w:tc>
        <w:tc>
          <w:tcPr>
            <w:tcW w:w="4324" w:type="dxa"/>
            <w:hideMark/>
          </w:tcPr>
          <w:p>
            <w:pPr>
              <w:spacing w:before="60" w:after="60"/>
              <w:rPr>
                <w:noProof/>
              </w:rPr>
            </w:pPr>
            <w:r>
              <w:rPr>
                <w:noProof/>
              </w:rPr>
              <w:t>Географска дължина</w:t>
            </w:r>
          </w:p>
        </w:tc>
      </w:tr>
      <w:tr>
        <w:trPr>
          <w:trHeight w:val="227"/>
        </w:trPr>
        <w:tc>
          <w:tcPr>
            <w:tcW w:w="1701" w:type="dxa"/>
            <w:vMerge/>
            <w:vAlign w:val="center"/>
            <w:hideMark/>
          </w:tcPr>
          <w:p>
            <w:pPr>
              <w:spacing w:before="0" w:after="0"/>
              <w:rPr>
                <w:b/>
                <w:bCs/>
                <w:noProof/>
                <w:szCs w:val="24"/>
                <w:vertAlign w:val="superscript"/>
              </w:rPr>
            </w:pPr>
          </w:p>
        </w:tc>
        <w:tc>
          <w:tcPr>
            <w:tcW w:w="1701" w:type="dxa"/>
            <w:hideMark/>
          </w:tcPr>
          <w:p>
            <w:pPr>
              <w:spacing w:before="60" w:after="60"/>
              <w:rPr>
                <w:noProof/>
              </w:rPr>
            </w:pPr>
            <w:r>
              <w:rPr>
                <w:noProof/>
              </w:rPr>
              <w:t>1</w:t>
            </w:r>
          </w:p>
        </w:tc>
        <w:tc>
          <w:tcPr>
            <w:tcW w:w="1985" w:type="dxa"/>
            <w:gridSpan w:val="3"/>
            <w:hideMark/>
          </w:tcPr>
          <w:p>
            <w:pPr>
              <w:spacing w:before="60" w:after="60"/>
              <w:rPr>
                <w:noProof/>
              </w:rPr>
            </w:pPr>
            <w:r>
              <w:rPr>
                <w:noProof/>
              </w:rPr>
              <w:t>52° 30' 00" ю.ш.</w:t>
            </w:r>
          </w:p>
        </w:tc>
        <w:tc>
          <w:tcPr>
            <w:tcW w:w="4324" w:type="dxa"/>
            <w:hideMark/>
          </w:tcPr>
          <w:p>
            <w:pPr>
              <w:spacing w:before="60" w:after="60"/>
              <w:rPr>
                <w:noProof/>
              </w:rPr>
            </w:pPr>
            <w:r>
              <w:rPr>
                <w:noProof/>
              </w:rPr>
              <w:t>80° 00' 00" и. д.</w:t>
            </w:r>
          </w:p>
        </w:tc>
      </w:tr>
      <w:tr>
        <w:trPr>
          <w:trHeight w:val="227"/>
        </w:trPr>
        <w:tc>
          <w:tcPr>
            <w:tcW w:w="1701" w:type="dxa"/>
            <w:vMerge/>
            <w:vAlign w:val="center"/>
            <w:hideMark/>
          </w:tcPr>
          <w:p>
            <w:pPr>
              <w:spacing w:before="0" w:after="0"/>
              <w:rPr>
                <w:b/>
                <w:bCs/>
                <w:noProof/>
                <w:szCs w:val="24"/>
                <w:vertAlign w:val="superscript"/>
              </w:rPr>
            </w:pPr>
          </w:p>
        </w:tc>
        <w:tc>
          <w:tcPr>
            <w:tcW w:w="1701" w:type="dxa"/>
            <w:hideMark/>
          </w:tcPr>
          <w:p>
            <w:pPr>
              <w:spacing w:before="60" w:after="60"/>
              <w:rPr>
                <w:noProof/>
              </w:rPr>
            </w:pPr>
            <w:r>
              <w:rPr>
                <w:noProof/>
              </w:rPr>
              <w:t>2</w:t>
            </w:r>
          </w:p>
        </w:tc>
        <w:tc>
          <w:tcPr>
            <w:tcW w:w="1985" w:type="dxa"/>
            <w:gridSpan w:val="3"/>
            <w:hideMark/>
          </w:tcPr>
          <w:p>
            <w:pPr>
              <w:spacing w:before="60" w:after="60"/>
              <w:rPr>
                <w:noProof/>
              </w:rPr>
            </w:pPr>
            <w:r>
              <w:rPr>
                <w:noProof/>
              </w:rPr>
              <w:t>55° 00' 00" ю.ш.</w:t>
            </w:r>
          </w:p>
        </w:tc>
        <w:tc>
          <w:tcPr>
            <w:tcW w:w="4324" w:type="dxa"/>
            <w:hideMark/>
          </w:tcPr>
          <w:p>
            <w:pPr>
              <w:spacing w:before="60" w:after="60"/>
              <w:rPr>
                <w:noProof/>
              </w:rPr>
            </w:pPr>
            <w:r>
              <w:rPr>
                <w:noProof/>
              </w:rPr>
              <w:t>80° 00' 00" и. д.</w:t>
            </w:r>
          </w:p>
        </w:tc>
      </w:tr>
      <w:tr>
        <w:trPr>
          <w:trHeight w:val="227"/>
        </w:trPr>
        <w:tc>
          <w:tcPr>
            <w:tcW w:w="1701" w:type="dxa"/>
            <w:vMerge/>
            <w:vAlign w:val="center"/>
            <w:hideMark/>
          </w:tcPr>
          <w:p>
            <w:pPr>
              <w:spacing w:before="0" w:after="0"/>
              <w:rPr>
                <w:b/>
                <w:bCs/>
                <w:noProof/>
                <w:szCs w:val="24"/>
                <w:vertAlign w:val="superscript"/>
              </w:rPr>
            </w:pPr>
          </w:p>
        </w:tc>
        <w:tc>
          <w:tcPr>
            <w:tcW w:w="1701" w:type="dxa"/>
            <w:hideMark/>
          </w:tcPr>
          <w:p>
            <w:pPr>
              <w:spacing w:before="60" w:after="60"/>
              <w:rPr>
                <w:noProof/>
              </w:rPr>
            </w:pPr>
            <w:r>
              <w:rPr>
                <w:noProof/>
              </w:rPr>
              <w:t>3</w:t>
            </w:r>
          </w:p>
        </w:tc>
        <w:tc>
          <w:tcPr>
            <w:tcW w:w="1985" w:type="dxa"/>
            <w:gridSpan w:val="3"/>
            <w:hideMark/>
          </w:tcPr>
          <w:p>
            <w:pPr>
              <w:spacing w:before="60" w:after="60"/>
              <w:rPr>
                <w:noProof/>
              </w:rPr>
            </w:pPr>
            <w:r>
              <w:rPr>
                <w:noProof/>
              </w:rPr>
              <w:t>55° 00' 00" ю.ш.</w:t>
            </w:r>
          </w:p>
        </w:tc>
        <w:tc>
          <w:tcPr>
            <w:tcW w:w="4324" w:type="dxa"/>
            <w:hideMark/>
          </w:tcPr>
          <w:p>
            <w:pPr>
              <w:spacing w:before="60" w:after="60"/>
              <w:rPr>
                <w:noProof/>
              </w:rPr>
            </w:pPr>
            <w:r>
              <w:rPr>
                <w:noProof/>
              </w:rPr>
              <w:t>85° 00' 00" и. д.</w:t>
            </w:r>
          </w:p>
        </w:tc>
      </w:tr>
      <w:tr>
        <w:trPr>
          <w:trHeight w:val="227"/>
        </w:trPr>
        <w:tc>
          <w:tcPr>
            <w:tcW w:w="1701" w:type="dxa"/>
            <w:vMerge/>
            <w:vAlign w:val="center"/>
            <w:hideMark/>
          </w:tcPr>
          <w:p>
            <w:pPr>
              <w:spacing w:before="0" w:after="0"/>
              <w:rPr>
                <w:b/>
                <w:bCs/>
                <w:noProof/>
                <w:szCs w:val="24"/>
                <w:vertAlign w:val="superscript"/>
              </w:rPr>
            </w:pPr>
          </w:p>
        </w:tc>
        <w:tc>
          <w:tcPr>
            <w:tcW w:w="1701" w:type="dxa"/>
            <w:hideMark/>
          </w:tcPr>
          <w:p>
            <w:pPr>
              <w:spacing w:before="60" w:after="60"/>
              <w:rPr>
                <w:noProof/>
              </w:rPr>
            </w:pPr>
            <w:r>
              <w:rPr>
                <w:noProof/>
              </w:rPr>
              <w:t>4</w:t>
            </w:r>
          </w:p>
        </w:tc>
        <w:tc>
          <w:tcPr>
            <w:tcW w:w="1985" w:type="dxa"/>
            <w:gridSpan w:val="3"/>
            <w:hideMark/>
          </w:tcPr>
          <w:p>
            <w:pPr>
              <w:spacing w:before="60" w:after="60"/>
              <w:rPr>
                <w:noProof/>
              </w:rPr>
            </w:pPr>
            <w:r>
              <w:rPr>
                <w:noProof/>
              </w:rPr>
              <w:t>52° 30' 00" ю.ш.</w:t>
            </w:r>
          </w:p>
        </w:tc>
        <w:tc>
          <w:tcPr>
            <w:tcW w:w="4324" w:type="dxa"/>
            <w:hideMark/>
          </w:tcPr>
          <w:p>
            <w:pPr>
              <w:spacing w:before="60" w:after="60"/>
              <w:rPr>
                <w:noProof/>
              </w:rPr>
            </w:pPr>
            <w:r>
              <w:rPr>
                <w:noProof/>
              </w:rPr>
              <w:t>85° 00' 00" и. д.</w:t>
            </w:r>
          </w:p>
        </w:tc>
      </w:tr>
      <w:tr>
        <w:trPr>
          <w:trHeight w:val="227"/>
        </w:trPr>
        <w:tc>
          <w:tcPr>
            <w:tcW w:w="1701" w:type="dxa"/>
            <w:tcBorders>
              <w:top w:val="nil"/>
              <w:left w:val="nil"/>
              <w:bottom w:val="single" w:sz="8" w:space="0" w:color="auto"/>
              <w:right w:val="nil"/>
            </w:tcBorders>
            <w:hideMark/>
          </w:tcPr>
          <w:p>
            <w:pPr>
              <w:spacing w:before="60" w:after="60"/>
              <w:rPr>
                <w:b/>
                <w:bCs/>
                <w:noProof/>
                <w:vertAlign w:val="superscript"/>
              </w:rPr>
            </w:pPr>
            <w:r>
              <w:rPr>
                <w:b/>
                <w:bCs/>
                <w:noProof/>
                <w:vertAlign w:val="superscript"/>
              </w:rPr>
              <w:t>(2)</w:t>
            </w:r>
          </w:p>
        </w:tc>
        <w:tc>
          <w:tcPr>
            <w:tcW w:w="8010" w:type="dxa"/>
            <w:gridSpan w:val="5"/>
            <w:tcBorders>
              <w:top w:val="nil"/>
              <w:left w:val="nil"/>
              <w:bottom w:val="single" w:sz="8" w:space="0" w:color="auto"/>
              <w:right w:val="nil"/>
            </w:tcBorders>
            <w:hideMark/>
          </w:tcPr>
          <w:p>
            <w:pPr>
              <w:spacing w:before="60" w:after="60"/>
              <w:rPr>
                <w:noProof/>
              </w:rPr>
            </w:pPr>
            <w:r>
              <w:rPr>
                <w:noProof/>
              </w:rPr>
              <w:t>Риболов може да се извършва само от кораби с наблюдатели на борда по време на риболовния сезон от 1 декември 2019 г. до 30 ноември 2020 г. За всяка клетка от координатната мрежа на SIOFA са определени не повече от две парагади с най-много 6250 куки, като се прилага интервал между риболовните рейсове от най-малко 30 дни в съответствие с условията за достъп, установени от SIOFA.</w:t>
            </w:r>
          </w:p>
          <w:p>
            <w:pPr>
              <w:spacing w:before="60" w:after="60"/>
              <w:rPr>
                <w:noProof/>
              </w:rPr>
            </w:pPr>
            <w:r>
              <w:rPr>
                <w:noProof/>
              </w:rPr>
              <w:t>Количеството улов от кораби, които не извършват целеви риболов на посочения вид, не може да надвишава 0,5 тона за един риболовен сезон. Когато даден кораб достигне този лимит, той губи правото да извършва риболов в зоната около Williams Ridge.</w:t>
            </w:r>
          </w:p>
        </w:tc>
      </w:tr>
    </w:tbl>
    <w:p>
      <w:pPr>
        <w:shd w:val="clear" w:color="auto" w:fill="FFFFFF"/>
        <w:spacing w:after="0" w:line="312" w:lineRule="atLeast"/>
        <w:rPr>
          <w:rFonts w:eastAsia="Times New Roman"/>
          <w:noProof/>
          <w:color w:val="444444"/>
          <w:szCs w:val="24"/>
        </w:rPr>
      </w:pPr>
      <w:r>
        <w:rPr>
          <w:noProof/>
          <w:color w:val="444444"/>
          <w:szCs w:val="24"/>
        </w:rPr>
        <w:t>Временни защитени зони</w:t>
      </w:r>
    </w:p>
    <w:p>
      <w:pPr>
        <w:shd w:val="clear" w:color="auto" w:fill="FFFFFF"/>
        <w:spacing w:after="0" w:line="312" w:lineRule="atLeast"/>
        <w:rPr>
          <w:rFonts w:eastAsia="Times New Roman"/>
          <w:noProof/>
          <w:color w:val="444444"/>
          <w:szCs w:val="24"/>
        </w:rPr>
      </w:pPr>
      <w:r>
        <w:rPr>
          <w:noProof/>
          <w:color w:val="444444"/>
          <w:szCs w:val="24"/>
        </w:rPr>
        <w:t>Atlantis Bank</w:t>
      </w:r>
    </w:p>
    <w:p>
      <w:pPr>
        <w:shd w:val="clear" w:color="auto" w:fill="FFFFFF"/>
        <w:spacing w:before="0" w:after="0" w:line="312" w:lineRule="atLeast"/>
        <w:jc w:val="left"/>
        <w:rPr>
          <w:rFonts w:eastAsia="Times New Roman"/>
          <w:noProof/>
          <w:color w:val="444444"/>
          <w:szCs w:val="24"/>
          <w:lang w:eastAsia="fr-BE"/>
        </w:rPr>
      </w:pPr>
    </w:p>
    <w:p>
      <w:pPr>
        <w:shd w:val="clear" w:color="auto" w:fill="FFFFFF"/>
        <w:spacing w:before="0" w:after="0" w:line="312" w:lineRule="atLeast"/>
        <w:jc w:val="center"/>
        <w:rPr>
          <w:rFonts w:eastAsia="Times New Roman"/>
          <w:noProof/>
          <w:color w:val="444444"/>
          <w:szCs w:val="24"/>
          <w:lang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671"/>
        <w:gridCol w:w="2892"/>
        <w:gridCol w:w="3215"/>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Точка</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Географска ширина (южна)</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Географска дължина (източна)</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32°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57°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32° 50'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57°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32° 50'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58°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32°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58° 00'</w:t>
            </w:r>
          </w:p>
        </w:tc>
      </w:tr>
    </w:tbl>
    <w:p>
      <w:pPr>
        <w:shd w:val="clear" w:color="auto" w:fill="FFFFFF"/>
        <w:spacing w:after="0" w:line="312" w:lineRule="atLeast"/>
        <w:rPr>
          <w:rFonts w:eastAsia="Times New Roman"/>
          <w:noProof/>
          <w:color w:val="444444"/>
          <w:szCs w:val="24"/>
        </w:rPr>
      </w:pPr>
      <w:r>
        <w:rPr>
          <w:noProof/>
          <w:color w:val="444444"/>
          <w:szCs w:val="24"/>
        </w:rPr>
        <w:t>Coral</w:t>
      </w:r>
    </w:p>
    <w:p>
      <w:pPr>
        <w:shd w:val="clear" w:color="auto" w:fill="FFFFFF"/>
        <w:spacing w:before="0" w:after="0" w:line="312" w:lineRule="atLeast"/>
        <w:jc w:val="left"/>
        <w:rPr>
          <w:rFonts w:eastAsia="Times New Roman"/>
          <w:noProof/>
          <w:color w:val="444444"/>
          <w:szCs w:val="24"/>
          <w:lang w:eastAsia="fr-BE"/>
        </w:rPr>
      </w:pPr>
    </w:p>
    <w:p>
      <w:pPr>
        <w:shd w:val="clear" w:color="auto" w:fill="FFFFFF"/>
        <w:spacing w:before="0" w:after="0" w:line="312" w:lineRule="atLeast"/>
        <w:jc w:val="center"/>
        <w:rPr>
          <w:rFonts w:eastAsia="Times New Roman"/>
          <w:noProof/>
          <w:color w:val="444444"/>
          <w:szCs w:val="24"/>
          <w:lang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671"/>
        <w:gridCol w:w="2892"/>
        <w:gridCol w:w="3215"/>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Точка</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Географска ширина (южна)</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Географска дължина (източна)</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41°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42°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42°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44°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41°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44° 00'</w:t>
            </w:r>
          </w:p>
        </w:tc>
      </w:tr>
    </w:tbl>
    <w:p>
      <w:pPr>
        <w:shd w:val="clear" w:color="auto" w:fill="FFFFFF"/>
        <w:spacing w:after="0" w:line="312" w:lineRule="atLeast"/>
        <w:rPr>
          <w:rFonts w:eastAsia="Times New Roman"/>
          <w:noProof/>
          <w:color w:val="444444"/>
          <w:szCs w:val="24"/>
        </w:rPr>
      </w:pPr>
      <w:r>
        <w:rPr>
          <w:noProof/>
          <w:color w:val="444444"/>
          <w:szCs w:val="24"/>
        </w:rPr>
        <w:t>Fools Flat</w:t>
      </w:r>
    </w:p>
    <w:p>
      <w:pPr>
        <w:shd w:val="clear" w:color="auto" w:fill="FFFFFF"/>
        <w:spacing w:before="0" w:after="0" w:line="312" w:lineRule="atLeast"/>
        <w:jc w:val="left"/>
        <w:rPr>
          <w:rFonts w:eastAsia="Times New Roman"/>
          <w:noProof/>
          <w:color w:val="444444"/>
          <w:szCs w:val="24"/>
          <w:lang w:eastAsia="fr-BE"/>
        </w:rPr>
      </w:pPr>
    </w:p>
    <w:p>
      <w:pPr>
        <w:shd w:val="clear" w:color="auto" w:fill="FFFFFF"/>
        <w:spacing w:before="0" w:after="0" w:line="312" w:lineRule="atLeast"/>
        <w:jc w:val="center"/>
        <w:rPr>
          <w:rFonts w:eastAsia="Times New Roman"/>
          <w:noProof/>
          <w:color w:val="444444"/>
          <w:szCs w:val="24"/>
          <w:lang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671"/>
        <w:gridCol w:w="2892"/>
        <w:gridCol w:w="3215"/>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Точка</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Географска ширина (южна)</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Географска дължина (източна)</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31° 30'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94° 40'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94° 40'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95°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31° 30'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95° 00'</w:t>
            </w:r>
          </w:p>
        </w:tc>
      </w:tr>
    </w:tbl>
    <w:p>
      <w:pPr>
        <w:shd w:val="clear" w:color="auto" w:fill="FFFFFF"/>
        <w:spacing w:after="0" w:line="312" w:lineRule="atLeast"/>
        <w:rPr>
          <w:rFonts w:eastAsia="Times New Roman"/>
          <w:noProof/>
          <w:color w:val="444444"/>
          <w:szCs w:val="24"/>
        </w:rPr>
      </w:pPr>
      <w:r>
        <w:rPr>
          <w:noProof/>
          <w:color w:val="444444"/>
          <w:szCs w:val="24"/>
        </w:rPr>
        <w:t>Middle of What</w:t>
      </w:r>
    </w:p>
    <w:p>
      <w:pPr>
        <w:shd w:val="clear" w:color="auto" w:fill="FFFFFF"/>
        <w:spacing w:before="0" w:after="0" w:line="312" w:lineRule="atLeast"/>
        <w:jc w:val="left"/>
        <w:rPr>
          <w:rFonts w:eastAsia="Times New Roman"/>
          <w:noProof/>
          <w:color w:val="444444"/>
          <w:szCs w:val="24"/>
          <w:lang w:eastAsia="fr-BE"/>
        </w:rPr>
      </w:pPr>
    </w:p>
    <w:p>
      <w:pPr>
        <w:shd w:val="clear" w:color="auto" w:fill="FFFFFF"/>
        <w:spacing w:before="0" w:after="0" w:line="312" w:lineRule="atLeast"/>
        <w:jc w:val="center"/>
        <w:rPr>
          <w:rFonts w:eastAsia="Times New Roman"/>
          <w:noProof/>
          <w:color w:val="444444"/>
          <w:szCs w:val="24"/>
          <w:lang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671"/>
        <w:gridCol w:w="2892"/>
        <w:gridCol w:w="3215"/>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Точка</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Географска ширина (южна)</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Географска дължина (източна)</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37° 54'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50° 23'</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37° 56.5'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50° 23'</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37° 56.5'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50° 27'</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37° 54'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50° 27'</w:t>
            </w:r>
          </w:p>
        </w:tc>
      </w:tr>
    </w:tbl>
    <w:p>
      <w:pPr>
        <w:shd w:val="clear" w:color="auto" w:fill="FFFFFF"/>
        <w:spacing w:after="0" w:line="312" w:lineRule="atLeast"/>
        <w:rPr>
          <w:rFonts w:eastAsia="Times New Roman"/>
          <w:noProof/>
          <w:color w:val="444444"/>
          <w:szCs w:val="24"/>
        </w:rPr>
      </w:pPr>
      <w:r>
        <w:rPr>
          <w:noProof/>
          <w:color w:val="444444"/>
          <w:szCs w:val="24"/>
        </w:rPr>
        <w:t>Walter’s Shoal</w:t>
      </w:r>
    </w:p>
    <w:p>
      <w:pPr>
        <w:shd w:val="clear" w:color="auto" w:fill="FFFFFF"/>
        <w:spacing w:before="0" w:after="0" w:line="312" w:lineRule="atLeast"/>
        <w:jc w:val="left"/>
        <w:rPr>
          <w:rFonts w:eastAsia="Times New Roman"/>
          <w:noProof/>
          <w:color w:val="444444"/>
          <w:szCs w:val="24"/>
          <w:lang w:eastAsia="fr-BE"/>
        </w:rPr>
      </w:pPr>
    </w:p>
    <w:p>
      <w:pPr>
        <w:shd w:val="clear" w:color="auto" w:fill="FFFFFF"/>
        <w:spacing w:before="0" w:after="0" w:line="312" w:lineRule="atLeast"/>
        <w:jc w:val="center"/>
        <w:rPr>
          <w:rFonts w:eastAsia="Times New Roman"/>
          <w:noProof/>
          <w:color w:val="444444"/>
          <w:szCs w:val="24"/>
          <w:lang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671"/>
        <w:gridCol w:w="2892"/>
        <w:gridCol w:w="3215"/>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Точка</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Географска ширина (южна)</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rPr>
            </w:pPr>
            <w:r>
              <w:rPr>
                <w:noProof/>
              </w:rPr>
              <w:t>Географска дължина (източна)</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33°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43° 10'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33° 20'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43° 10'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33° 20'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44° 10'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33°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rPr>
            </w:pPr>
            <w:r>
              <w:rPr>
                <w:noProof/>
              </w:rPr>
              <w:t>44° 10'</w:t>
            </w:r>
          </w:p>
        </w:tc>
      </w:tr>
    </w:tbl>
    <w:p>
      <w:pPr>
        <w:pStyle w:val="Lignefinal"/>
        <w:rPr>
          <w:noProof/>
        </w:rPr>
      </w:pPr>
    </w:p>
    <w:p>
      <w:pPr>
        <w:spacing w:before="0" w:after="0"/>
        <w:rPr>
          <w:noProof/>
        </w:rPr>
        <w:sectPr>
          <w:pgSz w:w="11907" w:h="16839"/>
          <w:pgMar w:top="1134" w:right="1134" w:bottom="1134" w:left="1134" w:header="567" w:footer="567" w:gutter="0"/>
          <w:pgNumType w:start="113"/>
          <w:cols w:space="720"/>
          <w:docGrid w:linePitch="326"/>
        </w:sectPr>
      </w:pPr>
    </w:p>
    <w:p>
      <w:pPr>
        <w:jc w:val="center"/>
        <w:rPr>
          <w:b/>
          <w:noProof/>
        </w:rPr>
      </w:pPr>
      <w:r>
        <w:rPr>
          <w:b/>
          <w:noProof/>
        </w:rPr>
        <w:t>ПРИЛОЖЕНИЕ IЛ</w:t>
      </w:r>
    </w:p>
    <w:p>
      <w:pPr>
        <w:pStyle w:val="NormalCentered"/>
        <w:rPr>
          <w:noProof/>
        </w:rPr>
      </w:pPr>
      <w:r>
        <w:rPr>
          <w:noProof/>
        </w:rPr>
        <w:t>ЗОНА НА КОНВЕНЦИЯТА IATTC</w:t>
      </w:r>
    </w:p>
    <w:tbl>
      <w:tblPr>
        <w:tblW w:w="5000" w:type="pct"/>
        <w:tblCellMar>
          <w:left w:w="0" w:type="dxa"/>
          <w:right w:w="0" w:type="dxa"/>
        </w:tblCellMar>
        <w:tblLook w:val="04A0" w:firstRow="1" w:lastRow="0" w:firstColumn="1" w:lastColumn="0" w:noHBand="0" w:noVBand="1"/>
      </w:tblPr>
      <w:tblGrid>
        <w:gridCol w:w="1809"/>
        <w:gridCol w:w="1985"/>
        <w:gridCol w:w="708"/>
        <w:gridCol w:w="1133"/>
        <w:gridCol w:w="4220"/>
      </w:tblGrid>
      <w:tr>
        <w:trPr>
          <w:trHeight w:val="227"/>
        </w:trPr>
        <w:tc>
          <w:tcPr>
            <w:tcW w:w="918" w:type="pct"/>
            <w:tcBorders>
              <w:top w:val="single" w:sz="8" w:space="0" w:color="auto"/>
              <w:left w:val="nil"/>
              <w:bottom w:val="single" w:sz="8" w:space="0" w:color="000000"/>
              <w:right w:val="nil"/>
            </w:tcBorders>
            <w:shd w:val="clear" w:color="auto" w:fill="FFFFFF"/>
            <w:tcMar>
              <w:top w:w="0" w:type="dxa"/>
              <w:left w:w="108" w:type="dxa"/>
              <w:bottom w:w="0" w:type="dxa"/>
              <w:right w:w="108" w:type="dxa"/>
            </w:tcMar>
            <w:hideMark/>
          </w:tcPr>
          <w:p>
            <w:pPr>
              <w:spacing w:before="60" w:after="60"/>
              <w:rPr>
                <w:noProof/>
              </w:rPr>
            </w:pPr>
            <w:r>
              <w:rPr>
                <w:noProof/>
              </w:rPr>
              <w:t>Вид:</w:t>
            </w:r>
          </w:p>
        </w:tc>
        <w:tc>
          <w:tcPr>
            <w:tcW w:w="1366" w:type="pct"/>
            <w:gridSpan w:val="2"/>
            <w:tcBorders>
              <w:top w:val="single" w:sz="8" w:space="0" w:color="auto"/>
              <w:left w:val="nil"/>
              <w:bottom w:val="single" w:sz="8" w:space="0" w:color="000000"/>
              <w:right w:val="single" w:sz="8" w:space="0" w:color="auto"/>
            </w:tcBorders>
            <w:shd w:val="clear" w:color="auto" w:fill="FFFFFF"/>
            <w:tcMar>
              <w:top w:w="0" w:type="dxa"/>
              <w:left w:w="108" w:type="dxa"/>
              <w:bottom w:w="0" w:type="dxa"/>
              <w:right w:w="108" w:type="dxa"/>
            </w:tcMar>
            <w:hideMark/>
          </w:tcPr>
          <w:p>
            <w:pPr>
              <w:spacing w:before="60" w:after="60"/>
              <w:rPr>
                <w:noProof/>
              </w:rPr>
            </w:pPr>
            <w:r>
              <w:rPr>
                <w:noProof/>
              </w:rPr>
              <w:t>Големоок тон</w:t>
            </w:r>
          </w:p>
          <w:p>
            <w:pPr>
              <w:spacing w:before="60" w:after="60"/>
              <w:rPr>
                <w:i/>
                <w:iCs/>
                <w:noProof/>
              </w:rPr>
            </w:pPr>
            <w:r>
              <w:rPr>
                <w:i/>
                <w:iCs/>
                <w:noProof/>
              </w:rPr>
              <w:t>Thunnus obesus</w:t>
            </w:r>
          </w:p>
        </w:tc>
        <w:tc>
          <w:tcPr>
            <w:tcW w:w="575" w:type="pct"/>
            <w:tcBorders>
              <w:top w:val="single" w:sz="8" w:space="0" w:color="auto"/>
              <w:left w:val="nil"/>
              <w:bottom w:val="single" w:sz="8" w:space="0" w:color="000000"/>
              <w:right w:val="nil"/>
            </w:tcBorders>
            <w:shd w:val="clear" w:color="auto" w:fill="FFFFFF"/>
            <w:tcMar>
              <w:top w:w="0" w:type="dxa"/>
              <w:left w:w="108" w:type="dxa"/>
              <w:bottom w:w="0" w:type="dxa"/>
              <w:right w:w="108" w:type="dxa"/>
            </w:tcMar>
            <w:hideMark/>
          </w:tcPr>
          <w:p>
            <w:pPr>
              <w:spacing w:before="60" w:after="60"/>
              <w:rPr>
                <w:noProof/>
              </w:rPr>
            </w:pPr>
            <w:r>
              <w:rPr>
                <w:noProof/>
              </w:rPr>
              <w:t>Зона:</w:t>
            </w:r>
          </w:p>
        </w:tc>
        <w:tc>
          <w:tcPr>
            <w:tcW w:w="2141" w:type="pct"/>
            <w:tcBorders>
              <w:top w:val="single" w:sz="8" w:space="0" w:color="auto"/>
              <w:left w:val="nil"/>
              <w:bottom w:val="single" w:sz="8" w:space="0" w:color="000000"/>
              <w:right w:val="nil"/>
            </w:tcBorders>
            <w:shd w:val="clear" w:color="auto" w:fill="FFFFFF"/>
            <w:tcMar>
              <w:top w:w="0" w:type="dxa"/>
              <w:left w:w="108" w:type="dxa"/>
              <w:bottom w:w="0" w:type="dxa"/>
              <w:right w:w="108" w:type="dxa"/>
            </w:tcMar>
            <w:hideMark/>
          </w:tcPr>
          <w:p>
            <w:pPr>
              <w:spacing w:before="60" w:after="60"/>
              <w:rPr>
                <w:noProof/>
              </w:rPr>
            </w:pPr>
            <w:r>
              <w:rPr>
                <w:noProof/>
              </w:rPr>
              <w:t>Зона на Конвенцията IATTC</w:t>
            </w:r>
          </w:p>
          <w:p>
            <w:pPr>
              <w:spacing w:before="60" w:after="60"/>
              <w:rPr>
                <w:noProof/>
              </w:rPr>
            </w:pPr>
            <w:r>
              <w:rPr>
                <w:noProof/>
              </w:rPr>
              <w:t>(BET/IATTC)</w:t>
            </w:r>
          </w:p>
        </w:tc>
      </w:tr>
      <w:tr>
        <w:trPr>
          <w:trHeight w:val="227"/>
        </w:trPr>
        <w:tc>
          <w:tcPr>
            <w:tcW w:w="918" w:type="pct"/>
            <w:tcMar>
              <w:top w:w="0" w:type="dxa"/>
              <w:left w:w="108" w:type="dxa"/>
              <w:bottom w:w="0" w:type="dxa"/>
              <w:right w:w="108" w:type="dxa"/>
            </w:tcMar>
            <w:hideMark/>
          </w:tcPr>
          <w:p>
            <w:pPr>
              <w:spacing w:before="60" w:after="60"/>
              <w:rPr>
                <w:noProof/>
              </w:rPr>
            </w:pPr>
            <w:r>
              <w:rPr>
                <w:noProof/>
              </w:rPr>
              <w:t>Съюз</w:t>
            </w:r>
          </w:p>
        </w:tc>
        <w:tc>
          <w:tcPr>
            <w:tcW w:w="1007" w:type="pct"/>
            <w:tcMar>
              <w:top w:w="0" w:type="dxa"/>
              <w:left w:w="108" w:type="dxa"/>
              <w:bottom w:w="0" w:type="dxa"/>
              <w:right w:w="108" w:type="dxa"/>
            </w:tcMar>
            <w:hideMark/>
          </w:tcPr>
          <w:p>
            <w:pPr>
              <w:spacing w:before="60" w:after="60"/>
              <w:rPr>
                <w:noProof/>
              </w:rPr>
            </w:pPr>
            <w:r>
              <w:rPr>
                <w:rFonts w:asciiTheme="majorBidi" w:hAnsiTheme="majorBidi"/>
                <w:noProof/>
                <w:color w:val="000000"/>
              </w:rPr>
              <w:t>pm</w:t>
            </w:r>
          </w:p>
        </w:tc>
        <w:tc>
          <w:tcPr>
            <w:tcW w:w="359" w:type="pct"/>
            <w:tcMar>
              <w:top w:w="0" w:type="dxa"/>
              <w:left w:w="108" w:type="dxa"/>
              <w:bottom w:w="0" w:type="dxa"/>
              <w:right w:w="108" w:type="dxa"/>
            </w:tcMar>
            <w:hideMark/>
          </w:tcPr>
          <w:p>
            <w:pPr>
              <w:spacing w:before="60" w:after="60"/>
              <w:rPr>
                <w:b/>
                <w:bCs/>
                <w:noProof/>
                <w:vertAlign w:val="superscript"/>
              </w:rPr>
            </w:pPr>
            <w:r>
              <w:rPr>
                <w:b/>
                <w:bCs/>
                <w:noProof/>
                <w:vertAlign w:val="superscript"/>
              </w:rPr>
              <w:t>(1)</w:t>
            </w:r>
          </w:p>
        </w:tc>
        <w:tc>
          <w:tcPr>
            <w:tcW w:w="2716" w:type="pct"/>
            <w:gridSpan w:val="2"/>
            <w:vMerge w:val="restart"/>
            <w:tcMar>
              <w:top w:w="0" w:type="dxa"/>
              <w:left w:w="108" w:type="dxa"/>
              <w:bottom w:w="0" w:type="dxa"/>
              <w:right w:w="108" w:type="dxa"/>
            </w:tcMar>
            <w:hideMark/>
          </w:tcPr>
          <w:p>
            <w:pPr>
              <w:spacing w:before="60" w:after="60"/>
              <w:rPr>
                <w:noProof/>
              </w:rPr>
            </w:pPr>
            <w:r>
              <w:rPr>
                <w:noProof/>
              </w:rPr>
              <w:t>Предпазен ОДУ</w:t>
            </w:r>
          </w:p>
        </w:tc>
      </w:tr>
      <w:tr>
        <w:trPr>
          <w:trHeight w:val="227"/>
        </w:trPr>
        <w:tc>
          <w:tcPr>
            <w:tcW w:w="918" w:type="pct"/>
            <w:tcMar>
              <w:top w:w="0" w:type="dxa"/>
              <w:left w:w="108" w:type="dxa"/>
              <w:bottom w:w="0" w:type="dxa"/>
              <w:right w:w="108" w:type="dxa"/>
            </w:tcMar>
            <w:hideMark/>
          </w:tcPr>
          <w:p>
            <w:pPr>
              <w:spacing w:before="60" w:after="60"/>
              <w:rPr>
                <w:noProof/>
              </w:rPr>
            </w:pPr>
            <w:r>
              <w:rPr>
                <w:noProof/>
              </w:rPr>
              <w:t>ОДУ</w:t>
            </w:r>
          </w:p>
        </w:tc>
        <w:tc>
          <w:tcPr>
            <w:tcW w:w="1007" w:type="pct"/>
            <w:tcMar>
              <w:top w:w="0" w:type="dxa"/>
              <w:left w:w="108" w:type="dxa"/>
              <w:bottom w:w="0" w:type="dxa"/>
              <w:right w:w="108" w:type="dxa"/>
            </w:tcMar>
            <w:hideMark/>
          </w:tcPr>
          <w:p>
            <w:pPr>
              <w:spacing w:before="60" w:after="60"/>
              <w:rPr>
                <w:noProof/>
              </w:rPr>
            </w:pPr>
            <w:r>
              <w:rPr>
                <w:noProof/>
              </w:rPr>
              <w:t>Не се прилага</w:t>
            </w:r>
          </w:p>
        </w:tc>
        <w:tc>
          <w:tcPr>
            <w:tcW w:w="359" w:type="pct"/>
            <w:tcMar>
              <w:top w:w="0" w:type="dxa"/>
              <w:left w:w="108" w:type="dxa"/>
              <w:bottom w:w="0" w:type="dxa"/>
              <w:right w:w="108" w:type="dxa"/>
            </w:tcMar>
          </w:tcPr>
          <w:p>
            <w:pPr>
              <w:spacing w:before="60" w:after="60"/>
              <w:rPr>
                <w:noProof/>
              </w:rPr>
            </w:pPr>
          </w:p>
        </w:tc>
        <w:tc>
          <w:tcPr>
            <w:tcW w:w="0" w:type="auto"/>
            <w:gridSpan w:val="2"/>
            <w:vMerge/>
            <w:vAlign w:val="center"/>
            <w:hideMark/>
          </w:tcPr>
          <w:p>
            <w:pPr>
              <w:spacing w:before="0" w:after="0"/>
              <w:rPr>
                <w:noProof/>
                <w:szCs w:val="24"/>
              </w:rPr>
            </w:pPr>
          </w:p>
        </w:tc>
      </w:tr>
      <w:tr>
        <w:trPr>
          <w:trHeight w:val="227"/>
        </w:trPr>
        <w:tc>
          <w:tcPr>
            <w:tcW w:w="918" w:type="pct"/>
            <w:tcBorders>
              <w:top w:val="nil"/>
              <w:left w:val="nil"/>
              <w:bottom w:val="single" w:sz="8" w:space="0" w:color="auto"/>
              <w:right w:val="nil"/>
            </w:tcBorders>
            <w:tcMar>
              <w:top w:w="0" w:type="dxa"/>
              <w:left w:w="108" w:type="dxa"/>
              <w:bottom w:w="0" w:type="dxa"/>
              <w:right w:w="108" w:type="dxa"/>
            </w:tcMar>
            <w:hideMark/>
          </w:tcPr>
          <w:p>
            <w:pPr>
              <w:spacing w:before="60" w:after="60"/>
              <w:jc w:val="right"/>
              <w:rPr>
                <w:b/>
                <w:bCs/>
                <w:noProof/>
                <w:vertAlign w:val="superscript"/>
              </w:rPr>
            </w:pPr>
            <w:r>
              <w:rPr>
                <w:b/>
                <w:bCs/>
                <w:noProof/>
                <w:vertAlign w:val="superscript"/>
              </w:rPr>
              <w:t>(1)</w:t>
            </w:r>
          </w:p>
        </w:tc>
        <w:tc>
          <w:tcPr>
            <w:tcW w:w="4082" w:type="pct"/>
            <w:gridSpan w:val="4"/>
            <w:tcBorders>
              <w:top w:val="nil"/>
              <w:left w:val="nil"/>
              <w:bottom w:val="single" w:sz="8" w:space="0" w:color="auto"/>
              <w:right w:val="nil"/>
            </w:tcBorders>
            <w:tcMar>
              <w:top w:w="0" w:type="dxa"/>
              <w:left w:w="108" w:type="dxa"/>
              <w:bottom w:w="0" w:type="dxa"/>
              <w:right w:w="108" w:type="dxa"/>
            </w:tcMar>
            <w:hideMark/>
          </w:tcPr>
          <w:p>
            <w:pPr>
              <w:spacing w:before="60" w:after="60"/>
              <w:rPr>
                <w:noProof/>
              </w:rPr>
            </w:pPr>
            <w:r>
              <w:rPr>
                <w:noProof/>
              </w:rPr>
              <w:t>Риболов по тази квота може да извършват само кораби с парагади.</w:t>
            </w:r>
          </w:p>
        </w:tc>
      </w:tr>
    </w:tbl>
    <w:p>
      <w:pPr>
        <w:rPr>
          <w:noProof/>
        </w:rPr>
      </w:pPr>
    </w:p>
    <w:sectPr>
      <w:pgSz w:w="11907" w:h="16840" w:code="9"/>
      <w:pgMar w:top="1134" w:right="1134" w:bottom="1134" w:left="1134" w:header="567" w:footer="56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altName w:val="Yu Gothic"/>
    <w:charset w:val="80"/>
    <w:family w:val="swiss"/>
    <w:pitch w:val="variable"/>
  </w:font>
  <w:font w:name="WenQuanYi Micro Hei">
    <w:charset w:val="80"/>
    <w:family w:val="auto"/>
    <w:pitch w:val="variable"/>
  </w:font>
  <w:font w:name="Lohit Hindi">
    <w:altName w:val="MS Gothic"/>
    <w:charset w:val="80"/>
    <w:family w:val="auto"/>
    <w:pitch w:val="variable"/>
  </w:font>
  <w:font w:name="EUAlbertina">
    <w:altName w:val="EU Albertina"/>
    <w:charset w:val="00"/>
    <w:family w:val="roman"/>
    <w:pitch w:val="default"/>
    <w:sig w:usb0="00000003" w:usb1="08070000" w:usb2="00000010" w:usb3="00000000" w:csb0="0002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rPr>
        <w:rFonts w:ascii="Arial" w:hAnsi="Arial" w:cs="Arial"/>
        <w:b/>
        <w:sz w:val="48"/>
      </w:rPr>
      <w:tab/>
    </w:r>
    <w:r>
      <w:tab/>
    </w:r>
    <w:r>
      <w:rPr>
        <w:rFonts w:ascii="Arial" w:hAnsi="Arial" w:cs="Arial"/>
        <w:b/>
        <w:sz w:val="48"/>
      </w:rPr>
      <w:t>BG</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1</w:t>
    </w:r>
    <w:r>
      <w:fldChar w:fldCharType="end"/>
    </w:r>
    <w:r>
      <w:tab/>
    </w:r>
    <w:r>
      <w:tab/>
    </w:r>
    <w:r>
      <w:rPr>
        <w:rFonts w:ascii="Arial" w:hAnsi="Arial" w:cs="Arial"/>
        <w:b/>
        <w:sz w:val="48"/>
      </w:rPr>
      <w:t>BG</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34921DBA"/>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0D1E7AC2"/>
    <w:lvl w:ilvl="0">
      <w:start w:val="1"/>
      <w:numFmt w:val="decimal"/>
      <w:pStyle w:val="ListNumber3"/>
      <w:lvlText w:val="%1."/>
      <w:lvlJc w:val="left"/>
      <w:pPr>
        <w:tabs>
          <w:tab w:val="num" w:pos="926"/>
        </w:tabs>
        <w:ind w:left="926" w:hanging="360"/>
      </w:pPr>
    </w:lvl>
  </w:abstractNum>
  <w:abstractNum w:abstractNumId="2">
    <w:nsid w:val="FFFFFF7F"/>
    <w:multiLevelType w:val="singleLevel"/>
    <w:tmpl w:val="B3D6BA24"/>
    <w:lvl w:ilvl="0">
      <w:start w:val="1"/>
      <w:numFmt w:val="decimal"/>
      <w:pStyle w:val="ListNumber2"/>
      <w:lvlText w:val="%1."/>
      <w:lvlJc w:val="left"/>
      <w:pPr>
        <w:tabs>
          <w:tab w:val="num" w:pos="643"/>
        </w:tabs>
        <w:ind w:left="643" w:hanging="360"/>
      </w:pPr>
    </w:lvl>
  </w:abstractNum>
  <w:abstractNum w:abstractNumId="3">
    <w:nsid w:val="FFFFFF88"/>
    <w:multiLevelType w:val="singleLevel"/>
    <w:tmpl w:val="7F1A6600"/>
    <w:lvl w:ilvl="0">
      <w:start w:val="1"/>
      <w:numFmt w:val="decimal"/>
      <w:pStyle w:val="ListNumber"/>
      <w:lvlText w:val="%1."/>
      <w:lvlJc w:val="left"/>
      <w:pPr>
        <w:tabs>
          <w:tab w:val="num" w:pos="360"/>
        </w:tabs>
        <w:ind w:left="360" w:hanging="360"/>
      </w:pPr>
    </w:lvl>
  </w:abstractNum>
  <w:abstractNum w:abstractNumId="4">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5">
    <w:nsid w:val="0E020591"/>
    <w:multiLevelType w:val="singleLevel"/>
    <w:tmpl w:val="65A27EB6"/>
    <w:name w:val="Dash Equal 0"/>
    <w:lvl w:ilvl="0">
      <w:start w:val="1"/>
      <w:numFmt w:val="bullet"/>
      <w:lvlRestart w:val="0"/>
      <w:pStyle w:val="DashEqual"/>
      <w:lvlText w:val="="/>
      <w:lvlJc w:val="left"/>
      <w:pPr>
        <w:tabs>
          <w:tab w:val="num" w:pos="567"/>
        </w:tabs>
        <w:ind w:left="567" w:hanging="567"/>
      </w:pPr>
    </w:lvl>
  </w:abstractNum>
  <w:abstractNum w:abstractNumId="6">
    <w:nsid w:val="0E200A09"/>
    <w:multiLevelType w:val="multilevel"/>
    <w:tmpl w:val="C8DEA596"/>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0F212747"/>
    <w:multiLevelType w:val="multilevel"/>
    <w:tmpl w:val="41247EF8"/>
    <w:lvl w:ilvl="0">
      <w:start w:val="4"/>
      <w:numFmt w:val="decimal"/>
      <w:lvlRestart w:val="0"/>
      <w:pStyle w:val="ListBullet"/>
      <w:lvlText w:val="%1."/>
      <w:lvlJc w:val="left"/>
      <w:pPr>
        <w:tabs>
          <w:tab w:val="num" w:pos="850"/>
        </w:tabs>
        <w:ind w:left="850" w:hanging="850"/>
      </w:pPr>
      <w:rPr>
        <w:rFonts w:cs="Times New Roman" w:hint="default"/>
      </w:rPr>
    </w:lvl>
    <w:lvl w:ilvl="1">
      <w:start w:val="1"/>
      <w:numFmt w:val="decimal"/>
      <w:pStyle w:val="ListBullet2"/>
      <w:lvlText w:val="%1.%2."/>
      <w:lvlJc w:val="left"/>
      <w:pPr>
        <w:tabs>
          <w:tab w:val="num" w:pos="850"/>
        </w:tabs>
        <w:ind w:left="850" w:hanging="850"/>
      </w:pPr>
      <w:rPr>
        <w:rFonts w:cs="Times New Roman" w:hint="default"/>
      </w:rPr>
    </w:lvl>
    <w:lvl w:ilvl="2">
      <w:start w:val="1"/>
      <w:numFmt w:val="decimal"/>
      <w:pStyle w:val="ListBullet3"/>
      <w:lvlText w:val="%1.%2.%3."/>
      <w:lvlJc w:val="left"/>
      <w:pPr>
        <w:tabs>
          <w:tab w:val="num" w:pos="850"/>
        </w:tabs>
        <w:ind w:left="850" w:hanging="850"/>
      </w:pPr>
      <w:rPr>
        <w:rFonts w:cs="Times New Roman" w:hint="default"/>
      </w:rPr>
    </w:lvl>
    <w:lvl w:ilvl="3">
      <w:start w:val="1"/>
      <w:numFmt w:val="decimal"/>
      <w:pStyle w:val="ListBullet4"/>
      <w:lvlText w:val="%1.%2.%3.%4."/>
      <w:lvlJc w:val="left"/>
      <w:pPr>
        <w:tabs>
          <w:tab w:val="num" w:pos="850"/>
        </w:tabs>
        <w:ind w:left="850" w:hanging="85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9">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1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nsid w:val="25085576"/>
    <w:multiLevelType w:val="singleLevel"/>
    <w:tmpl w:val="FFD2A502"/>
    <w:name w:val="Dash Equal 3"/>
    <w:lvl w:ilvl="0">
      <w:start w:val="1"/>
      <w:numFmt w:val="bullet"/>
      <w:lvlRestart w:val="0"/>
      <w:pStyle w:val="DashEqual3"/>
      <w:lvlText w:val="="/>
      <w:lvlJc w:val="left"/>
      <w:pPr>
        <w:tabs>
          <w:tab w:val="num" w:pos="2268"/>
        </w:tabs>
        <w:ind w:left="2268" w:hanging="567"/>
      </w:pPr>
    </w:lvl>
  </w:abstractNum>
  <w:abstractNum w:abstractNumId="12">
    <w:nsid w:val="253C316A"/>
    <w:multiLevelType w:val="multilevel"/>
    <w:tmpl w:val="A26EDDF0"/>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BD82C0C"/>
    <w:multiLevelType w:val="singleLevel"/>
    <w:tmpl w:val="7C183DDA"/>
    <w:name w:val="Dash Equal 2"/>
    <w:lvl w:ilvl="0">
      <w:start w:val="1"/>
      <w:numFmt w:val="bullet"/>
      <w:lvlRestart w:val="0"/>
      <w:pStyle w:val="DashEqual2"/>
      <w:lvlText w:val="="/>
      <w:lvlJc w:val="left"/>
      <w:pPr>
        <w:tabs>
          <w:tab w:val="num" w:pos="1701"/>
        </w:tabs>
        <w:ind w:left="1701" w:hanging="567"/>
      </w:pPr>
    </w:lvl>
  </w:abstractNum>
  <w:abstractNum w:abstractNumId="14">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5">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6">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17">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18">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3845653E"/>
    <w:multiLevelType w:val="singleLevel"/>
    <w:tmpl w:val="234EAC60"/>
    <w:name w:val="Dash Equal 1"/>
    <w:lvl w:ilvl="0">
      <w:start w:val="1"/>
      <w:numFmt w:val="bullet"/>
      <w:lvlRestart w:val="0"/>
      <w:pStyle w:val="DashEqual1"/>
      <w:lvlText w:val="="/>
      <w:lvlJc w:val="left"/>
      <w:pPr>
        <w:tabs>
          <w:tab w:val="num" w:pos="1134"/>
        </w:tabs>
        <w:ind w:left="1134" w:hanging="567"/>
      </w:pPr>
    </w:lvl>
  </w:abstractNum>
  <w:abstractNum w:abstractNumId="20">
    <w:nsid w:val="385710C1"/>
    <w:multiLevelType w:val="singleLevel"/>
    <w:tmpl w:val="FF3EB506"/>
    <w:name w:val="Dash 4"/>
    <w:lvl w:ilvl="0">
      <w:start w:val="1"/>
      <w:numFmt w:val="bullet"/>
      <w:lvlRestart w:val="0"/>
      <w:pStyle w:val="Dash4"/>
      <w:lvlText w:val="–"/>
      <w:lvlJc w:val="left"/>
      <w:pPr>
        <w:tabs>
          <w:tab w:val="num" w:pos="2835"/>
        </w:tabs>
        <w:ind w:left="2835" w:hanging="567"/>
      </w:pPr>
    </w:lvl>
  </w:abstractNum>
  <w:abstractNum w:abstractNumId="21">
    <w:nsid w:val="38F424D0"/>
    <w:multiLevelType w:val="multilevel"/>
    <w:tmpl w:val="48741C5E"/>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22">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23">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24">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25">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26">
    <w:nsid w:val="406F317F"/>
    <w:multiLevelType w:val="hybridMultilevel"/>
    <w:tmpl w:val="95AEE0C0"/>
    <w:lvl w:ilvl="0" w:tplc="E0AE324E">
      <w:start w:val="1"/>
      <w:numFmt w:val="decimal"/>
      <w:pStyle w:val="CMMLevel1"/>
      <w:lvlText w:val="%1."/>
      <w:lvlJc w:val="left"/>
      <w:pPr>
        <w:ind w:left="101" w:hanging="485"/>
      </w:pPr>
      <w:rPr>
        <w:rFonts w:ascii="Cambria" w:eastAsia="Cambria" w:hAnsi="Cambria" w:hint="default"/>
        <w:b w:val="0"/>
        <w:bCs/>
        <w:spacing w:val="-3"/>
        <w:w w:val="98"/>
        <w:sz w:val="22"/>
        <w:szCs w:val="22"/>
      </w:rPr>
    </w:lvl>
    <w:lvl w:ilvl="1" w:tplc="42CE450A">
      <w:start w:val="1"/>
      <w:numFmt w:val="lowerLetter"/>
      <w:lvlText w:val="(%2)"/>
      <w:lvlJc w:val="left"/>
      <w:pPr>
        <w:ind w:left="1291" w:hanging="327"/>
      </w:pPr>
      <w:rPr>
        <w:rFonts w:ascii="Cambria" w:eastAsia="Cambria" w:hAnsi="Cambria" w:hint="default"/>
        <w:w w:val="98"/>
        <w:sz w:val="22"/>
        <w:szCs w:val="22"/>
      </w:rPr>
    </w:lvl>
    <w:lvl w:ilvl="2" w:tplc="0C2C5C94">
      <w:start w:val="1"/>
      <w:numFmt w:val="lowerRoman"/>
      <w:lvlText w:val="%3."/>
      <w:lvlJc w:val="left"/>
      <w:pPr>
        <w:ind w:left="2000" w:hanging="359"/>
      </w:pPr>
      <w:rPr>
        <w:rFonts w:ascii="Cambria" w:eastAsia="Cambria" w:hAnsi="Cambria" w:hint="default"/>
        <w:spacing w:val="-3"/>
        <w:w w:val="98"/>
        <w:sz w:val="22"/>
        <w:szCs w:val="22"/>
      </w:rPr>
    </w:lvl>
    <w:lvl w:ilvl="3" w:tplc="22C416D6">
      <w:start w:val="1"/>
      <w:numFmt w:val="bullet"/>
      <w:lvlText w:val="•"/>
      <w:lvlJc w:val="left"/>
      <w:pPr>
        <w:ind w:left="1291" w:hanging="359"/>
      </w:pPr>
      <w:rPr>
        <w:rFonts w:hint="default"/>
      </w:rPr>
    </w:lvl>
    <w:lvl w:ilvl="4" w:tplc="5436EEBC">
      <w:start w:val="1"/>
      <w:numFmt w:val="bullet"/>
      <w:lvlText w:val="•"/>
      <w:lvlJc w:val="left"/>
      <w:pPr>
        <w:ind w:left="1291" w:hanging="359"/>
      </w:pPr>
      <w:rPr>
        <w:rFonts w:hint="default"/>
      </w:rPr>
    </w:lvl>
    <w:lvl w:ilvl="5" w:tplc="5380CE7E">
      <w:start w:val="1"/>
      <w:numFmt w:val="bullet"/>
      <w:lvlText w:val="•"/>
      <w:lvlJc w:val="left"/>
      <w:pPr>
        <w:ind w:left="1291" w:hanging="359"/>
      </w:pPr>
      <w:rPr>
        <w:rFonts w:hint="default"/>
      </w:rPr>
    </w:lvl>
    <w:lvl w:ilvl="6" w:tplc="4246E67A">
      <w:start w:val="1"/>
      <w:numFmt w:val="bullet"/>
      <w:lvlText w:val="•"/>
      <w:lvlJc w:val="left"/>
      <w:pPr>
        <w:ind w:left="1311" w:hanging="359"/>
      </w:pPr>
      <w:rPr>
        <w:rFonts w:hint="default"/>
      </w:rPr>
    </w:lvl>
    <w:lvl w:ilvl="7" w:tplc="5B647F4C">
      <w:start w:val="1"/>
      <w:numFmt w:val="bullet"/>
      <w:lvlText w:val="•"/>
      <w:lvlJc w:val="left"/>
      <w:pPr>
        <w:ind w:left="1311" w:hanging="359"/>
      </w:pPr>
      <w:rPr>
        <w:rFonts w:hint="default"/>
      </w:rPr>
    </w:lvl>
    <w:lvl w:ilvl="8" w:tplc="1B7CD95A">
      <w:start w:val="1"/>
      <w:numFmt w:val="bullet"/>
      <w:lvlText w:val="•"/>
      <w:lvlJc w:val="left"/>
      <w:pPr>
        <w:ind w:left="2000" w:hanging="359"/>
      </w:pPr>
      <w:rPr>
        <w:rFonts w:hint="default"/>
      </w:rPr>
    </w:lvl>
  </w:abstractNum>
  <w:abstractNum w:abstractNumId="2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8">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9">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30">
    <w:nsid w:val="43F67AF0"/>
    <w:multiLevelType w:val="singleLevel"/>
    <w:tmpl w:val="7DB04F0A"/>
    <w:name w:val="Dash 2"/>
    <w:lvl w:ilvl="0">
      <w:start w:val="1"/>
      <w:numFmt w:val="bullet"/>
      <w:lvlRestart w:val="0"/>
      <w:pStyle w:val="Dash2"/>
      <w:lvlText w:val="–"/>
      <w:lvlJc w:val="left"/>
      <w:pPr>
        <w:tabs>
          <w:tab w:val="num" w:pos="1701"/>
        </w:tabs>
        <w:ind w:left="1701" w:hanging="567"/>
      </w:pPr>
    </w:lvl>
  </w:abstractNum>
  <w:abstractNum w:abstractNumId="31">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32">
    <w:nsid w:val="47AB25E5"/>
    <w:multiLevelType w:val="singleLevel"/>
    <w:tmpl w:val="75164398"/>
    <w:name w:val="Dash 1"/>
    <w:lvl w:ilvl="0">
      <w:start w:val="1"/>
      <w:numFmt w:val="bullet"/>
      <w:lvlRestart w:val="0"/>
      <w:pStyle w:val="Dash1"/>
      <w:lvlText w:val="–"/>
      <w:lvlJc w:val="left"/>
      <w:pPr>
        <w:tabs>
          <w:tab w:val="num" w:pos="1134"/>
        </w:tabs>
        <w:ind w:left="1134" w:hanging="567"/>
      </w:pPr>
    </w:lvl>
  </w:abstractNum>
  <w:abstractNum w:abstractNumId="33">
    <w:nsid w:val="47C10D90"/>
    <w:multiLevelType w:val="singleLevel"/>
    <w:tmpl w:val="07C45670"/>
    <w:name w:val="Dash 3"/>
    <w:lvl w:ilvl="0">
      <w:start w:val="1"/>
      <w:numFmt w:val="bullet"/>
      <w:lvlRestart w:val="0"/>
      <w:pStyle w:val="Dash3"/>
      <w:lvlText w:val="–"/>
      <w:lvlJc w:val="left"/>
      <w:pPr>
        <w:tabs>
          <w:tab w:val="num" w:pos="2268"/>
        </w:tabs>
        <w:ind w:left="2268" w:hanging="567"/>
      </w:pPr>
    </w:lvl>
  </w:abstractNum>
  <w:abstractNum w:abstractNumId="34">
    <w:nsid w:val="4B013CF3"/>
    <w:multiLevelType w:val="singleLevel"/>
    <w:tmpl w:val="5D7CB33C"/>
    <w:lvl w:ilvl="0">
      <w:start w:val="1"/>
      <w:numFmt w:val="bullet"/>
      <w:pStyle w:val="Tiret00"/>
      <w:lvlText w:val="–"/>
      <w:lvlJc w:val="left"/>
      <w:pPr>
        <w:tabs>
          <w:tab w:val="num" w:pos="1417"/>
        </w:tabs>
        <w:ind w:left="1417" w:hanging="567"/>
      </w:pPr>
    </w:lvl>
  </w:abstractNum>
  <w:abstractNum w:abstractNumId="35">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36">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37">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8">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9">
    <w:nsid w:val="6278684C"/>
    <w:multiLevelType w:val="multilevel"/>
    <w:tmpl w:val="33AE034E"/>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42">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43">
    <w:nsid w:val="68AA1742"/>
    <w:multiLevelType w:val="singleLevel"/>
    <w:tmpl w:val="4F329520"/>
    <w:name w:val="Dash 0"/>
    <w:lvl w:ilvl="0">
      <w:start w:val="1"/>
      <w:numFmt w:val="bullet"/>
      <w:lvlRestart w:val="0"/>
      <w:pStyle w:val="Dash"/>
      <w:lvlText w:val="–"/>
      <w:lvlJc w:val="left"/>
      <w:pPr>
        <w:tabs>
          <w:tab w:val="num" w:pos="567"/>
        </w:tabs>
        <w:ind w:left="567" w:hanging="567"/>
      </w:pPr>
    </w:lvl>
  </w:abstractNum>
  <w:abstractNum w:abstractNumId="44">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45">
    <w:nsid w:val="7380518A"/>
    <w:multiLevelType w:val="singleLevel"/>
    <w:tmpl w:val="43DEF6E2"/>
    <w:name w:val="Dash Equal 4"/>
    <w:lvl w:ilvl="0">
      <w:start w:val="1"/>
      <w:numFmt w:val="bullet"/>
      <w:lvlRestart w:val="0"/>
      <w:pStyle w:val="DashEqual4"/>
      <w:lvlText w:val="="/>
      <w:lvlJc w:val="left"/>
      <w:pPr>
        <w:tabs>
          <w:tab w:val="num" w:pos="2835"/>
        </w:tabs>
        <w:ind w:left="2835" w:hanging="567"/>
      </w:pPr>
    </w:lvl>
  </w:abstractNum>
  <w:abstractNum w:abstractNumId="46">
    <w:nsid w:val="73EA208D"/>
    <w:multiLevelType w:val="singleLevel"/>
    <w:tmpl w:val="0A7218F6"/>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47">
    <w:nsid w:val="77280071"/>
    <w:multiLevelType w:val="multilevel"/>
    <w:tmpl w:val="39C25228"/>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8">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abstractNum w:abstractNumId="49">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43"/>
  </w:num>
  <w:num w:numId="2">
    <w:abstractNumId w:val="32"/>
  </w:num>
  <w:num w:numId="3">
    <w:abstractNumId w:val="30"/>
  </w:num>
  <w:num w:numId="4">
    <w:abstractNumId w:val="33"/>
  </w:num>
  <w:num w:numId="5">
    <w:abstractNumId w:val="20"/>
  </w:num>
  <w:num w:numId="6">
    <w:abstractNumId w:val="5"/>
  </w:num>
  <w:num w:numId="7">
    <w:abstractNumId w:val="19"/>
  </w:num>
  <w:num w:numId="8">
    <w:abstractNumId w:val="13"/>
  </w:num>
  <w:num w:numId="9">
    <w:abstractNumId w:val="11"/>
  </w:num>
  <w:num w:numId="10">
    <w:abstractNumId w:val="45"/>
  </w:num>
  <w:num w:numId="11">
    <w:abstractNumId w:val="46"/>
  </w:num>
  <w:num w:numId="12">
    <w:abstractNumId w:val="21"/>
  </w:num>
  <w:num w:numId="13">
    <w:abstractNumId w:val="39"/>
  </w:num>
  <w:num w:numId="14">
    <w:abstractNumId w:val="6"/>
  </w:num>
  <w:num w:numId="15">
    <w:abstractNumId w:val="47"/>
  </w:num>
  <w:num w:numId="16">
    <w:abstractNumId w:val="12"/>
  </w:num>
  <w:num w:numId="17">
    <w:abstractNumId w:val="3"/>
  </w:num>
  <w:num w:numId="18">
    <w:abstractNumId w:val="2"/>
  </w:num>
  <w:num w:numId="19">
    <w:abstractNumId w:val="1"/>
  </w:num>
  <w:num w:numId="20">
    <w:abstractNumId w:val="0"/>
  </w:num>
  <w:num w:numId="21">
    <w:abstractNumId w:val="7"/>
  </w:num>
  <w:num w:numId="22">
    <w:abstractNumId w:val="17"/>
  </w:num>
  <w:num w:numId="23">
    <w:abstractNumId w:val="24"/>
  </w:num>
  <w:num w:numId="24">
    <w:abstractNumId w:val="48"/>
  </w:num>
  <w:num w:numId="25">
    <w:abstractNumId w:val="9"/>
  </w:num>
  <w:num w:numId="26">
    <w:abstractNumId w:val="29"/>
  </w:num>
  <w:num w:numId="27">
    <w:abstractNumId w:val="22"/>
  </w:num>
  <w:num w:numId="28">
    <w:abstractNumId w:val="25"/>
  </w:num>
  <w:num w:numId="29">
    <w:abstractNumId w:val="44"/>
  </w:num>
  <w:num w:numId="30">
    <w:abstractNumId w:val="16"/>
  </w:num>
  <w:num w:numId="31">
    <w:abstractNumId w:val="4"/>
  </w:num>
  <w:num w:numId="32">
    <w:abstractNumId w:val="23"/>
  </w:num>
  <w:num w:numId="33">
    <w:abstractNumId w:val="41"/>
  </w:num>
  <w:num w:numId="34">
    <w:abstractNumId w:val="18"/>
  </w:num>
  <w:num w:numId="35">
    <w:abstractNumId w:val="26"/>
  </w:num>
  <w:num w:numId="36">
    <w:abstractNumId w:val="34"/>
  </w:num>
  <w:num w:numId="37">
    <w:abstractNumId w:val="38"/>
  </w:num>
  <w:num w:numId="38">
    <w:abstractNumId w:val="27"/>
  </w:num>
  <w:num w:numId="39">
    <w:abstractNumId w:val="42"/>
  </w:num>
  <w:num w:numId="40">
    <w:abstractNumId w:val="15"/>
  </w:num>
  <w:num w:numId="41">
    <w:abstractNumId w:val="28"/>
  </w:num>
  <w:num w:numId="42">
    <w:abstractNumId w:val="10"/>
  </w:num>
  <w:num w:numId="43">
    <w:abstractNumId w:val="40"/>
  </w:num>
  <w:num w:numId="44">
    <w:abstractNumId w:val="8"/>
  </w:num>
  <w:num w:numId="45">
    <w:abstractNumId w:val="31"/>
  </w:num>
  <w:num w:numId="46">
    <w:abstractNumId w:val="36"/>
  </w:num>
  <w:num w:numId="47">
    <w:abstractNumId w:val="37"/>
  </w:num>
  <w:num w:numId="48">
    <w:abstractNumId w:val="14"/>
  </w:num>
  <w:num w:numId="49">
    <w:abstractNumId w:val="35"/>
  </w:num>
  <w:num w:numId="50">
    <w:abstractNumId w:val="4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hideGrammaticalErrors/>
  <w:attachedTemplate r:id="rId1"/>
  <w:revisionView w:markup="0"/>
  <w:defaultTabStop w:val="720"/>
  <w:hyphenationZone w:val="425"/>
  <w:characterSpacingControl w:val="doNotCompress"/>
  <w:hdrShapeDefaults>
    <o:shapedefaults v:ext="edit" spidmax="5079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20-10-27 08:53:44"/>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11"/>
    <w:docVar w:name="DQCResult_StructureCheck" w:val="0;0"/>
    <w:docVar w:name="DQCResult_SuperfluousWhitespace" w:val="0;13"/>
    <w:docVar w:name="DQCResult_UnknownFonts" w:val="0;0"/>
    <w:docVar w:name="DQCResult_UnknownStyles" w:val="0;0"/>
    <w:docVar w:name="DQCStatus" w:val="Green"/>
    <w:docVar w:name="DQCVersion" w:val="3"/>
    <w:docVar w:name="DQCWithWarnings" w:val="0"/>
    <w:docVar w:name="LW_ACCOMPAGNANT" w:val="\u1082?\u1098?\u1084? \u1055?\u1088?\u1077?\u1076?\u1083?\u1086?\u1078?\u1077?\u1085?\u1080?\u1077? \u1079?\u1072?"/>
    <w:docVar w:name="LW_ACCOMPAGNANT.CP" w:val="\u1082?\u1098?\u1084? \u1055?\u1088?\u1077?\u1076?\u1083?\u1086?\u1078?\u1077?\u1085?\u1080?\u1077? \u1079?\u1072?"/>
    <w:docVar w:name="LW_ANNEX_NBR_FIRST" w:val="1"/>
    <w:docVar w:name="LW_ANNEX_NBR_LAST" w:val="1"/>
    <w:docVar w:name="LW_ANNEX_UNIQUE" w:val="0"/>
    <w:docVar w:name="LW_CORRIGENDUM" w:val="&lt;UNUSED&gt;"/>
    <w:docVar w:name="LW_COVERPAGE_EXISTS" w:val="True"/>
    <w:docVar w:name="LW_COVERPAGE_GUID" w:val="A8EC90F6-29E9-462C-86D4-6F202F4B80A5"/>
    <w:docVar w:name="LW_COVERPAGE_TYPE" w:val="1"/>
    <w:docVar w:name="LW_CROSSREFERENCE" w:val="&lt;UNUSED&gt;"/>
    <w:docVar w:name="LW_DocType" w:val="ANNEX"/>
    <w:docVar w:name="LW_EMISSION" w:val="27.10.2020"/>
    <w:docVar w:name="LW_EMISSION_ISODATE" w:val="2020-10-27"/>
    <w:docVar w:name="LW_EMISSION_LOCATION" w:val="BRX"/>
    <w:docVar w:name="LW_EMISSION_PREFIX" w:val="Брюксел, "/>
    <w:docVar w:name="LW_EMISSION_SUFFIX" w:val=" \u1075?."/>
    <w:docVar w:name="LW_ID_DOCSTRUCTURE" w:val="COM/ANNEX"/>
    <w:docVar w:name="LW_ID_DOCTYPE" w:val="SG-017"/>
    <w:docVar w:name="LW_LANGUE" w:val="BG"/>
    <w:docVar w:name="LW_LEVEL_OF_SENSITIVITY" w:val="Standard treatment"/>
    <w:docVar w:name="LW_NOM.INST" w:val="\u1045?\u1042?\u1056?\u1054?\u1055?\u1045?\u1049?\u1057?\u1050?\u1040? \u1050?\u1054?\u1052?\u1048?\u1057?\u1048?\u1071?"/>
    <w:docVar w:name="LW_NOM.INST_JOINTDOC" w:val="&lt;EMPTY&gt;"/>
    <w:docVar w:name="LW_OBJETACTEPRINCIPAL" w:val="\u1079?\u1072? \u1086?\u1087?\u1088?\u1077?\u1076?\u1077?\u1083?\u1103?\u1085?\u1077? \u1079?\u1072? 2021 \u1075?. \u1085?\u1072? \u1074?\u1098?\u1079?\u1084?\u1086?\u1078?\u1085?\u1086?\u1089?\u1090?\u1080?\u1090?\u1077? \u1079?\u1072? \u1088?\u1080?\u1073?\u1086?\u1083?\u1086?\u1074? \u1085?\u1072? \u1086?\u1087?\u1088?\u1077?\u1076?\u1077?\u1083?\u1077?\u1085?\u1080? \u1088?\u1080?\u1073?\u1085?\u1080? \u1079?\u1072?\u1087?\u1072?\u1089?\u1080? \u1080? \u1075?\u1088?\u1091?\u1087?\u1080? \u1086?\u1090? \u1088?\u1080?\u1073?\u1085?\u1080? \u1079?\u1072?\u1087?\u1072?\u1089?\u1080?, \u1087?\u1088?\u1080?\u1083?\u1086?\u1078?\u1080?\u1084?\u1080? \u1074?\u1098?\u1074? \u1074?\u1086?\u1076?\u1080?\u1090?\u1077? \u1085?\u1072? \u1057?\u1098?\u1102?\u1079?\u1072?, \u1082?\u1072?\u1082?\u1090?\u1086? \u1080? \u1079?\u1072? \u1088?\u1080?\u1073?\u1086?\u1083?\u1086?\u1074?\u1085?\u1080?\u1090?\u1077? \u1082?\u1086?\u1088?\u1072?\u1073?\u1080? \u1085?\u1072? \u1057?\u1098?\u1102?\u1079?\u1072? \u1074? \u1085?\u1103?\u1082?\u1086?\u1080? \u1074?\u1086?\u1076?\u1080? \u1080?\u1079?\u1074?\u1098?\u1085? \u1057?\u1098?\u1102?\u1079?\u1072?"/>
    <w:docVar w:name="LW_OBJETACTEPRINCIPAL.CP" w:val="\u1079?\u1072? \u1086?\u1087?\u1088?\u1077?\u1076?\u1077?\u1083?\u1103?\u1085?\u1077? \u1079?\u1072? 2021 \u1075?. \u1085?\u1072? \u1074?\u1098?\u1079?\u1084?\u1086?\u1078?\u1085?\u1086?\u1089?\u1090?\u1080?\u1090?\u1077? \u1079?\u1072? \u1088?\u1080?\u1073?\u1086?\u1083?\u1086?\u1074? \u1085?\u1072? \u1086?\u1087?\u1088?\u1077?\u1076?\u1077?\u1083?\u1077?\u1085?\u1080? \u1088?\u1080?\u1073?\u1085?\u1080? \u1079?\u1072?\u1087?\u1072?\u1089?\u1080? \u1080? \u1075?\u1088?\u1091?\u1087?\u1080? \u1086?\u1090? \u1088?\u1080?\u1073?\u1085?\u1080? \u1079?\u1072?\u1087?\u1072?\u1089?\u1080?, \u1087?\u1088?\u1080?\u1083?\u1086?\u1078?\u1080?\u1084?\u1080? \u1074?\u1098?\u1074? \u1074?\u1086?\u1076?\u1080?\u1090?\u1077? \u1085?\u1072? \u1057?\u1098?\u1102?\u1079?\u1072?, \u1082?\u1072?\u1082?\u1090?\u1086? \u1080? \u1079?\u1072? \u1088?\u1080?\u1073?\u1086?\u1083?\u1086?\u1074?\u1085?\u1080?\u1090?\u1077? \u1082?\u1086?\u1088?\u1072?\u1073?\u1080? \u1085?\u1072? \u1057?\u1098?\u1102?\u1079?\u1072? \u1074? \u1085?\u1103?\u1082?\u1086?\u1080? \u1074?\u1086?\u1076?\u1080? \u1080?\u1079?\u1074?\u1098?\u1085? \u1057?\u1098?\u1102?\u1079?\u1072?"/>
    <w:docVar w:name="LW_PART_NBR" w:val="1"/>
    <w:docVar w:name="LW_PART_NBR_TOTAL" w:val="1"/>
    <w:docVar w:name="LW_REF.INST.NEW" w:val="COM"/>
    <w:docVar w:name="LW_REF.INST.NEW_ADOPTED" w:val="final"/>
    <w:docVar w:name="LW_REF.INST.NEW_TEXT" w:val="(2020) 668"/>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 w:val="\u1055?\u1056?\u1048?\u1051?\u1054?\u1046?\u1045?\u1053?\u1048?\u1045?"/>
    <w:docVar w:name="LW_TYPE.DOC.CP" w:val="\u1055?\u1056?\u1048?\u1051?\u1054?\u1046?\u1045?\u1053?\u1048?\u1045?"/>
    <w:docVar w:name="LW_TYPEACTEPRINCIPAL" w:val="\u1056?\u1045?\u1043?\u1051?\u1040?\u1052?\u1045?\u1053?\u1058? \u1053?\u1040? \u1057?\u1066?\u1042?\u1045?\u1058?\u1040?"/>
    <w:docVar w:name="LW_TYPEACTEPRINCIPAL.CP" w:val="\u1056?\u1045?\u1043?\u1051?\u1040?\u1052?\u1045?\u1053?\u1058? \u1053?\u1040? \u1057?\u1066?\u1042?\u1045?\u1058?\u1040?"/>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079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caption"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pPr>
      <w:spacing w:before="120" w:after="120" w:line="240" w:lineRule="auto"/>
      <w:jc w:val="both"/>
    </w:pPr>
    <w:rPr>
      <w:rFonts w:ascii="Times New Roman" w:hAnsi="Times New Roman" w:cs="Times New Roman"/>
      <w:sz w:val="24"/>
      <w:lang w:val="bg-BG"/>
    </w:rPr>
  </w:style>
  <w:style w:type="paragraph" w:styleId="Heading1">
    <w:name w:val="heading 1"/>
    <w:basedOn w:val="Normal"/>
    <w:next w:val="Text1"/>
    <w:link w:val="Heading1Char"/>
    <w:uiPriority w:val="9"/>
    <w:qFormat/>
    <w:pPr>
      <w:keepNext/>
      <w:numPr>
        <w:numId w:val="43"/>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3"/>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3"/>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3"/>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unhideWhenUsed/>
    <w:rPr>
      <w:color w:val="800080"/>
      <w:u w:val="single"/>
    </w:rPr>
  </w:style>
  <w:style w:type="paragraph" w:customStyle="1" w:styleId="xl118">
    <w:name w:val="xl118"/>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19">
    <w:name w:val="xl119"/>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20">
    <w:name w:val="xl12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21">
    <w:name w:val="xl12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22">
    <w:name w:val="xl122"/>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23">
    <w:name w:val="xl123"/>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24">
    <w:name w:val="xl124"/>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125">
    <w:name w:val="xl125"/>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6">
    <w:name w:val="xl126"/>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127">
    <w:name w:val="xl127"/>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8">
    <w:name w:val="xl128"/>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129">
    <w:name w:val="xl129"/>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130">
    <w:name w:val="xl13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131">
    <w:name w:val="xl131"/>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2">
    <w:name w:val="xl13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33">
    <w:name w:val="xl133"/>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34">
    <w:name w:val="xl134"/>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35">
    <w:name w:val="xl135"/>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36">
    <w:name w:val="xl136"/>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137">
    <w:name w:val="xl137"/>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8">
    <w:name w:val="xl138"/>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39">
    <w:name w:val="xl139"/>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40">
    <w:name w:val="xl14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41">
    <w:name w:val="xl14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42">
    <w:name w:val="xl142"/>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3">
    <w:name w:val="xl143"/>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4">
    <w:name w:val="xl144"/>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45">
    <w:name w:val="xl145"/>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146">
    <w:name w:val="xl14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47">
    <w:name w:val="xl147"/>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48">
    <w:name w:val="xl148"/>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49">
    <w:name w:val="xl149"/>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50">
    <w:name w:val="xl150"/>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51">
    <w:name w:val="xl151"/>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52">
    <w:name w:val="xl152"/>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53">
    <w:name w:val="xl153"/>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4">
    <w:name w:val="xl154"/>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5">
    <w:name w:val="xl155"/>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156">
    <w:name w:val="xl15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57">
    <w:name w:val="xl15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4"/>
      <w:szCs w:val="14"/>
      <w:lang w:eastAsia="en-GB"/>
    </w:rPr>
  </w:style>
  <w:style w:type="paragraph" w:customStyle="1" w:styleId="xl158">
    <w:name w:val="xl1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59">
    <w:name w:val="xl15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60">
    <w:name w:val="xl16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1">
    <w:name w:val="xl16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162">
    <w:name w:val="xl16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3">
    <w:name w:val="xl16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64">
    <w:name w:val="xl16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165">
    <w:name w:val="xl16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166">
    <w:name w:val="xl16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67">
    <w:name w:val="xl16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68">
    <w:name w:val="xl16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69">
    <w:name w:val="xl16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70">
    <w:name w:val="xl17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1">
    <w:name w:val="xl17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72">
    <w:name w:val="xl17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73">
    <w:name w:val="xl17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74">
    <w:name w:val="xl17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75">
    <w:name w:val="xl17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76">
    <w:name w:val="xl17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7">
    <w:name w:val="xl17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78">
    <w:name w:val="xl17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79">
    <w:name w:val="xl17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0">
    <w:name w:val="xl18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1">
    <w:name w:val="xl18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82">
    <w:name w:val="xl18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3">
    <w:name w:val="xl18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84">
    <w:name w:val="xl18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85">
    <w:name w:val="xl18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186">
    <w:name w:val="xl18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87">
    <w:name w:val="xl18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88">
    <w:name w:val="xl18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9">
    <w:name w:val="xl18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0">
    <w:name w:val="xl19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1">
    <w:name w:val="xl19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92">
    <w:name w:val="xl19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3">
    <w:name w:val="xl19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94">
    <w:name w:val="xl19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95">
    <w:name w:val="xl1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6">
    <w:name w:val="xl19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7">
    <w:name w:val="xl19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98">
    <w:name w:val="xl19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199">
    <w:name w:val="xl19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00">
    <w:name w:val="xl20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1">
    <w:name w:val="xl20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2">
    <w:name w:val="xl20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3">
    <w:name w:val="xl20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4">
    <w:name w:val="xl20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5">
    <w:name w:val="xl205"/>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6">
    <w:name w:val="xl206"/>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07">
    <w:name w:val="xl207"/>
    <w:basedOn w:val="Normal"/>
    <w:uiPriority w:val="99"/>
    <w:pPr>
      <w:pBdr>
        <w:top w:val="single" w:sz="4" w:space="0" w:color="auto"/>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08">
    <w:name w:val="xl208"/>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9">
    <w:name w:val="xl209"/>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10">
    <w:name w:val="xl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1">
    <w:name w:val="xl211"/>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12">
    <w:name w:val="xl212"/>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13">
    <w:name w:val="xl213"/>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14">
    <w:name w:val="xl214"/>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15">
    <w:name w:val="xl21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6">
    <w:name w:val="xl21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17">
    <w:name w:val="xl217"/>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8">
    <w:name w:val="xl218"/>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19">
    <w:name w:val="xl21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0">
    <w:name w:val="xl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21">
    <w:name w:val="xl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2">
    <w:name w:val="xl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3">
    <w:name w:val="xl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24">
    <w:name w:val="xl224"/>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25">
    <w:name w:val="xl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26">
    <w:name w:val="xl22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27">
    <w:name w:val="xl22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8">
    <w:name w:val="xl22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9">
    <w:name w:val="xl229"/>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0">
    <w:name w:val="xl2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31">
    <w:name w:val="xl231"/>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32">
    <w:name w:val="xl232"/>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33">
    <w:name w:val="xl233"/>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4">
    <w:name w:val="xl234"/>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5">
    <w:name w:val="xl23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6">
    <w:name w:val="xl236"/>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37">
    <w:name w:val="xl237"/>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8">
    <w:name w:val="xl238"/>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9">
    <w:name w:val="xl239"/>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0">
    <w:name w:val="xl240"/>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41">
    <w:name w:val="xl241"/>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42">
    <w:name w:val="xl242"/>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3">
    <w:name w:val="xl243"/>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4">
    <w:name w:val="xl244"/>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5">
    <w:name w:val="xl24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6">
    <w:name w:val="xl246"/>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7">
    <w:name w:val="xl247"/>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8">
    <w:name w:val="xl248"/>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9">
    <w:name w:val="xl2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50">
    <w:name w:val="xl2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1">
    <w:name w:val="xl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2">
    <w:name w:val="xl252"/>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3">
    <w:name w:val="xl253"/>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54">
    <w:name w:val="xl254"/>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55">
    <w:name w:val="xl255"/>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56">
    <w:name w:val="xl25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57">
    <w:name w:val="xl25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8">
    <w:name w:val="xl2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59">
    <w:name w:val="xl259"/>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0">
    <w:name w:val="xl260"/>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1">
    <w:name w:val="xl261"/>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
    <w:name w:val="xl26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
    <w:name w:val="xl263"/>
    <w:basedOn w:val="Normal"/>
    <w:uiPriority w:val="99"/>
    <w:pPr>
      <w:spacing w:before="100" w:beforeAutospacing="1" w:after="100" w:afterAutospacing="1"/>
      <w:jc w:val="left"/>
    </w:pPr>
    <w:rPr>
      <w:rFonts w:eastAsia="Times New Roman"/>
      <w:sz w:val="18"/>
      <w:szCs w:val="18"/>
      <w:lang w:eastAsia="en-GB"/>
    </w:rPr>
  </w:style>
  <w:style w:type="paragraph" w:customStyle="1" w:styleId="xl264">
    <w:name w:val="xl264"/>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5">
    <w:name w:val="xl265"/>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6">
    <w:name w:val="xl266"/>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7">
    <w:name w:val="xl267"/>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8">
    <w:name w:val="xl268"/>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9">
    <w:name w:val="xl269"/>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0">
    <w:name w:val="xl270"/>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1">
    <w:name w:val="xl271"/>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2">
    <w:name w:val="xl2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73">
    <w:name w:val="xl273"/>
    <w:basedOn w:val="Normal"/>
    <w:uiPriority w:val="99"/>
    <w:pPr>
      <w:spacing w:before="100" w:beforeAutospacing="1" w:after="100" w:afterAutospacing="1"/>
      <w:jc w:val="right"/>
    </w:pPr>
    <w:rPr>
      <w:rFonts w:eastAsia="Times New Roman"/>
      <w:sz w:val="18"/>
      <w:szCs w:val="18"/>
      <w:lang w:eastAsia="en-GB"/>
    </w:rPr>
  </w:style>
  <w:style w:type="paragraph" w:customStyle="1" w:styleId="xl274">
    <w:name w:val="xl27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75">
    <w:name w:val="xl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76">
    <w:name w:val="xl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7">
    <w:name w:val="xl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78">
    <w:name w:val="xl27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79">
    <w:name w:val="xl279"/>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0">
    <w:name w:val="xl280"/>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81">
    <w:name w:val="xl281"/>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2">
    <w:name w:val="xl282"/>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3">
    <w:name w:val="xl283"/>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4">
    <w:name w:val="xl284"/>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5">
    <w:name w:val="xl285"/>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86">
    <w:name w:val="xl286"/>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7">
    <w:name w:val="xl287"/>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8">
    <w:name w:val="xl288"/>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89">
    <w:name w:val="xl289"/>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90">
    <w:name w:val="xl290"/>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91">
    <w:name w:val="xl291"/>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92">
    <w:name w:val="xl292"/>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93">
    <w:name w:val="xl29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94">
    <w:name w:val="xl294"/>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5">
    <w:name w:val="xl2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96">
    <w:name w:val="xl296"/>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7">
    <w:name w:val="xl297"/>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98">
    <w:name w:val="xl29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99">
    <w:name w:val="xl299"/>
    <w:basedOn w:val="Normal"/>
    <w:uiPriority w:val="99"/>
    <w:pPr>
      <w:spacing w:before="100" w:beforeAutospacing="1" w:after="100" w:afterAutospacing="1"/>
      <w:jc w:val="left"/>
      <w:textAlignment w:val="top"/>
    </w:pPr>
    <w:rPr>
      <w:rFonts w:eastAsia="Times New Roman"/>
      <w:color w:val="000000"/>
      <w:sz w:val="16"/>
      <w:szCs w:val="16"/>
      <w:lang w:eastAsia="en-GB"/>
    </w:rPr>
  </w:style>
  <w:style w:type="paragraph" w:styleId="BalloonText">
    <w:name w:val="Balloon Text"/>
    <w:basedOn w:val="Normal"/>
    <w:link w:val="BalloonTextChar"/>
    <w:uiPriority w:val="99"/>
    <w:pPr>
      <w:spacing w:before="0" w:after="0"/>
      <w:jc w:val="left"/>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bg-BG" w:eastAsia="en-GB"/>
    </w:rPr>
  </w:style>
  <w:style w:type="paragraph" w:customStyle="1" w:styleId="FooterCouncil">
    <w:name w:val="Footer Council"/>
    <w:basedOn w:val="Normal"/>
    <w:link w:val="FooterCouncilChar"/>
    <w:uiPriority w:val="99"/>
    <w:pPr>
      <w:spacing w:before="0" w:after="0"/>
      <w:jc w:val="left"/>
    </w:pPr>
    <w:rPr>
      <w:rFonts w:eastAsia="Times New Roman"/>
      <w:sz w:val="2"/>
      <w:szCs w:val="24"/>
    </w:rPr>
  </w:style>
  <w:style w:type="paragraph" w:customStyle="1" w:styleId="FooterText">
    <w:name w:val="Footer Text"/>
    <w:basedOn w:val="Normal"/>
    <w:uiPriority w:val="99"/>
    <w:pPr>
      <w:spacing w:before="0" w:after="0"/>
      <w:jc w:val="left"/>
    </w:pPr>
    <w:rPr>
      <w:rFonts w:eastAsia="Times New Roman"/>
      <w:szCs w:val="24"/>
    </w:rPr>
  </w:style>
  <w:style w:type="character" w:customStyle="1" w:styleId="FooterCouncilChar">
    <w:name w:val="Footer Council Char"/>
    <w:link w:val="FooterCouncil"/>
    <w:rPr>
      <w:rFonts w:ascii="Times New Roman" w:eastAsia="Times New Roman" w:hAnsi="Times New Roman" w:cs="Times New Roman"/>
      <w:sz w:val="2"/>
      <w:szCs w:val="24"/>
      <w:lang w:val="bg-BG"/>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uiPriority w:val="99"/>
    <w:pPr>
      <w:spacing w:before="0" w:after="0"/>
      <w:jc w:val="left"/>
    </w:pPr>
    <w:rPr>
      <w:rFonts w:eastAsia="Times New Roman"/>
      <w:sz w:val="20"/>
      <w:szCs w:val="20"/>
      <w:lang w:eastAsia="en-GB"/>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lang w:val="bg-BG" w:eastAsia="en-GB"/>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rFonts w:ascii="Times New Roman" w:eastAsia="Times New Roman" w:hAnsi="Times New Roman" w:cs="Times New Roman"/>
      <w:b/>
      <w:bCs/>
      <w:sz w:val="20"/>
      <w:szCs w:val="20"/>
      <w:lang w:val="bg-BG" w:eastAsia="en-GB"/>
    </w:rPr>
  </w:style>
  <w:style w:type="paragraph" w:customStyle="1" w:styleId="HeaderCouncil">
    <w:name w:val="Header Council"/>
    <w:basedOn w:val="Normal"/>
    <w:link w:val="HeaderCouncilChar"/>
    <w:uiPriority w:val="99"/>
    <w:pPr>
      <w:spacing w:before="0" w:after="0"/>
      <w:jc w:val="left"/>
    </w:pPr>
    <w:rPr>
      <w:rFonts w:eastAsia="Times New Roman"/>
      <w:sz w:val="2"/>
      <w:szCs w:val="24"/>
    </w:rPr>
  </w:style>
  <w:style w:type="paragraph" w:customStyle="1" w:styleId="TechnicalBlock">
    <w:name w:val="Technical Block"/>
    <w:basedOn w:val="Normal"/>
    <w:next w:val="Normal"/>
    <w:link w:val="TechnicalBlockChar"/>
    <w:uiPriority w:val="99"/>
    <w:pPr>
      <w:spacing w:before="0" w:after="240"/>
      <w:jc w:val="center"/>
    </w:pPr>
    <w:rPr>
      <w:rFonts w:eastAsia="Times New Roman"/>
      <w:szCs w:val="24"/>
    </w:rPr>
  </w:style>
  <w:style w:type="paragraph" w:customStyle="1" w:styleId="Annexetitreacte">
    <w:name w:val="Annexe titre (acte)"/>
    <w:basedOn w:val="Normal"/>
    <w:next w:val="Normal"/>
    <w:uiPriority w:val="99"/>
    <w:pPr>
      <w:spacing w:line="360" w:lineRule="auto"/>
      <w:jc w:val="center"/>
    </w:pPr>
    <w:rPr>
      <w:rFonts w:eastAsia="Times New Roman"/>
      <w:b/>
      <w:szCs w:val="24"/>
      <w:u w:val="single"/>
    </w:rPr>
  </w:style>
  <w:style w:type="paragraph" w:customStyle="1" w:styleId="Annexetitreglobale">
    <w:name w:val="Annexe titre (globale)"/>
    <w:basedOn w:val="Normal"/>
    <w:next w:val="Normal"/>
    <w:uiPriority w:val="99"/>
    <w:pPr>
      <w:spacing w:line="360" w:lineRule="auto"/>
      <w:jc w:val="center"/>
    </w:pPr>
    <w:rPr>
      <w:rFonts w:eastAsia="Times New Roman"/>
      <w:b/>
      <w:szCs w:val="24"/>
      <w:u w:val="single"/>
    </w:rPr>
  </w:style>
  <w:style w:type="paragraph" w:customStyle="1" w:styleId="Lignefinal">
    <w:name w:val="Ligne final"/>
    <w:basedOn w:val="Normal"/>
    <w:next w:val="Normal"/>
    <w:link w:val="LignefinalChar"/>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uiPriority w:val="99"/>
    <w:pPr>
      <w:spacing w:before="0" w:after="0" w:line="360" w:lineRule="auto"/>
      <w:ind w:left="5103"/>
      <w:jc w:val="left"/>
    </w:pPr>
    <w:rPr>
      <w:rFonts w:eastAsia="Times New Roman"/>
      <w:szCs w:val="24"/>
    </w:rPr>
  </w:style>
  <w:style w:type="paragraph" w:customStyle="1" w:styleId="EntLogo">
    <w:name w:val="EntLogo"/>
    <w:basedOn w:val="Normal"/>
    <w:uiPriority w:val="99"/>
    <w:pPr>
      <w:tabs>
        <w:tab w:val="right" w:pos="9639"/>
      </w:tabs>
      <w:spacing w:before="0" w:after="0" w:line="360" w:lineRule="auto"/>
      <w:jc w:val="left"/>
    </w:pPr>
    <w:rPr>
      <w:rFonts w:eastAsia="Times New Roman"/>
      <w:b/>
      <w:szCs w:val="24"/>
    </w:rPr>
  </w:style>
  <w:style w:type="paragraph" w:customStyle="1" w:styleId="EntInstit">
    <w:name w:val="EntInstit"/>
    <w:basedOn w:val="Normal"/>
    <w:uiPriority w:val="99"/>
    <w:pPr>
      <w:spacing w:before="0" w:after="0"/>
      <w:jc w:val="right"/>
    </w:pPr>
    <w:rPr>
      <w:rFonts w:eastAsia="Times New Roman"/>
      <w:b/>
      <w:szCs w:val="24"/>
    </w:rPr>
  </w:style>
  <w:style w:type="paragraph" w:customStyle="1" w:styleId="EntRefer">
    <w:name w:val="EntRefer"/>
    <w:basedOn w:val="Normal"/>
    <w:uiPriority w:val="99"/>
    <w:pPr>
      <w:spacing w:before="0" w:after="0"/>
      <w:jc w:val="left"/>
    </w:pPr>
    <w:rPr>
      <w:rFonts w:eastAsia="Times New Roman"/>
      <w:b/>
      <w:szCs w:val="24"/>
    </w:rPr>
  </w:style>
  <w:style w:type="paragraph" w:customStyle="1" w:styleId="EntEmet">
    <w:name w:val="EntEmet"/>
    <w:basedOn w:val="Normal"/>
    <w:uiPriority w:val="99"/>
    <w:pPr>
      <w:spacing w:before="40" w:after="0"/>
      <w:jc w:val="left"/>
    </w:pPr>
    <w:rPr>
      <w:rFonts w:eastAsia="Times New Roman"/>
      <w:szCs w:val="24"/>
    </w:rPr>
  </w:style>
  <w:style w:type="paragraph" w:customStyle="1" w:styleId="EntText">
    <w:name w:val="EntText"/>
    <w:basedOn w:val="Normal"/>
    <w:uiPriority w:val="99"/>
    <w:pPr>
      <w:spacing w:line="360" w:lineRule="auto"/>
      <w:jc w:val="left"/>
    </w:pPr>
    <w:rPr>
      <w:rFonts w:eastAsia="Times New Roman"/>
      <w:szCs w:val="24"/>
    </w:rPr>
  </w:style>
  <w:style w:type="paragraph" w:customStyle="1" w:styleId="EntEU">
    <w:name w:val="EntEU"/>
    <w:basedOn w:val="Normal"/>
    <w:uiPriority w:val="99"/>
    <w:pPr>
      <w:spacing w:before="240" w:after="240"/>
      <w:jc w:val="center"/>
    </w:pPr>
    <w:rPr>
      <w:rFonts w:eastAsia="Times New Roman"/>
      <w:b/>
      <w:sz w:val="36"/>
      <w:szCs w:val="24"/>
    </w:rPr>
  </w:style>
  <w:style w:type="paragraph" w:customStyle="1" w:styleId="EntASSOC">
    <w:name w:val="EntASSOC"/>
    <w:basedOn w:val="Normal"/>
    <w:uiPriority w:val="99"/>
    <w:pPr>
      <w:spacing w:before="0" w:after="0"/>
      <w:jc w:val="center"/>
    </w:pPr>
    <w:rPr>
      <w:rFonts w:eastAsia="Times New Roman"/>
      <w:b/>
      <w:szCs w:val="24"/>
    </w:rPr>
  </w:style>
  <w:style w:type="paragraph" w:customStyle="1" w:styleId="EntACP">
    <w:name w:val="EntACP"/>
    <w:basedOn w:val="Normal"/>
    <w:uiPriority w:val="99"/>
    <w:pPr>
      <w:spacing w:before="0" w:after="180"/>
      <w:jc w:val="center"/>
    </w:pPr>
    <w:rPr>
      <w:rFonts w:eastAsia="Times New Roman"/>
      <w:b/>
      <w:spacing w:val="40"/>
      <w:sz w:val="28"/>
      <w:szCs w:val="24"/>
    </w:rPr>
  </w:style>
  <w:style w:type="paragraph" w:customStyle="1" w:styleId="EntInstitACP">
    <w:name w:val="EntInstitACP"/>
    <w:basedOn w:val="Normal"/>
    <w:uiPriority w:val="99"/>
    <w:pPr>
      <w:spacing w:before="0" w:after="0"/>
      <w:jc w:val="center"/>
    </w:pPr>
    <w:rPr>
      <w:rFonts w:eastAsia="Times New Roman"/>
      <w:b/>
      <w:szCs w:val="24"/>
    </w:rPr>
  </w:style>
  <w:style w:type="paragraph" w:customStyle="1" w:styleId="Genredudocument">
    <w:name w:val="Genre du document"/>
    <w:basedOn w:val="EntRefer"/>
    <w:next w:val="EntRefer"/>
    <w:uiPriority w:val="99"/>
    <w:pPr>
      <w:spacing w:before="240"/>
    </w:pPr>
  </w:style>
  <w:style w:type="paragraph" w:customStyle="1" w:styleId="Accordtitre">
    <w:name w:val="Accord titre"/>
    <w:basedOn w:val="Normal"/>
    <w:uiPriority w:val="99"/>
    <w:pPr>
      <w:spacing w:before="0" w:after="0" w:line="360" w:lineRule="auto"/>
      <w:jc w:val="center"/>
    </w:pPr>
    <w:rPr>
      <w:rFonts w:eastAsia="Times New Roman"/>
      <w:szCs w:val="24"/>
    </w:rPr>
  </w:style>
  <w:style w:type="paragraph" w:customStyle="1" w:styleId="FooterAccord">
    <w:name w:val="Footer Accord"/>
    <w:basedOn w:val="Normal"/>
    <w:uiPriority w:val="99"/>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uiPriority w:val="99"/>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uiPriority w:val="99"/>
    <w:pPr>
      <w:keepNext/>
      <w:spacing w:before="600" w:line="360" w:lineRule="auto"/>
      <w:jc w:val="center"/>
    </w:pPr>
    <w:rPr>
      <w:rFonts w:eastAsia="Times New Roman"/>
      <w:i/>
      <w:szCs w:val="24"/>
    </w:rPr>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4"/>
    </w:rPr>
  </w:style>
  <w:style w:type="character" w:customStyle="1" w:styleId="LignefinalChar">
    <w:name w:val="Ligne final Char"/>
    <w:link w:val="Lignefinal"/>
    <w:rPr>
      <w:rFonts w:ascii="Times New Roman" w:eastAsia="Times New Roman" w:hAnsi="Times New Roman" w:cs="Times New Roman"/>
      <w:b/>
      <w:sz w:val="24"/>
      <w:szCs w:val="24"/>
      <w:lang w:val="bg-BG"/>
    </w:rPr>
  </w:style>
  <w:style w:type="character" w:customStyle="1" w:styleId="HeaderCouncilLargeChar">
    <w:name w:val="Header Council Large Char"/>
    <w:link w:val="HeaderCouncilLarge"/>
    <w:rPr>
      <w:rFonts w:ascii="Times New Roman" w:eastAsia="Times New Roman" w:hAnsi="Times New Roman" w:cs="Times New Roman"/>
      <w:sz w:val="2"/>
      <w:szCs w:val="24"/>
      <w:lang w:val="bg-BG"/>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outlineLvl w:val="4"/>
    </w:pPr>
    <w:rPr>
      <w:rFonts w:eastAsia="Times New Roman"/>
      <w:szCs w:val="24"/>
    </w:rPr>
  </w:style>
  <w:style w:type="paragraph" w:customStyle="1" w:styleId="Text6">
    <w:name w:val="Text 6"/>
    <w:basedOn w:val="Normal"/>
    <w:uiPriority w:val="99"/>
    <w:pPr>
      <w:spacing w:line="360" w:lineRule="auto"/>
      <w:ind w:left="3402"/>
      <w:jc w:val="left"/>
      <w:outlineLvl w:val="5"/>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outlineLvl w:val="0"/>
    </w:pPr>
    <w:rPr>
      <w:rFonts w:eastAsia="Times New Roman"/>
      <w:szCs w:val="24"/>
    </w:rPr>
  </w:style>
  <w:style w:type="paragraph" w:customStyle="1" w:styleId="PointManual2">
    <w:name w:val="Point Manual (2)"/>
    <w:basedOn w:val="Normal"/>
    <w:uiPriority w:val="99"/>
    <w:pPr>
      <w:spacing w:line="360" w:lineRule="auto"/>
      <w:ind w:left="1701" w:hanging="567"/>
      <w:jc w:val="left"/>
      <w:outlineLvl w:val="1"/>
    </w:pPr>
    <w:rPr>
      <w:rFonts w:eastAsia="Times New Roman"/>
      <w:szCs w:val="24"/>
    </w:rPr>
  </w:style>
  <w:style w:type="paragraph" w:customStyle="1" w:styleId="PointManual3">
    <w:name w:val="Point Manual (3)"/>
    <w:basedOn w:val="Normal"/>
    <w:uiPriority w:val="99"/>
    <w:pPr>
      <w:spacing w:line="360" w:lineRule="auto"/>
      <w:ind w:left="2268" w:hanging="567"/>
      <w:jc w:val="left"/>
      <w:outlineLvl w:val="2"/>
    </w:pPr>
    <w:rPr>
      <w:rFonts w:eastAsia="Times New Roman"/>
      <w:szCs w:val="24"/>
    </w:rPr>
  </w:style>
  <w:style w:type="paragraph" w:customStyle="1" w:styleId="PointManual4">
    <w:name w:val="Point Manual (4)"/>
    <w:basedOn w:val="Normal"/>
    <w:uiPriority w:val="99"/>
    <w:pPr>
      <w:spacing w:line="360" w:lineRule="auto"/>
      <w:ind w:left="2835" w:hanging="567"/>
      <w:jc w:val="left"/>
      <w:outlineLvl w:val="3"/>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outlineLvl w:val="0"/>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outlineLvl w:val="1"/>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outlineLvl w:val="2"/>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outlineLvl w:val="3"/>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outlineLvl w:val="0"/>
    </w:pPr>
    <w:rPr>
      <w:rFonts w:eastAsia="Times New Roman"/>
      <w:szCs w:val="24"/>
    </w:rPr>
  </w:style>
  <w:style w:type="paragraph" w:customStyle="1" w:styleId="Pointabc2">
    <w:name w:val="Point abc (2)"/>
    <w:basedOn w:val="Normal"/>
    <w:uiPriority w:val="99"/>
    <w:pPr>
      <w:numPr>
        <w:ilvl w:val="5"/>
        <w:numId w:val="12"/>
      </w:numPr>
      <w:spacing w:line="360" w:lineRule="auto"/>
      <w:jc w:val="left"/>
      <w:outlineLvl w:val="1"/>
    </w:pPr>
    <w:rPr>
      <w:rFonts w:eastAsia="Times New Roman"/>
      <w:szCs w:val="24"/>
    </w:rPr>
  </w:style>
  <w:style w:type="paragraph" w:customStyle="1" w:styleId="Pointabc3">
    <w:name w:val="Point abc (3)"/>
    <w:basedOn w:val="Normal"/>
    <w:uiPriority w:val="99"/>
    <w:pPr>
      <w:numPr>
        <w:ilvl w:val="7"/>
        <w:numId w:val="12"/>
      </w:numPr>
      <w:spacing w:line="360" w:lineRule="auto"/>
      <w:jc w:val="left"/>
      <w:outlineLvl w:val="2"/>
    </w:pPr>
    <w:rPr>
      <w:rFonts w:eastAsia="Times New Roman"/>
      <w:szCs w:val="24"/>
    </w:rPr>
  </w:style>
  <w:style w:type="paragraph" w:customStyle="1" w:styleId="Pointabc4">
    <w:name w:val="Point abc (4)"/>
    <w:basedOn w:val="Normal"/>
    <w:uiPriority w:val="99"/>
    <w:pPr>
      <w:numPr>
        <w:ilvl w:val="8"/>
        <w:numId w:val="12"/>
      </w:numPr>
      <w:spacing w:line="360" w:lineRule="auto"/>
      <w:jc w:val="left"/>
      <w:outlineLvl w:val="3"/>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outlineLvl w:val="0"/>
    </w:pPr>
    <w:rPr>
      <w:rFonts w:eastAsia="Times New Roman"/>
      <w:szCs w:val="24"/>
    </w:rPr>
  </w:style>
  <w:style w:type="paragraph" w:customStyle="1" w:styleId="Point1232">
    <w:name w:val="Point 123 (2)"/>
    <w:basedOn w:val="Normal"/>
    <w:uiPriority w:val="99"/>
    <w:pPr>
      <w:numPr>
        <w:ilvl w:val="4"/>
        <w:numId w:val="12"/>
      </w:numPr>
      <w:spacing w:line="360" w:lineRule="auto"/>
      <w:jc w:val="left"/>
      <w:outlineLvl w:val="1"/>
    </w:pPr>
    <w:rPr>
      <w:rFonts w:eastAsia="Times New Roman"/>
      <w:szCs w:val="24"/>
    </w:rPr>
  </w:style>
  <w:style w:type="paragraph" w:customStyle="1" w:styleId="Point1233">
    <w:name w:val="Point 123 (3)"/>
    <w:basedOn w:val="Normal"/>
    <w:uiPriority w:val="99"/>
    <w:pPr>
      <w:numPr>
        <w:ilvl w:val="6"/>
        <w:numId w:val="12"/>
      </w:numPr>
      <w:spacing w:line="360" w:lineRule="auto"/>
      <w:jc w:val="left"/>
      <w:outlineLvl w:val="2"/>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outlineLvl w:val="0"/>
    </w:pPr>
    <w:rPr>
      <w:rFonts w:eastAsia="Times New Roman"/>
      <w:szCs w:val="24"/>
    </w:rPr>
  </w:style>
  <w:style w:type="paragraph" w:customStyle="1" w:styleId="Pointivx2">
    <w:name w:val="Point ivx (2)"/>
    <w:basedOn w:val="Normal"/>
    <w:uiPriority w:val="99"/>
    <w:pPr>
      <w:numPr>
        <w:ilvl w:val="2"/>
        <w:numId w:val="13"/>
      </w:numPr>
      <w:spacing w:line="360" w:lineRule="auto"/>
      <w:jc w:val="left"/>
      <w:outlineLvl w:val="1"/>
    </w:pPr>
    <w:rPr>
      <w:rFonts w:eastAsia="Times New Roman"/>
      <w:szCs w:val="24"/>
    </w:rPr>
  </w:style>
  <w:style w:type="paragraph" w:customStyle="1" w:styleId="Pointivx3">
    <w:name w:val="Point ivx (3)"/>
    <w:basedOn w:val="Normal"/>
    <w:uiPriority w:val="99"/>
    <w:pPr>
      <w:numPr>
        <w:ilvl w:val="3"/>
        <w:numId w:val="13"/>
      </w:numPr>
      <w:spacing w:line="360" w:lineRule="auto"/>
      <w:jc w:val="left"/>
      <w:outlineLvl w:val="2"/>
    </w:pPr>
    <w:rPr>
      <w:rFonts w:eastAsia="Times New Roman"/>
      <w:szCs w:val="24"/>
    </w:rPr>
  </w:style>
  <w:style w:type="paragraph" w:customStyle="1" w:styleId="Pointivx4">
    <w:name w:val="Point ivx (4)"/>
    <w:basedOn w:val="Normal"/>
    <w:uiPriority w:val="99"/>
    <w:pPr>
      <w:numPr>
        <w:ilvl w:val="4"/>
        <w:numId w:val="13"/>
      </w:numPr>
      <w:spacing w:line="360" w:lineRule="auto"/>
      <w:jc w:val="left"/>
      <w:outlineLvl w:val="3"/>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outlineLvl w:val="0"/>
    </w:pPr>
    <w:rPr>
      <w:rFonts w:eastAsia="Times New Roman"/>
      <w:szCs w:val="24"/>
    </w:rPr>
  </w:style>
  <w:style w:type="paragraph" w:customStyle="1" w:styleId="Dash2">
    <w:name w:val="Dash 2"/>
    <w:basedOn w:val="Normal"/>
    <w:uiPriority w:val="99"/>
    <w:pPr>
      <w:numPr>
        <w:numId w:val="3"/>
      </w:numPr>
      <w:spacing w:line="360" w:lineRule="auto"/>
      <w:jc w:val="left"/>
      <w:outlineLvl w:val="1"/>
    </w:pPr>
    <w:rPr>
      <w:rFonts w:eastAsia="Times New Roman"/>
      <w:szCs w:val="24"/>
    </w:rPr>
  </w:style>
  <w:style w:type="paragraph" w:customStyle="1" w:styleId="Dash3">
    <w:name w:val="Dash 3"/>
    <w:basedOn w:val="Normal"/>
    <w:uiPriority w:val="99"/>
    <w:pPr>
      <w:numPr>
        <w:numId w:val="4"/>
      </w:numPr>
      <w:spacing w:line="360" w:lineRule="auto"/>
      <w:jc w:val="left"/>
      <w:outlineLvl w:val="2"/>
    </w:pPr>
    <w:rPr>
      <w:rFonts w:eastAsia="Times New Roman"/>
      <w:szCs w:val="24"/>
    </w:rPr>
  </w:style>
  <w:style w:type="paragraph" w:customStyle="1" w:styleId="Dash4">
    <w:name w:val="Dash 4"/>
    <w:basedOn w:val="Normal"/>
    <w:uiPriority w:val="99"/>
    <w:pPr>
      <w:numPr>
        <w:numId w:val="5"/>
      </w:numPr>
      <w:spacing w:line="360" w:lineRule="auto"/>
      <w:jc w:val="left"/>
      <w:outlineLvl w:val="3"/>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jc w:val="left"/>
    </w:pPr>
    <w:rPr>
      <w:rFonts w:eastAsia="Times New Roman"/>
      <w:szCs w:val="24"/>
    </w:rPr>
  </w:style>
  <w:style w:type="paragraph" w:customStyle="1" w:styleId="NotDeclassified">
    <w:name w:val="Not Declassified"/>
    <w:basedOn w:val="Normal"/>
    <w:uiPriority w:val="99"/>
    <w:qFormat/>
    <w:pPr>
      <w:spacing w:line="360" w:lineRule="auto"/>
      <w:jc w:val="left"/>
    </w:pPr>
    <w:rPr>
      <w:rFonts w:eastAsia="Times New Roman"/>
      <w:b/>
      <w:bCs/>
      <w:szCs w:val="24"/>
      <w:bdr w:val="single" w:sz="4" w:space="0" w:color="auto"/>
      <w:shd w:val="solid" w:color="CCCCCC" w:fill="CCCCCC"/>
    </w:rPr>
  </w:style>
  <w:style w:type="character" w:customStyle="1" w:styleId="TechnicalBlockChar">
    <w:name w:val="Technical Block Char"/>
    <w:link w:val="TechnicalBlock"/>
    <w:rPr>
      <w:rFonts w:ascii="Times New Roman" w:eastAsia="Times New Roman" w:hAnsi="Times New Roman" w:cs="Times New Roman"/>
      <w:sz w:val="24"/>
      <w:szCs w:val="24"/>
      <w:lang w:val="bg-BG"/>
    </w:rPr>
  </w:style>
  <w:style w:type="numbering" w:customStyle="1" w:styleId="NoList1">
    <w:name w:val="No List1"/>
    <w:next w:val="NoList"/>
    <w:uiPriority w:val="99"/>
    <w:semiHidden/>
    <w:unhideWhenUsed/>
  </w:style>
  <w:style w:type="paragraph" w:styleId="ListBullet">
    <w:name w:val="List Bullet"/>
    <w:basedOn w:val="Normal"/>
    <w:uiPriority w:val="99"/>
    <w:unhideWhenUsed/>
    <w:pPr>
      <w:numPr>
        <w:numId w:val="21"/>
      </w:numPr>
      <w:tabs>
        <w:tab w:val="clear" w:pos="850"/>
        <w:tab w:val="num" w:pos="360"/>
      </w:tabs>
      <w:ind w:left="360" w:hanging="360"/>
      <w:contextualSpacing/>
    </w:pPr>
    <w:rPr>
      <w:rFonts w:eastAsia="Calibri"/>
      <w:lang w:eastAsia="en-GB"/>
    </w:rPr>
  </w:style>
  <w:style w:type="paragraph" w:styleId="ListBullet2">
    <w:name w:val="List Bullet 2"/>
    <w:basedOn w:val="Normal"/>
    <w:uiPriority w:val="99"/>
    <w:unhideWhenUsed/>
    <w:pPr>
      <w:numPr>
        <w:ilvl w:val="1"/>
        <w:numId w:val="21"/>
      </w:numPr>
      <w:tabs>
        <w:tab w:val="clear" w:pos="850"/>
        <w:tab w:val="num" w:pos="360"/>
      </w:tabs>
      <w:ind w:left="0" w:firstLine="0"/>
      <w:contextualSpacing/>
    </w:pPr>
    <w:rPr>
      <w:rFonts w:eastAsia="Calibri"/>
      <w:lang w:eastAsia="en-GB"/>
    </w:rPr>
  </w:style>
  <w:style w:type="paragraph" w:styleId="ListBullet3">
    <w:name w:val="List Bullet 3"/>
    <w:basedOn w:val="Normal"/>
    <w:uiPriority w:val="99"/>
    <w:unhideWhenUsed/>
    <w:pPr>
      <w:numPr>
        <w:ilvl w:val="2"/>
        <w:numId w:val="21"/>
      </w:numPr>
      <w:tabs>
        <w:tab w:val="clear" w:pos="850"/>
        <w:tab w:val="num" w:pos="926"/>
      </w:tabs>
      <w:ind w:left="926" w:hanging="360"/>
      <w:contextualSpacing/>
    </w:pPr>
    <w:rPr>
      <w:rFonts w:eastAsia="Calibri"/>
      <w:lang w:eastAsia="en-GB"/>
    </w:rPr>
  </w:style>
  <w:style w:type="paragraph" w:styleId="ListBullet4">
    <w:name w:val="List Bullet 4"/>
    <w:basedOn w:val="Normal"/>
    <w:uiPriority w:val="99"/>
    <w:unhideWhenUsed/>
    <w:pPr>
      <w:numPr>
        <w:ilvl w:val="3"/>
        <w:numId w:val="21"/>
      </w:numPr>
      <w:tabs>
        <w:tab w:val="clear" w:pos="850"/>
        <w:tab w:val="num" w:pos="360"/>
      </w:tabs>
      <w:ind w:left="0" w:firstLine="0"/>
      <w:contextualSpacing/>
    </w:pPr>
    <w:rPr>
      <w:rFonts w:eastAsia="Calibri"/>
      <w:lang w:eastAsia="en-GB"/>
    </w:rPr>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bg-BG"/>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lang w:eastAsia="en-GB"/>
    </w:rPr>
  </w:style>
  <w:style w:type="paragraph" w:styleId="ListNumber">
    <w:name w:val="List Number"/>
    <w:basedOn w:val="Normal"/>
    <w:uiPriority w:val="99"/>
    <w:unhideWhenUsed/>
    <w:pPr>
      <w:numPr>
        <w:numId w:val="17"/>
      </w:numPr>
      <w:contextualSpacing/>
    </w:pPr>
    <w:rPr>
      <w:rFonts w:eastAsia="Calibri"/>
      <w:lang w:eastAsia="en-GB"/>
    </w:rPr>
  </w:style>
  <w:style w:type="paragraph" w:styleId="ListNumber2">
    <w:name w:val="List Number 2"/>
    <w:basedOn w:val="Normal"/>
    <w:uiPriority w:val="99"/>
    <w:unhideWhenUsed/>
    <w:pPr>
      <w:numPr>
        <w:numId w:val="18"/>
      </w:numPr>
      <w:contextualSpacing/>
    </w:pPr>
    <w:rPr>
      <w:rFonts w:eastAsia="Calibri"/>
      <w:lang w:eastAsia="en-GB"/>
    </w:rPr>
  </w:style>
  <w:style w:type="paragraph" w:styleId="ListNumber3">
    <w:name w:val="List Number 3"/>
    <w:basedOn w:val="Normal"/>
    <w:uiPriority w:val="99"/>
    <w:unhideWhenUsed/>
    <w:pPr>
      <w:numPr>
        <w:numId w:val="19"/>
      </w:numPr>
      <w:contextualSpacing/>
    </w:pPr>
    <w:rPr>
      <w:rFonts w:eastAsia="Calibri"/>
      <w:lang w:eastAsia="en-GB"/>
    </w:rPr>
  </w:style>
  <w:style w:type="paragraph" w:styleId="ListNumber4">
    <w:name w:val="List Number 4"/>
    <w:basedOn w:val="Normal"/>
    <w:uiPriority w:val="99"/>
    <w:unhideWhenUsed/>
    <w:pPr>
      <w:numPr>
        <w:numId w:val="20"/>
      </w:numPr>
      <w:contextualSpacing/>
    </w:pPr>
    <w:rPr>
      <w:rFonts w:eastAsia="Calibri"/>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lang w:eastAsia="en-GB"/>
    </w:rPr>
  </w:style>
  <w:style w:type="paragraph" w:styleId="Revision">
    <w:name w:val="Revision"/>
    <w:hidden/>
    <w:uiPriority w:val="99"/>
    <w:rPr>
      <w:rFonts w:ascii="Times New Roman" w:eastAsia="Calibri" w:hAnsi="Times New Roman" w:cs="Times New Roman"/>
      <w:sz w:val="24"/>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lang w:eastAsia="en-GB"/>
    </w:rPr>
  </w:style>
  <w:style w:type="paragraph" w:customStyle="1" w:styleId="Notmsl">
    <w:name w:val="Notmsl"/>
    <w:basedOn w:val="DatedadoptionPagedecouverture"/>
    <w:uiPriority w:val="99"/>
    <w:rPr>
      <w:rFonts w:eastAsia="Calibri"/>
      <w:noProof/>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EndnoteReference">
    <w:name w:val="endnote reference"/>
    <w:uiPriority w:val="99"/>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lang w:val="bg-BG"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lang w:eastAsia="zh-CN"/>
    </w:rPr>
  </w:style>
  <w:style w:type="character" w:customStyle="1" w:styleId="CommentSubjectChar1">
    <w:name w:val="Comment Subject Char1"/>
    <w:rPr>
      <w:rFonts w:ascii="Times New Roman" w:eastAsia="Times New Roman" w:hAnsi="Times New Roman" w:cs="Times New Roman"/>
      <w:b/>
      <w:bCs/>
      <w:sz w:val="20"/>
      <w:szCs w:val="20"/>
      <w:lang w:val="bg-BG" w:eastAsia="zh-CN"/>
    </w:rPr>
  </w:style>
  <w:style w:type="character" w:customStyle="1" w:styleId="BalloonTextChar1">
    <w:name w:val="Balloon Text Char1"/>
    <w:rPr>
      <w:rFonts w:ascii="Tahoma" w:eastAsia="Times New Roman" w:hAnsi="Tahoma" w:cs="Tahoma"/>
      <w:sz w:val="16"/>
      <w:szCs w:val="16"/>
      <w:lang w:val="bg-BG" w:eastAsia="zh-CN"/>
    </w:rPr>
  </w:style>
  <w:style w:type="paragraph" w:customStyle="1" w:styleId="WW-Default">
    <w:name w:val="WW-Default"/>
    <w:uiPriority w:val="99"/>
    <w:pPr>
      <w:suppressAutoHyphens/>
      <w:autoSpaceDE w:val="0"/>
    </w:pPr>
    <w:rPr>
      <w:rFonts w:ascii="EUAlbertina" w:eastAsia="Calibri" w:hAnsi="EUAlbertina" w:cs="EUAlbertina"/>
      <w:color w:val="000000"/>
      <w:sz w:val="24"/>
      <w:szCs w:val="24"/>
      <w:lang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u w:val="single"/>
      <w:lang w:eastAsia="zh-CN"/>
    </w:rPr>
  </w:style>
  <w:style w:type="paragraph" w:customStyle="1" w:styleId="TableContents">
    <w:name w:val="Table Contents"/>
    <w:basedOn w:val="Normal"/>
    <w:uiPriority w:val="99"/>
    <w:pPr>
      <w:suppressLineNumbers/>
      <w:suppressAutoHyphens/>
    </w:pPr>
    <w:rPr>
      <w:rFonts w:eastAsia="Calibri"/>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pPr>
    <w:rPr>
      <w:rFonts w:ascii="EUAlbertina" w:eastAsia="Calibri" w:hAnsi="EUAlbertina" w:cs="EUAlbertina"/>
      <w:color w:val="000000"/>
      <w:sz w:val="24"/>
      <w:szCs w:val="24"/>
    </w:rPr>
  </w:style>
  <w:style w:type="paragraph" w:customStyle="1" w:styleId="font5">
    <w:name w:val="font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
    <w:name w:val="xl64"/>
    <w:basedOn w:val="Normal"/>
    <w:uiPriority w:val="99"/>
    <w:pPr>
      <w:spacing w:before="100" w:beforeAutospacing="1" w:after="100" w:afterAutospacing="1"/>
      <w:jc w:val="left"/>
    </w:pPr>
    <w:rPr>
      <w:rFonts w:eastAsia="Times New Roman"/>
      <w:sz w:val="18"/>
      <w:szCs w:val="18"/>
      <w:lang w:eastAsia="en-GB"/>
    </w:rPr>
  </w:style>
  <w:style w:type="paragraph" w:customStyle="1" w:styleId="xl65">
    <w:name w:val="xl65"/>
    <w:basedOn w:val="Normal"/>
    <w:uiPriority w:val="99"/>
    <w:pPr>
      <w:spacing w:before="100" w:beforeAutospacing="1" w:after="100" w:afterAutospacing="1"/>
      <w:jc w:val="left"/>
    </w:pPr>
    <w:rPr>
      <w:rFonts w:eastAsia="Times New Roman"/>
      <w:sz w:val="18"/>
      <w:szCs w:val="18"/>
      <w:lang w:eastAsia="en-GB"/>
    </w:rPr>
  </w:style>
  <w:style w:type="paragraph" w:customStyle="1" w:styleId="xl66">
    <w:name w:val="xl66"/>
    <w:basedOn w:val="Normal"/>
    <w:uiPriority w:val="99"/>
    <w:pPr>
      <w:spacing w:before="100" w:beforeAutospacing="1" w:after="100" w:afterAutospacing="1"/>
      <w:jc w:val="left"/>
    </w:pPr>
    <w:rPr>
      <w:rFonts w:eastAsia="Times New Roman"/>
      <w:sz w:val="18"/>
      <w:szCs w:val="18"/>
      <w:lang w:eastAsia="en-GB"/>
    </w:rPr>
  </w:style>
  <w:style w:type="paragraph" w:customStyle="1" w:styleId="xl67">
    <w:name w:val="xl67"/>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8">
    <w:name w:val="xl68"/>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9">
    <w:name w:val="xl69"/>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70">
    <w:name w:val="xl70"/>
    <w:basedOn w:val="Normal"/>
    <w:uiPriority w:val="99"/>
    <w:pPr>
      <w:pBdr>
        <w:top w:val="single" w:sz="8" w:space="0" w:color="auto"/>
        <w:left w:val="single" w:sz="8" w:space="0" w:color="auto"/>
      </w:pBdr>
      <w:spacing w:before="100" w:beforeAutospacing="1" w:after="100" w:afterAutospacing="1"/>
      <w:jc w:val="left"/>
    </w:pPr>
    <w:rPr>
      <w:rFonts w:eastAsia="Times New Roman"/>
      <w:sz w:val="18"/>
      <w:szCs w:val="18"/>
      <w:lang w:eastAsia="en-GB"/>
    </w:rPr>
  </w:style>
  <w:style w:type="paragraph" w:customStyle="1" w:styleId="xl71">
    <w:name w:val="xl7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2">
    <w:name w:val="xl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3">
    <w:name w:val="xl7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4">
    <w:name w:val="xl74"/>
    <w:basedOn w:val="Normal"/>
    <w:uiPriority w:val="99"/>
    <w:pPr>
      <w:pBdr>
        <w:left w:val="single" w:sz="8" w:space="0" w:color="auto"/>
        <w:bottom w:val="single" w:sz="8" w:space="0" w:color="auto"/>
      </w:pBdr>
      <w:spacing w:before="100" w:beforeAutospacing="1" w:after="100" w:afterAutospacing="1"/>
      <w:jc w:val="left"/>
    </w:pPr>
    <w:rPr>
      <w:rFonts w:eastAsia="Times New Roman"/>
      <w:sz w:val="18"/>
      <w:szCs w:val="18"/>
      <w:lang w:eastAsia="en-GB"/>
    </w:rPr>
  </w:style>
  <w:style w:type="paragraph" w:customStyle="1" w:styleId="xl75">
    <w:name w:val="xl75"/>
    <w:basedOn w:val="Normal"/>
    <w:uiPriority w:val="99"/>
    <w:pPr>
      <w:pBdr>
        <w:top w:val="single" w:sz="8" w:space="0" w:color="000000"/>
      </w:pBdr>
      <w:spacing w:before="100" w:beforeAutospacing="1" w:after="100" w:afterAutospacing="1"/>
      <w:jc w:val="right"/>
      <w:textAlignment w:val="center"/>
    </w:pPr>
    <w:rPr>
      <w:rFonts w:eastAsia="Times New Roman"/>
      <w:sz w:val="18"/>
      <w:szCs w:val="18"/>
      <w:lang w:eastAsia="en-GB"/>
    </w:rPr>
  </w:style>
  <w:style w:type="paragraph" w:customStyle="1" w:styleId="xl76">
    <w:name w:val="xl76"/>
    <w:basedOn w:val="Normal"/>
    <w:uiPriority w:val="99"/>
    <w:pPr>
      <w:spacing w:before="100" w:beforeAutospacing="1" w:after="100" w:afterAutospacing="1"/>
      <w:jc w:val="left"/>
      <w:textAlignment w:val="center"/>
    </w:pPr>
    <w:rPr>
      <w:rFonts w:eastAsia="Times New Roman"/>
      <w:sz w:val="18"/>
      <w:szCs w:val="18"/>
      <w:lang w:eastAsia="en-GB"/>
    </w:rPr>
  </w:style>
  <w:style w:type="paragraph" w:customStyle="1" w:styleId="xl77">
    <w:name w:val="xl77"/>
    <w:basedOn w:val="Normal"/>
    <w:uiPriority w:val="99"/>
    <w:pPr>
      <w:spacing w:before="100" w:beforeAutospacing="1" w:after="100" w:afterAutospacing="1"/>
      <w:jc w:val="right"/>
      <w:textAlignment w:val="center"/>
    </w:pPr>
    <w:rPr>
      <w:rFonts w:eastAsia="Times New Roman"/>
      <w:sz w:val="18"/>
      <w:szCs w:val="18"/>
      <w:lang w:eastAsia="en-GB"/>
    </w:rPr>
  </w:style>
  <w:style w:type="paragraph" w:customStyle="1" w:styleId="xl78">
    <w:name w:val="xl7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79">
    <w:name w:val="xl79"/>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0">
    <w:name w:val="xl8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81">
    <w:name w:val="xl8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2">
    <w:name w:val="xl8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3">
    <w:name w:val="xl83"/>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4">
    <w:name w:val="xl84"/>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5">
    <w:name w:val="xl8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6">
    <w:name w:val="xl86"/>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7">
    <w:name w:val="xl8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88">
    <w:name w:val="xl8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89">
    <w:name w:val="xl89"/>
    <w:basedOn w:val="Normal"/>
    <w:uiPriority w:val="99"/>
    <w:pPr>
      <w:pBdr>
        <w:bottom w:val="single" w:sz="8" w:space="0" w:color="auto"/>
      </w:pBdr>
      <w:spacing w:before="100" w:beforeAutospacing="1" w:after="100" w:afterAutospacing="1"/>
      <w:jc w:val="right"/>
      <w:textAlignment w:val="center"/>
    </w:pPr>
    <w:rPr>
      <w:rFonts w:eastAsia="Times New Roman"/>
      <w:sz w:val="18"/>
      <w:szCs w:val="18"/>
      <w:lang w:eastAsia="en-GB"/>
    </w:rPr>
  </w:style>
  <w:style w:type="paragraph" w:customStyle="1" w:styleId="xl90">
    <w:name w:val="xl90"/>
    <w:basedOn w:val="Normal"/>
    <w:uiPriority w:val="99"/>
    <w:pPr>
      <w:pBdr>
        <w:bottom w:val="single" w:sz="8" w:space="0" w:color="auto"/>
      </w:pBdr>
      <w:spacing w:before="100" w:beforeAutospacing="1" w:after="100" w:afterAutospacing="1"/>
      <w:jc w:val="right"/>
      <w:textAlignment w:val="top"/>
    </w:pPr>
    <w:rPr>
      <w:rFonts w:eastAsia="Times New Roman"/>
      <w:color w:val="FF0000"/>
      <w:sz w:val="18"/>
      <w:szCs w:val="18"/>
      <w:lang w:eastAsia="en-GB"/>
    </w:rPr>
  </w:style>
  <w:style w:type="paragraph" w:customStyle="1" w:styleId="xl91">
    <w:name w:val="xl91"/>
    <w:basedOn w:val="Normal"/>
    <w:uiPriority w:val="99"/>
    <w:pPr>
      <w:spacing w:before="100" w:beforeAutospacing="1" w:after="100" w:afterAutospacing="1"/>
      <w:jc w:val="left"/>
    </w:pPr>
    <w:rPr>
      <w:rFonts w:eastAsia="Times New Roman"/>
      <w:sz w:val="18"/>
      <w:szCs w:val="18"/>
      <w:lang w:eastAsia="en-GB"/>
    </w:rPr>
  </w:style>
  <w:style w:type="paragraph" w:customStyle="1" w:styleId="xl92">
    <w:name w:val="xl92"/>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93">
    <w:name w:val="xl9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character" w:customStyle="1" w:styleId="HeaderCouncilChar">
    <w:name w:val="Header Council Char"/>
    <w:link w:val="HeaderCouncil"/>
    <w:rPr>
      <w:rFonts w:ascii="Times New Roman" w:eastAsia="Times New Roman" w:hAnsi="Times New Roman" w:cs="Times New Roman"/>
      <w:sz w:val="2"/>
      <w:szCs w:val="24"/>
      <w:lang w:val="bg-BG"/>
    </w:rPr>
  </w:style>
  <w:style w:type="paragraph" w:customStyle="1" w:styleId="xl300">
    <w:name w:val="xl30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301">
    <w:name w:val="xl30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302">
    <w:name w:val="xl302"/>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303">
    <w:name w:val="xl303"/>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4">
    <w:name w:val="xl304"/>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305">
    <w:name w:val="xl305"/>
    <w:basedOn w:val="Normal"/>
    <w:uiPriority w:val="99"/>
    <w:pPr>
      <w:shd w:val="clear" w:color="000000" w:fill="FFFFFF"/>
      <w:spacing w:before="100" w:beforeAutospacing="1" w:after="100" w:afterAutospacing="1"/>
      <w:jc w:val="left"/>
      <w:textAlignment w:val="top"/>
    </w:pPr>
    <w:rPr>
      <w:rFonts w:eastAsia="Times New Roman"/>
      <w:sz w:val="18"/>
      <w:szCs w:val="18"/>
      <w:lang w:eastAsia="en-GB"/>
    </w:rPr>
  </w:style>
  <w:style w:type="paragraph" w:customStyle="1" w:styleId="xl306">
    <w:name w:val="xl306"/>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7">
    <w:name w:val="xl307"/>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308">
    <w:name w:val="xl308"/>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09">
    <w:name w:val="xl309"/>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10">
    <w:name w:val="xl310"/>
    <w:basedOn w:val="Normal"/>
    <w:uiPriority w:val="99"/>
    <w:pPr>
      <w:pBdr>
        <w:top w:val="single" w:sz="8" w:space="0" w:color="000000"/>
      </w:pBd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11">
    <w:name w:val="xl311"/>
    <w:basedOn w:val="Normal"/>
    <w:uiPriority w:val="99"/>
    <w:pPr>
      <w:pBdr>
        <w:top w:val="single" w:sz="8" w:space="0" w:color="000000"/>
        <w:left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2">
    <w:name w:val="xl312"/>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3">
    <w:name w:val="xl313"/>
    <w:basedOn w:val="Normal"/>
    <w:uiPriority w:val="99"/>
    <w:pPr>
      <w:shd w:val="clear" w:color="000000" w:fill="A6A6A6"/>
      <w:spacing w:before="100" w:beforeAutospacing="1" w:after="100" w:afterAutospacing="1"/>
      <w:jc w:val="left"/>
      <w:textAlignment w:val="top"/>
    </w:pPr>
    <w:rPr>
      <w:rFonts w:eastAsia="Times New Roman"/>
      <w:i/>
      <w:iCs/>
      <w:sz w:val="18"/>
      <w:szCs w:val="18"/>
      <w:lang w:eastAsia="en-GB"/>
    </w:rPr>
  </w:style>
  <w:style w:type="paragraph" w:customStyle="1" w:styleId="xl314">
    <w:name w:val="xl314"/>
    <w:basedOn w:val="Normal"/>
    <w:uiPriority w:val="99"/>
    <w:pPr>
      <w:pBdr>
        <w:bottom w:val="single" w:sz="8" w:space="0" w:color="000000"/>
      </w:pBdr>
      <w:shd w:val="clear" w:color="000000" w:fill="A6A6A6"/>
      <w:spacing w:before="100" w:beforeAutospacing="1" w:after="100" w:afterAutospacing="1"/>
      <w:jc w:val="right"/>
      <w:textAlignment w:val="top"/>
    </w:pPr>
    <w:rPr>
      <w:rFonts w:eastAsia="Times New Roman"/>
      <w:i/>
      <w:iCs/>
      <w:color w:val="000000"/>
      <w:sz w:val="18"/>
      <w:szCs w:val="18"/>
      <w:lang w:eastAsia="en-GB"/>
    </w:rPr>
  </w:style>
  <w:style w:type="paragraph" w:customStyle="1" w:styleId="xl315">
    <w:name w:val="xl315"/>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i/>
      <w:iCs/>
      <w:color w:val="000000"/>
      <w:sz w:val="18"/>
      <w:szCs w:val="18"/>
      <w:lang w:eastAsia="en-GB"/>
    </w:rPr>
  </w:style>
  <w:style w:type="paragraph" w:customStyle="1" w:styleId="xl316">
    <w:name w:val="xl316"/>
    <w:basedOn w:val="Normal"/>
    <w:uiPriority w:val="99"/>
    <w:pPr>
      <w:pBdr>
        <w:left w:val="single" w:sz="8" w:space="0" w:color="000000"/>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7">
    <w:name w:val="xl317"/>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8">
    <w:name w:val="xl318"/>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9">
    <w:name w:val="xl319"/>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0">
    <w:name w:val="xl320"/>
    <w:basedOn w:val="Normal"/>
    <w:uiPriority w:val="99"/>
    <w:pP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21">
    <w:name w:val="xl321"/>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2">
    <w:name w:val="xl32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323">
    <w:name w:val="xl32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324">
    <w:name w:val="xl324"/>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font6">
    <w:name w:val="font6"/>
    <w:basedOn w:val="Normal"/>
    <w:uiPriority w:val="99"/>
    <w:pPr>
      <w:spacing w:before="100" w:beforeAutospacing="1" w:after="100" w:afterAutospacing="1"/>
      <w:jc w:val="left"/>
    </w:pPr>
    <w:rPr>
      <w:rFonts w:ascii="Tahoma" w:eastAsia="Times New Roman" w:hAnsi="Tahoma" w:cs="Tahoma"/>
      <w:b/>
      <w:bCs/>
      <w:color w:val="000000"/>
      <w:sz w:val="16"/>
      <w:szCs w:val="16"/>
      <w:lang w:eastAsia="en-GB"/>
    </w:rPr>
  </w:style>
  <w:style w:type="paragraph" w:customStyle="1" w:styleId="font7">
    <w:name w:val="font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8">
    <w:name w:val="font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9">
    <w:name w:val="font9"/>
    <w:basedOn w:val="Normal"/>
    <w:uiPriority w:val="99"/>
    <w:pPr>
      <w:spacing w:before="100" w:beforeAutospacing="1" w:after="100" w:afterAutospacing="1"/>
      <w:jc w:val="left"/>
    </w:pPr>
    <w:rPr>
      <w:rFonts w:eastAsia="Times New Roman"/>
      <w:sz w:val="18"/>
      <w:szCs w:val="18"/>
      <w:lang w:eastAsia="en-GB"/>
    </w:rPr>
  </w:style>
  <w:style w:type="paragraph" w:customStyle="1" w:styleId="xl26182">
    <w:name w:val="xl26182"/>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3">
    <w:name w:val="xl26183"/>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184">
    <w:name w:val="xl2618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185">
    <w:name w:val="xl26185"/>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186">
    <w:name w:val="xl26186"/>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7">
    <w:name w:val="xl26187"/>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188">
    <w:name w:val="xl26188"/>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189">
    <w:name w:val="xl26189"/>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0">
    <w:name w:val="xl26190"/>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26191">
    <w:name w:val="xl26191"/>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2">
    <w:name w:val="xl26192"/>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6193">
    <w:name w:val="xl26193"/>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26194">
    <w:name w:val="xl2619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195">
    <w:name w:val="xl26195"/>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96">
    <w:name w:val="xl2619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197">
    <w:name w:val="xl26197"/>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198">
    <w:name w:val="xl26198"/>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199">
    <w:name w:val="xl2619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00">
    <w:name w:val="xl26200"/>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26201">
    <w:name w:val="xl26201"/>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2">
    <w:name w:val="xl2620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03">
    <w:name w:val="xl26203"/>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4">
    <w:name w:val="xl2620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05">
    <w:name w:val="xl2620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206">
    <w:name w:val="xl26206"/>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7">
    <w:name w:val="xl26207"/>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8">
    <w:name w:val="xl26208"/>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09">
    <w:name w:val="xl26209"/>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26210">
    <w:name w:val="xl26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11">
    <w:name w:val="xl26211"/>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12">
    <w:name w:val="xl26212"/>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3">
    <w:name w:val="xl26213"/>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14">
    <w:name w:val="xl26214"/>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15">
    <w:name w:val="xl26215"/>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16">
    <w:name w:val="xl26216"/>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7">
    <w:name w:val="xl26217"/>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8">
    <w:name w:val="xl26218"/>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9">
    <w:name w:val="xl26219"/>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26220">
    <w:name w:val="xl26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1">
    <w:name w:val="xl26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222">
    <w:name w:val="xl26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26223">
    <w:name w:val="xl26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4">
    <w:name w:val="xl2622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26225">
    <w:name w:val="xl26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26226">
    <w:name w:val="xl2622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27">
    <w:name w:val="xl2622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28">
    <w:name w:val="xl2622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29">
    <w:name w:val="xl2622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30">
    <w:name w:val="xl2623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1">
    <w:name w:val="xl2623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32">
    <w:name w:val="xl2623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33">
    <w:name w:val="xl2623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234">
    <w:name w:val="xl2623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35">
    <w:name w:val="xl2623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36">
    <w:name w:val="xl2623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7">
    <w:name w:val="xl2623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38">
    <w:name w:val="xl2623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39">
    <w:name w:val="xl2623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0">
    <w:name w:val="xl2624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1">
    <w:name w:val="xl2624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42">
    <w:name w:val="xl2624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3">
    <w:name w:val="xl2624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44">
    <w:name w:val="xl2624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45">
    <w:name w:val="xl2624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26246">
    <w:name w:val="xl2624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47">
    <w:name w:val="xl2624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48">
    <w:name w:val="xl2624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9">
    <w:name w:val="xl2624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0">
    <w:name w:val="xl2625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1">
    <w:name w:val="xl26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252">
    <w:name w:val="xl2625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3">
    <w:name w:val="xl2625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54">
    <w:name w:val="xl2625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55">
    <w:name w:val="xl2625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6">
    <w:name w:val="xl2625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7">
    <w:name w:val="xl2625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58">
    <w:name w:val="xl2625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59">
    <w:name w:val="xl2625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0">
    <w:name w:val="xl2626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1">
    <w:name w:val="xl2626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2">
    <w:name w:val="xl2626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3">
    <w:name w:val="xl2626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4">
    <w:name w:val="xl2626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5">
    <w:name w:val="xl26265"/>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66">
    <w:name w:val="xl2626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67">
    <w:name w:val="xl26267"/>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68">
    <w:name w:val="xl26268"/>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9">
    <w:name w:val="xl26269"/>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6270">
    <w:name w:val="xl26270"/>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271">
    <w:name w:val="xl26271"/>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2">
    <w:name w:val="xl26272"/>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73">
    <w:name w:val="xl26273"/>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4">
    <w:name w:val="xl26274"/>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6275">
    <w:name w:val="xl26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76">
    <w:name w:val="xl26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6277">
    <w:name w:val="xl26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8">
    <w:name w:val="xl2627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9">
    <w:name w:val="xl262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0">
    <w:name w:val="xl26280"/>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1">
    <w:name w:val="xl2628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282">
    <w:name w:val="xl262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83">
    <w:name w:val="xl262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4">
    <w:name w:val="xl262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5">
    <w:name w:val="xl2628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6">
    <w:name w:val="xl262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7">
    <w:name w:val="xl26287"/>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8">
    <w:name w:val="xl26288"/>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6289">
    <w:name w:val="xl26289"/>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0">
    <w:name w:val="xl26290"/>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1">
    <w:name w:val="xl26291"/>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92">
    <w:name w:val="xl26292"/>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6293">
    <w:name w:val="xl26293"/>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4">
    <w:name w:val="xl26294"/>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5">
    <w:name w:val="xl2629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96">
    <w:name w:val="xl26296"/>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6297">
    <w:name w:val="xl26297"/>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98">
    <w:name w:val="xl26298"/>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99">
    <w:name w:val="xl26299"/>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0">
    <w:name w:val="xl26300"/>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1">
    <w:name w:val="xl26301"/>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02">
    <w:name w:val="xl26302"/>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3">
    <w:name w:val="xl26303"/>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4">
    <w:name w:val="xl26304"/>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5">
    <w:name w:val="xl2630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06">
    <w:name w:val="xl2630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07">
    <w:name w:val="xl26307"/>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8">
    <w:name w:val="xl2630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9">
    <w:name w:val="xl2630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10">
    <w:name w:val="xl26310"/>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6311">
    <w:name w:val="xl26311"/>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312">
    <w:name w:val="xl2631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3">
    <w:name w:val="xl2631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4">
    <w:name w:val="xl2631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6315">
    <w:name w:val="xl26315"/>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6">
    <w:name w:val="xl26316"/>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17">
    <w:name w:val="xl2631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8">
    <w:name w:val="xl2631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19">
    <w:name w:val="xl26319"/>
    <w:basedOn w:val="Normal"/>
    <w:uiPriority w:val="99"/>
    <w:pPr>
      <w:spacing w:before="100" w:beforeAutospacing="1" w:after="100" w:afterAutospacing="1"/>
      <w:jc w:val="left"/>
    </w:pPr>
    <w:rPr>
      <w:rFonts w:eastAsia="Times New Roman"/>
      <w:sz w:val="18"/>
      <w:szCs w:val="18"/>
      <w:lang w:eastAsia="en-GB"/>
    </w:rPr>
  </w:style>
  <w:style w:type="paragraph" w:customStyle="1" w:styleId="xl26320">
    <w:name w:val="xl2632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321">
    <w:name w:val="xl26321"/>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322">
    <w:name w:val="xl26322"/>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3">
    <w:name w:val="xl26323"/>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4">
    <w:name w:val="xl26324"/>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325">
    <w:name w:val="xl26325"/>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6">
    <w:name w:val="xl26326"/>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7">
    <w:name w:val="xl26327"/>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8">
    <w:name w:val="xl26328"/>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6329">
    <w:name w:val="xl26329"/>
    <w:basedOn w:val="Normal"/>
    <w:uiPriority w:val="99"/>
    <w:pPr>
      <w:spacing w:before="100" w:beforeAutospacing="1" w:after="100" w:afterAutospacing="1"/>
      <w:jc w:val="right"/>
    </w:pPr>
    <w:rPr>
      <w:rFonts w:eastAsia="Times New Roman"/>
      <w:sz w:val="18"/>
      <w:szCs w:val="18"/>
      <w:lang w:eastAsia="en-GB"/>
    </w:rPr>
  </w:style>
  <w:style w:type="paragraph" w:customStyle="1" w:styleId="xl26330">
    <w:name w:val="xl263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6331">
    <w:name w:val="xl2633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6332">
    <w:name w:val="xl2633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33">
    <w:name w:val="xl2633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34">
    <w:name w:val="xl26334"/>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35">
    <w:name w:val="xl26335"/>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6336">
    <w:name w:val="xl26336"/>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37">
    <w:name w:val="xl26337"/>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8">
    <w:name w:val="xl26338"/>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9">
    <w:name w:val="xl26339"/>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40">
    <w:name w:val="xl26340"/>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41">
    <w:name w:val="xl26341"/>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42">
    <w:name w:val="xl26342"/>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43">
    <w:name w:val="xl26343"/>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4">
    <w:name w:val="xl26344"/>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5">
    <w:name w:val="xl26345"/>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6346">
    <w:name w:val="xl26346"/>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47">
    <w:name w:val="xl26347"/>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348">
    <w:name w:val="xl2634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49">
    <w:name w:val="xl26349"/>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0">
    <w:name w:val="xl2635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1">
    <w:name w:val="xl26351"/>
    <w:basedOn w:val="Normal"/>
    <w:uiPriority w:val="99"/>
    <w:pPr>
      <w:pBdr>
        <w:bottom w:val="single" w:sz="8" w:space="0" w:color="auto"/>
      </w:pBdr>
      <w:spacing w:before="100" w:beforeAutospacing="1" w:after="100" w:afterAutospacing="1"/>
      <w:jc w:val="left"/>
      <w:textAlignment w:val="top"/>
    </w:pPr>
    <w:rPr>
      <w:rFonts w:eastAsia="Times New Roman"/>
      <w:color w:val="000000"/>
      <w:sz w:val="16"/>
      <w:szCs w:val="16"/>
      <w:lang w:eastAsia="en-GB"/>
    </w:rPr>
  </w:style>
  <w:style w:type="paragraph" w:customStyle="1" w:styleId="xl26352">
    <w:name w:val="xl26352"/>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3">
    <w:name w:val="xl2635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4">
    <w:name w:val="xl26354"/>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26355">
    <w:name w:val="xl26355"/>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6">
    <w:name w:val="xl26356"/>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26357">
    <w:name w:val="xl26357"/>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58">
    <w:name w:val="xl26358"/>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9">
    <w:name w:val="xl26359"/>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0">
    <w:name w:val="xl26360"/>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1">
    <w:name w:val="xl2636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362">
    <w:name w:val="xl26362"/>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63">
    <w:name w:val="xl26363"/>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64">
    <w:name w:val="xl2636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65">
    <w:name w:val="xl2636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6">
    <w:name w:val="xl2636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7">
    <w:name w:val="xl26367"/>
    <w:basedOn w:val="Normal"/>
    <w:uiPriority w:val="99"/>
    <w:pPr>
      <w:pBdr>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68">
    <w:name w:val="xl26368"/>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9">
    <w:name w:val="xl26369"/>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0">
    <w:name w:val="xl26370"/>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71">
    <w:name w:val="xl26371"/>
    <w:basedOn w:val="Normal"/>
    <w:uiPriority w:val="99"/>
    <w:pPr>
      <w:pBdr>
        <w:top w:val="single" w:sz="8" w:space="0" w:color="auto"/>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72">
    <w:name w:val="xl26372"/>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3">
    <w:name w:val="xl26373"/>
    <w:basedOn w:val="Normal"/>
    <w:uiPriority w:val="99"/>
    <w:pPr>
      <w:pBdr>
        <w:top w:val="single" w:sz="8" w:space="0" w:color="auto"/>
        <w:right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74">
    <w:name w:val="xl26374"/>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75">
    <w:name w:val="xl263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sz w:val="14"/>
      <w:szCs w:val="14"/>
      <w:lang w:eastAsia="en-GB"/>
    </w:rPr>
  </w:style>
  <w:style w:type="paragraph" w:customStyle="1" w:styleId="xl26376">
    <w:name w:val="xl263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7">
    <w:name w:val="xl263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8">
    <w:name w:val="xl26378"/>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379">
    <w:name w:val="xl263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380">
    <w:name w:val="xl26380"/>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1">
    <w:name w:val="xl26381"/>
    <w:basedOn w:val="Normal"/>
    <w:uiPriority w:val="99"/>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82">
    <w:name w:val="xl26382"/>
    <w:basedOn w:val="Normal"/>
    <w:uiPriority w:val="99"/>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3">
    <w:name w:val="xl26383"/>
    <w:basedOn w:val="Normal"/>
    <w:uiPriority w:val="99"/>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4">
    <w:name w:val="xl26384"/>
    <w:basedOn w:val="Normal"/>
    <w:uiPriority w:val="99"/>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26385">
    <w:name w:val="xl26385"/>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6">
    <w:name w:val="xl26386"/>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87">
    <w:name w:val="xl26387"/>
    <w:basedOn w:val="Normal"/>
    <w:uiPriority w:val="99"/>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88">
    <w:name w:val="xl26388"/>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9">
    <w:name w:val="xl2638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0">
    <w:name w:val="xl26390"/>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1">
    <w:name w:val="xl26391"/>
    <w:basedOn w:val="Normal"/>
    <w:uiPriority w:val="99"/>
    <w:pPr>
      <w:pBdr>
        <w:bottom w:val="single" w:sz="4" w:space="0" w:color="auto"/>
      </w:pBdr>
      <w:spacing w:before="100" w:beforeAutospacing="1" w:after="100" w:afterAutospacing="1"/>
      <w:jc w:val="left"/>
      <w:textAlignment w:val="top"/>
    </w:pPr>
    <w:rPr>
      <w:rFonts w:eastAsia="Times New Roman"/>
      <w:sz w:val="18"/>
      <w:szCs w:val="18"/>
      <w:lang w:eastAsia="en-GB"/>
    </w:rPr>
  </w:style>
  <w:style w:type="character" w:customStyle="1" w:styleId="Heading5Char">
    <w:name w:val="Heading 5 Char"/>
    <w:basedOn w:val="DefaultParagraphFont"/>
    <w:link w:val="Heading5"/>
    <w:rPr>
      <w:rFonts w:ascii="Arial" w:eastAsia="Times New Roman" w:hAnsi="Arial" w:cs="Times New Roman"/>
      <w:szCs w:val="20"/>
      <w:lang w:val="bg-BG" w:eastAsia="fr-BE"/>
    </w:rPr>
  </w:style>
  <w:style w:type="character" w:customStyle="1" w:styleId="Heading6Char">
    <w:name w:val="Heading 6 Char"/>
    <w:basedOn w:val="DefaultParagraphFont"/>
    <w:link w:val="Heading6"/>
    <w:rPr>
      <w:rFonts w:ascii="Arial" w:eastAsia="Times New Roman" w:hAnsi="Arial" w:cs="Times New Roman"/>
      <w:i/>
      <w:szCs w:val="20"/>
      <w:lang w:val="bg-BG"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bg-BG"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bg-BG"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bg-BG" w:eastAsia="fr-BE"/>
    </w:rPr>
  </w:style>
  <w:style w:type="character" w:customStyle="1" w:styleId="NotDeclassifiedCharacter">
    <w:name w:val="Not Declassified Character"/>
    <w:basedOn w:val="DefaultParagraphFont"/>
    <w:rPr>
      <w:rFonts w:ascii="Times New Roman" w:hAnsi="Times New Roman" w:cs="Times New Roman"/>
      <w:b/>
      <w:sz w:val="24"/>
      <w:bdr w:val="single" w:sz="4" w:space="0" w:color="000000"/>
      <w:shd w:val="clear" w:color="auto" w:fill="CCCCCC"/>
    </w:rPr>
  </w:style>
  <w:style w:type="character" w:customStyle="1" w:styleId="ApplicationdirecteChar">
    <w:name w:val="Application directe Char"/>
    <w:rPr>
      <w:rFonts w:ascii="Times New Roman" w:hAnsi="Times New Roman" w:cs="Times New Roman"/>
      <w:sz w:val="24"/>
      <w:lang w:val="bg-BG"/>
    </w:rPr>
  </w:style>
  <w:style w:type="paragraph" w:customStyle="1" w:styleId="pj">
    <w:name w:val="p.j."/>
    <w:basedOn w:val="Normal"/>
    <w:link w:val="pjChar"/>
    <w:pPr>
      <w:spacing w:before="1200"/>
      <w:ind w:left="1440" w:hanging="1440"/>
      <w:jc w:val="left"/>
    </w:pPr>
    <w:rPr>
      <w:rFonts w:eastAsia="Calibri"/>
      <w:lang w:eastAsia="en-GB"/>
    </w:rPr>
  </w:style>
  <w:style w:type="character" w:customStyle="1" w:styleId="pjChar">
    <w:name w:val="p.j. Char"/>
    <w:link w:val="pj"/>
    <w:rPr>
      <w:rFonts w:ascii="Times New Roman" w:eastAsia="Calibri" w:hAnsi="Times New Roman" w:cs="Times New Roman"/>
      <w:sz w:val="24"/>
      <w:lang w:val="bg-BG" w:eastAsia="en-GB"/>
    </w:rPr>
  </w:style>
  <w:style w:type="paragraph" w:customStyle="1" w:styleId="ListNumber2Level2">
    <w:name w:val="List Number 2 (Level 2)"/>
    <w:basedOn w:val="Text2"/>
    <w:uiPriority w:val="99"/>
    <w:pPr>
      <w:tabs>
        <w:tab w:val="num" w:pos="2619"/>
      </w:tabs>
      <w:spacing w:before="0" w:after="240"/>
      <w:ind w:left="2619" w:hanging="708"/>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4"/>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26"/>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5"/>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bg-BG"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2"/>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3"/>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bg-BG"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bg-BG"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bg-BG"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bg-BG"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2"/>
      </w:numPr>
      <w:spacing w:before="0" w:after="24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bg-BG"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bg-BG" w:eastAsia="fr-BE"/>
    </w:rPr>
  </w:style>
  <w:style w:type="paragraph" w:customStyle="1" w:styleId="ListDash1">
    <w:name w:val="List Dash 1"/>
    <w:basedOn w:val="Text1"/>
    <w:uiPriority w:val="99"/>
    <w:pPr>
      <w:numPr>
        <w:numId w:val="33"/>
      </w:numPr>
      <w:spacing w:before="0" w:after="24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rPr>
  </w:style>
  <w:style w:type="character" w:customStyle="1" w:styleId="TitrearticleChar">
    <w:name w:val="Titre article Char"/>
    <w:rPr>
      <w:rFonts w:ascii="Times New Roman" w:hAnsi="Times New Roman" w:cs="Times New Roman"/>
      <w:i/>
      <w:sz w:val="24"/>
      <w:lang w:val="bg-BG"/>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4"/>
      </w:numPr>
      <w:spacing w:before="0" w:after="240"/>
    </w:pPr>
    <w:rPr>
      <w:rFonts w:eastAsia="Times New Roman"/>
      <w:szCs w:val="20"/>
    </w:rPr>
  </w:style>
  <w:style w:type="paragraph" w:customStyle="1" w:styleId="ListNumber1Level2">
    <w:name w:val="List Number 1 (Level 2)"/>
    <w:basedOn w:val="Text1"/>
    <w:uiPriority w:val="99"/>
    <w:pPr>
      <w:numPr>
        <w:ilvl w:val="1"/>
        <w:numId w:val="34"/>
      </w:numPr>
      <w:spacing w:before="0" w:after="240"/>
    </w:pPr>
    <w:rPr>
      <w:rFonts w:eastAsia="Times New Roman"/>
      <w:szCs w:val="20"/>
    </w:rPr>
  </w:style>
  <w:style w:type="paragraph" w:customStyle="1" w:styleId="ListNumber1Level3">
    <w:name w:val="List Number 1 (Level 3)"/>
    <w:basedOn w:val="Text1"/>
    <w:uiPriority w:val="99"/>
    <w:pPr>
      <w:numPr>
        <w:ilvl w:val="2"/>
        <w:numId w:val="34"/>
      </w:numPr>
      <w:spacing w:before="0" w:after="240"/>
    </w:pPr>
    <w:rPr>
      <w:rFonts w:eastAsia="Times New Roman"/>
      <w:szCs w:val="20"/>
    </w:rPr>
  </w:style>
  <w:style w:type="paragraph" w:customStyle="1" w:styleId="ListNumber1Level4">
    <w:name w:val="List Number 1 (Level 4)"/>
    <w:basedOn w:val="Text1"/>
    <w:uiPriority w:val="99"/>
    <w:pPr>
      <w:numPr>
        <w:ilvl w:val="3"/>
        <w:numId w:val="34"/>
      </w:numPr>
      <w:spacing w:before="0" w:after="240"/>
    </w:pPr>
    <w:rPr>
      <w:rFonts w:eastAsia="Times New Roman"/>
      <w:szCs w:val="20"/>
    </w:rPr>
  </w:style>
  <w:style w:type="numbering" w:customStyle="1" w:styleId="NoList11">
    <w:name w:val="No List11"/>
    <w:next w:val="NoList"/>
    <w:uiPriority w:val="99"/>
    <w:semiHidden/>
    <w:unhideWhenUsed/>
  </w:style>
  <w:style w:type="numbering" w:customStyle="1" w:styleId="NoList2">
    <w:name w:val="No List2"/>
    <w:next w:val="NoList"/>
    <w:uiPriority w:val="99"/>
    <w:semiHidden/>
    <w:unhideWhenUsed/>
  </w:style>
  <w:style w:type="numbering" w:customStyle="1" w:styleId="NoList111">
    <w:name w:val="No List111"/>
    <w:next w:val="NoList"/>
    <w:uiPriority w:val="99"/>
    <w:semiHidden/>
    <w:unhideWhenUsed/>
  </w:style>
  <w:style w:type="paragraph" w:customStyle="1" w:styleId="xl444">
    <w:name w:val="xl444"/>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5">
    <w:name w:val="xl445"/>
    <w:basedOn w:val="Normal"/>
    <w:uiPriority w:val="99"/>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46">
    <w:name w:val="xl44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47">
    <w:name w:val="xl44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448">
    <w:name w:val="xl448"/>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9">
    <w:name w:val="xl449"/>
    <w:basedOn w:val="Normal"/>
    <w:uiPriority w:val="99"/>
    <w:pPr>
      <w:pBdr>
        <w:bottom w:val="single" w:sz="8" w:space="0" w:color="000000"/>
      </w:pBdr>
      <w:spacing w:before="100" w:beforeAutospacing="1" w:after="100" w:afterAutospacing="1"/>
      <w:jc w:val="right"/>
    </w:pPr>
    <w:rPr>
      <w:rFonts w:eastAsia="Times New Roman"/>
      <w:i/>
      <w:iCs/>
      <w:color w:val="000000"/>
      <w:sz w:val="18"/>
      <w:szCs w:val="18"/>
      <w:lang w:eastAsia="en-GB"/>
    </w:rPr>
  </w:style>
  <w:style w:type="paragraph" w:customStyle="1" w:styleId="xl450">
    <w:name w:val="xl450"/>
    <w:basedOn w:val="Normal"/>
    <w:uiPriority w:val="99"/>
    <w:pPr>
      <w:pBdr>
        <w:bottom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451">
    <w:name w:val="xl451"/>
    <w:basedOn w:val="Normal"/>
    <w:uiPriority w:val="99"/>
    <w:pPr>
      <w:pBdr>
        <w:top w:val="single" w:sz="8" w:space="0" w:color="000000"/>
      </w:pBdr>
      <w:spacing w:before="100" w:beforeAutospacing="1" w:after="100" w:afterAutospacing="1"/>
      <w:jc w:val="left"/>
    </w:pPr>
    <w:rPr>
      <w:rFonts w:eastAsia="Times New Roman"/>
      <w:sz w:val="18"/>
      <w:szCs w:val="18"/>
      <w:lang w:eastAsia="en-GB"/>
    </w:rPr>
  </w:style>
  <w:style w:type="paragraph" w:customStyle="1" w:styleId="xl452">
    <w:name w:val="xl452"/>
    <w:basedOn w:val="Normal"/>
    <w:uiPriority w:val="99"/>
    <w:pPr>
      <w:pBdr>
        <w:top w:val="single" w:sz="8" w:space="0" w:color="000000"/>
      </w:pBdr>
      <w:spacing w:before="100" w:beforeAutospacing="1" w:after="100" w:afterAutospacing="1"/>
      <w:jc w:val="right"/>
    </w:pPr>
    <w:rPr>
      <w:rFonts w:eastAsia="Times New Roman"/>
      <w:sz w:val="18"/>
      <w:szCs w:val="18"/>
      <w:lang w:eastAsia="en-GB"/>
    </w:rPr>
  </w:style>
  <w:style w:type="paragraph" w:customStyle="1" w:styleId="xl453">
    <w:name w:val="xl453"/>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454">
    <w:name w:val="xl454"/>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455">
    <w:name w:val="xl455"/>
    <w:basedOn w:val="Normal"/>
    <w:uiPriority w:val="99"/>
    <w:pPr>
      <w:pBdr>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456">
    <w:name w:val="xl456"/>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457">
    <w:name w:val="xl457"/>
    <w:basedOn w:val="Normal"/>
    <w:uiPriority w:val="99"/>
    <w:pPr>
      <w:pBdr>
        <w:bottom w:val="single" w:sz="8" w:space="0" w:color="auto"/>
        <w:righ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58">
    <w:name w:val="xl458"/>
    <w:basedOn w:val="Normal"/>
    <w:uiPriority w:val="99"/>
    <w:pPr>
      <w:spacing w:before="100" w:beforeAutospacing="1" w:after="100" w:afterAutospacing="1"/>
      <w:jc w:val="right"/>
    </w:pPr>
    <w:rPr>
      <w:rFonts w:eastAsia="Times New Roman"/>
      <w:sz w:val="18"/>
      <w:szCs w:val="18"/>
      <w:lang w:eastAsia="en-GB"/>
    </w:rPr>
  </w:style>
  <w:style w:type="paragraph" w:customStyle="1" w:styleId="xl459">
    <w:name w:val="xl459"/>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60">
    <w:name w:val="xl460"/>
    <w:basedOn w:val="Normal"/>
    <w:uiPriority w:val="99"/>
    <w:pPr>
      <w:spacing w:before="100" w:beforeAutospacing="1" w:after="100" w:afterAutospacing="1"/>
      <w:jc w:val="left"/>
    </w:pPr>
    <w:rPr>
      <w:rFonts w:eastAsia="Times New Roman"/>
      <w:sz w:val="18"/>
      <w:szCs w:val="18"/>
      <w:lang w:eastAsia="en-GB"/>
    </w:rPr>
  </w:style>
  <w:style w:type="paragraph" w:customStyle="1" w:styleId="xl461">
    <w:name w:val="xl461"/>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462">
    <w:name w:val="xl462"/>
    <w:basedOn w:val="Normal"/>
    <w:uiPriority w:val="99"/>
    <w:pPr>
      <w:spacing w:before="100" w:beforeAutospacing="1" w:after="100" w:afterAutospacing="1"/>
      <w:jc w:val="right"/>
    </w:pPr>
    <w:rPr>
      <w:rFonts w:ascii="Calibri" w:eastAsia="Times New Roman" w:hAnsi="Calibri"/>
      <w:sz w:val="18"/>
      <w:szCs w:val="18"/>
      <w:lang w:eastAsia="en-GB"/>
    </w:rPr>
  </w:style>
  <w:style w:type="paragraph" w:customStyle="1" w:styleId="xl463">
    <w:name w:val="xl463"/>
    <w:basedOn w:val="Normal"/>
    <w:uiPriority w:val="99"/>
    <w:pPr>
      <w:pBdr>
        <w:top w:val="single" w:sz="8" w:space="0" w:color="000000"/>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4">
    <w:name w:val="xl464"/>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65">
    <w:name w:val="xl465"/>
    <w:basedOn w:val="Normal"/>
    <w:uiPriority w:val="99"/>
    <w:pPr>
      <w:pBdr>
        <w:left w:val="single" w:sz="8" w:space="0" w:color="000000"/>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6">
    <w:name w:val="xl46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67">
    <w:name w:val="xl467"/>
    <w:basedOn w:val="Normal"/>
    <w:uiPriority w:val="99"/>
    <w:pPr>
      <w:spacing w:before="100" w:beforeAutospacing="1" w:after="100" w:afterAutospacing="1"/>
      <w:jc w:val="left"/>
    </w:pPr>
    <w:rPr>
      <w:rFonts w:eastAsia="Times New Roman"/>
      <w:sz w:val="18"/>
      <w:szCs w:val="18"/>
      <w:lang w:eastAsia="en-GB"/>
    </w:rPr>
  </w:style>
  <w:style w:type="paragraph" w:customStyle="1" w:styleId="xl468">
    <w:name w:val="xl468"/>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69">
    <w:name w:val="xl469"/>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70">
    <w:name w:val="xl470"/>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71">
    <w:name w:val="xl471"/>
    <w:basedOn w:val="Normal"/>
    <w:uiPriority w:val="99"/>
    <w:pPr>
      <w:spacing w:before="100" w:beforeAutospacing="1" w:after="100" w:afterAutospacing="1"/>
      <w:jc w:val="right"/>
    </w:pPr>
    <w:rPr>
      <w:rFonts w:ascii="Calibri" w:eastAsia="Times New Roman" w:hAnsi="Calibri"/>
      <w:color w:val="000000"/>
      <w:sz w:val="16"/>
      <w:szCs w:val="16"/>
      <w:lang w:eastAsia="en-GB"/>
    </w:rPr>
  </w:style>
  <w:style w:type="paragraph" w:customStyle="1" w:styleId="xl472">
    <w:name w:val="xl47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73">
    <w:name w:val="xl473"/>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74">
    <w:name w:val="xl474"/>
    <w:basedOn w:val="Normal"/>
    <w:uiPriority w:val="99"/>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475">
    <w:name w:val="xl475"/>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76">
    <w:name w:val="xl476"/>
    <w:basedOn w:val="Normal"/>
    <w:uiPriority w:val="99"/>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477">
    <w:name w:val="xl477"/>
    <w:basedOn w:val="Normal"/>
    <w:uiPriority w:val="99"/>
    <w:pPr>
      <w:pBdr>
        <w:top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478">
    <w:name w:val="xl478"/>
    <w:basedOn w:val="Normal"/>
    <w:uiPriority w:val="99"/>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79">
    <w:name w:val="xl479"/>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0">
    <w:name w:val="xl480"/>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1">
    <w:name w:val="xl481"/>
    <w:basedOn w:val="Normal"/>
    <w:uiPriority w:val="99"/>
    <w:pPr>
      <w:spacing w:before="100" w:beforeAutospacing="1" w:after="100" w:afterAutospacing="1"/>
      <w:jc w:val="left"/>
    </w:pPr>
    <w:rPr>
      <w:rFonts w:eastAsia="Times New Roman"/>
      <w:b/>
      <w:bCs/>
      <w:sz w:val="18"/>
      <w:szCs w:val="18"/>
      <w:lang w:eastAsia="en-GB"/>
    </w:rPr>
  </w:style>
  <w:style w:type="paragraph" w:customStyle="1" w:styleId="xl482">
    <w:name w:val="xl4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83">
    <w:name w:val="xl4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4"/>
      <w:szCs w:val="14"/>
      <w:lang w:eastAsia="en-GB"/>
    </w:rPr>
  </w:style>
  <w:style w:type="paragraph" w:customStyle="1" w:styleId="xl484">
    <w:name w:val="xl4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5">
    <w:name w:val="xl48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6">
    <w:name w:val="xl4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7">
    <w:name w:val="xl48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14"/>
      <w:szCs w:val="14"/>
      <w:lang w:eastAsia="en-GB"/>
    </w:rPr>
  </w:style>
  <w:style w:type="paragraph" w:customStyle="1" w:styleId="xl488">
    <w:name w:val="xl48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9">
    <w:name w:val="xl48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90">
    <w:name w:val="xl49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4"/>
      <w:szCs w:val="14"/>
      <w:lang w:eastAsia="en-GB"/>
    </w:rPr>
  </w:style>
  <w:style w:type="paragraph" w:customStyle="1" w:styleId="xl491">
    <w:name w:val="xl49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4"/>
      <w:szCs w:val="14"/>
      <w:lang w:eastAsia="en-GB"/>
    </w:rPr>
  </w:style>
  <w:style w:type="paragraph" w:customStyle="1" w:styleId="xl492">
    <w:name w:val="xl492"/>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3">
    <w:name w:val="xl493"/>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494">
    <w:name w:val="xl494"/>
    <w:basedOn w:val="Normal"/>
    <w:uiPriority w:val="99"/>
    <w:pPr>
      <w:pBdr>
        <w:top w:val="single" w:sz="8" w:space="0" w:color="000000"/>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95">
    <w:name w:val="xl495"/>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6">
    <w:name w:val="xl49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497">
    <w:name w:val="xl497"/>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498">
    <w:name w:val="xl498"/>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99">
    <w:name w:val="xl499"/>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500">
    <w:name w:val="xl500"/>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01">
    <w:name w:val="xl501"/>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02">
    <w:name w:val="xl502"/>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03">
    <w:name w:val="xl503"/>
    <w:basedOn w:val="Normal"/>
    <w:uiPriority w:val="99"/>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04">
    <w:name w:val="xl504"/>
    <w:basedOn w:val="Normal"/>
    <w:uiPriority w:val="99"/>
    <w:pPr>
      <w:pBdr>
        <w:bottom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05">
    <w:name w:val="xl505"/>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06">
    <w:name w:val="xl506"/>
    <w:basedOn w:val="Normal"/>
    <w:uiPriority w:val="99"/>
    <w:pPr>
      <w:spacing w:before="100" w:beforeAutospacing="1" w:after="100" w:afterAutospacing="1"/>
      <w:jc w:val="right"/>
    </w:pPr>
    <w:rPr>
      <w:rFonts w:eastAsia="Times New Roman"/>
      <w:i/>
      <w:iCs/>
      <w:color w:val="000000"/>
      <w:sz w:val="18"/>
      <w:szCs w:val="18"/>
      <w:lang w:eastAsia="en-GB"/>
    </w:rPr>
  </w:style>
  <w:style w:type="paragraph" w:customStyle="1" w:styleId="xl507">
    <w:name w:val="xl507"/>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08">
    <w:name w:val="xl508"/>
    <w:basedOn w:val="Normal"/>
    <w:uiPriority w:val="99"/>
    <w:pPr>
      <w:pBdr>
        <w:bottom w:val="single" w:sz="8" w:space="0" w:color="auto"/>
      </w:pBdr>
      <w:spacing w:before="100" w:beforeAutospacing="1" w:after="100" w:afterAutospacing="1"/>
      <w:jc w:val="right"/>
    </w:pPr>
    <w:rPr>
      <w:rFonts w:eastAsia="Times New Roman"/>
      <w:i/>
      <w:iCs/>
      <w:color w:val="000000"/>
      <w:sz w:val="18"/>
      <w:szCs w:val="18"/>
      <w:lang w:eastAsia="en-GB"/>
    </w:rPr>
  </w:style>
  <w:style w:type="paragraph" w:customStyle="1" w:styleId="xl509">
    <w:name w:val="xl50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0">
    <w:name w:val="xl510"/>
    <w:basedOn w:val="Normal"/>
    <w:uiPriority w:val="99"/>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1">
    <w:name w:val="xl511"/>
    <w:basedOn w:val="Normal"/>
    <w:uiPriority w:val="99"/>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2">
    <w:name w:val="xl512"/>
    <w:basedOn w:val="Normal"/>
    <w:uiPriority w:val="99"/>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3">
    <w:name w:val="xl513"/>
    <w:basedOn w:val="Normal"/>
    <w:uiPriority w:val="99"/>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4">
    <w:name w:val="xl514"/>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5">
    <w:name w:val="xl515"/>
    <w:basedOn w:val="Normal"/>
    <w:uiPriority w:val="99"/>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6">
    <w:name w:val="xl516"/>
    <w:basedOn w:val="Normal"/>
    <w:uiPriority w:val="99"/>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7">
    <w:name w:val="xl5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18">
    <w:name w:val="xl518"/>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
    <w:name w:val="xl519"/>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
    <w:name w:val="xl520"/>
    <w:basedOn w:val="Normal"/>
    <w:uiPriority w:val="99"/>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1">
    <w:name w:val="xl521"/>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2">
    <w:name w:val="xl52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3">
    <w:name w:val="xl523"/>
    <w:basedOn w:val="Normal"/>
    <w:uiPriority w:val="99"/>
    <w:pPr>
      <w:spacing w:before="100" w:beforeAutospacing="1" w:after="100" w:afterAutospacing="1"/>
      <w:jc w:val="right"/>
    </w:pPr>
    <w:rPr>
      <w:rFonts w:eastAsia="Times New Roman"/>
      <w:sz w:val="18"/>
      <w:szCs w:val="18"/>
      <w:lang w:eastAsia="en-GB"/>
    </w:rPr>
  </w:style>
  <w:style w:type="paragraph" w:customStyle="1" w:styleId="xl524">
    <w:name w:val="xl524"/>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5">
    <w:name w:val="xl52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26">
    <w:name w:val="xl526"/>
    <w:basedOn w:val="Normal"/>
    <w:uiPriority w:val="99"/>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7">
    <w:name w:val="xl52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28">
    <w:name w:val="xl528"/>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9">
    <w:name w:val="xl529"/>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30">
    <w:name w:val="xl530"/>
    <w:basedOn w:val="Normal"/>
    <w:uiPriority w:val="99"/>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31">
    <w:name w:val="xl531"/>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32">
    <w:name w:val="xl53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33">
    <w:name w:val="xl533"/>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34">
    <w:name w:val="xl53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35">
    <w:name w:val="xl535"/>
    <w:basedOn w:val="Normal"/>
    <w:uiPriority w:val="99"/>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36">
    <w:name w:val="xl536"/>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37">
    <w:name w:val="xl537"/>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38">
    <w:name w:val="xl538"/>
    <w:basedOn w:val="Normal"/>
    <w:uiPriority w:val="99"/>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39">
    <w:name w:val="xl539"/>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40">
    <w:name w:val="xl540"/>
    <w:basedOn w:val="Normal"/>
    <w:uiPriority w:val="99"/>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41">
    <w:name w:val="xl54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42">
    <w:name w:val="xl54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43">
    <w:name w:val="xl54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4">
    <w:name w:val="xl54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5">
    <w:name w:val="xl54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46">
    <w:name w:val="xl546"/>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47">
    <w:name w:val="xl54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48">
    <w:name w:val="xl54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49">
    <w:name w:val="xl5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0">
    <w:name w:val="xl5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1">
    <w:name w:val="xl551"/>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2">
    <w:name w:val="xl55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53">
    <w:name w:val="xl553"/>
    <w:basedOn w:val="Normal"/>
    <w:uiPriority w:val="99"/>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54">
    <w:name w:val="xl554"/>
    <w:basedOn w:val="Normal"/>
    <w:uiPriority w:val="99"/>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55">
    <w:name w:val="xl555"/>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6">
    <w:name w:val="xl556"/>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7">
    <w:name w:val="xl557"/>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8">
    <w:name w:val="xl558"/>
    <w:basedOn w:val="Normal"/>
    <w:uiPriority w:val="99"/>
    <w:pPr>
      <w:spacing w:before="100" w:beforeAutospacing="1" w:after="100" w:afterAutospacing="1"/>
      <w:jc w:val="left"/>
    </w:pPr>
    <w:rPr>
      <w:rFonts w:ascii="Calibri" w:eastAsia="Times New Roman" w:hAnsi="Calibri"/>
      <w:b/>
      <w:bCs/>
      <w:sz w:val="12"/>
      <w:szCs w:val="12"/>
      <w:lang w:eastAsia="en-GB"/>
    </w:rPr>
  </w:style>
  <w:style w:type="paragraph" w:customStyle="1" w:styleId="xl559">
    <w:name w:val="xl559"/>
    <w:basedOn w:val="Normal"/>
    <w:uiPriority w:val="99"/>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0">
    <w:name w:val="xl560"/>
    <w:basedOn w:val="Normal"/>
    <w:uiPriority w:val="99"/>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1">
    <w:name w:val="xl561"/>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2">
    <w:name w:val="xl562"/>
    <w:basedOn w:val="Normal"/>
    <w:uiPriority w:val="99"/>
    <w:pPr>
      <w:spacing w:before="100" w:beforeAutospacing="1" w:after="100" w:afterAutospacing="1"/>
      <w:jc w:val="center"/>
    </w:pPr>
    <w:rPr>
      <w:rFonts w:eastAsia="Times New Roman"/>
      <w:color w:val="000000"/>
      <w:sz w:val="12"/>
      <w:szCs w:val="12"/>
      <w:lang w:eastAsia="en-GB"/>
    </w:rPr>
  </w:style>
  <w:style w:type="paragraph" w:customStyle="1" w:styleId="xl563">
    <w:name w:val="xl563"/>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64">
    <w:name w:val="xl564"/>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5">
    <w:name w:val="xl565"/>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6">
    <w:name w:val="xl566"/>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7">
    <w:name w:val="xl567"/>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8">
    <w:name w:val="xl568"/>
    <w:basedOn w:val="Normal"/>
    <w:uiPriority w:val="99"/>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69">
    <w:name w:val="xl569"/>
    <w:basedOn w:val="Normal"/>
    <w:uiPriority w:val="99"/>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70">
    <w:name w:val="xl570"/>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71">
    <w:name w:val="xl57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72">
    <w:name w:val="xl57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73">
    <w:name w:val="xl573"/>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4">
    <w:name w:val="xl574"/>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5">
    <w:name w:val="xl575"/>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576">
    <w:name w:val="xl57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77">
    <w:name w:val="xl577"/>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78">
    <w:name w:val="xl578"/>
    <w:basedOn w:val="Normal"/>
    <w:uiPriority w:val="99"/>
    <w:pPr>
      <w:spacing w:before="100" w:beforeAutospacing="1" w:after="100" w:afterAutospacing="1"/>
      <w:jc w:val="right"/>
    </w:pPr>
    <w:rPr>
      <w:rFonts w:eastAsia="Times New Roman"/>
      <w:sz w:val="18"/>
      <w:szCs w:val="18"/>
      <w:lang w:eastAsia="en-GB"/>
    </w:rPr>
  </w:style>
  <w:style w:type="paragraph" w:customStyle="1" w:styleId="xl579">
    <w:name w:val="xl57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80">
    <w:name w:val="xl58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81">
    <w:name w:val="xl581"/>
    <w:basedOn w:val="Normal"/>
    <w:uiPriority w:val="99"/>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82">
    <w:name w:val="xl582"/>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83">
    <w:name w:val="xl583"/>
    <w:basedOn w:val="Normal"/>
    <w:uiPriority w:val="99"/>
    <w:pPr>
      <w:spacing w:before="100" w:beforeAutospacing="1" w:after="100" w:afterAutospacing="1"/>
      <w:jc w:val="right"/>
    </w:pPr>
    <w:rPr>
      <w:rFonts w:eastAsia="Times New Roman"/>
      <w:sz w:val="18"/>
      <w:szCs w:val="18"/>
      <w:lang w:eastAsia="en-GB"/>
    </w:rPr>
  </w:style>
  <w:style w:type="paragraph" w:customStyle="1" w:styleId="xl584">
    <w:name w:val="xl58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85">
    <w:name w:val="xl585"/>
    <w:basedOn w:val="Normal"/>
    <w:uiPriority w:val="99"/>
    <w:pPr>
      <w:spacing w:before="100" w:beforeAutospacing="1" w:after="100" w:afterAutospacing="1"/>
      <w:jc w:val="left"/>
    </w:pPr>
    <w:rPr>
      <w:rFonts w:eastAsia="Times New Roman"/>
      <w:sz w:val="18"/>
      <w:szCs w:val="18"/>
      <w:lang w:eastAsia="en-GB"/>
    </w:rPr>
  </w:style>
  <w:style w:type="paragraph" w:customStyle="1" w:styleId="xl586">
    <w:name w:val="xl58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87">
    <w:name w:val="xl587"/>
    <w:basedOn w:val="Normal"/>
    <w:uiPriority w:val="99"/>
    <w:pPr>
      <w:spacing w:before="100" w:beforeAutospacing="1" w:after="100" w:afterAutospacing="1"/>
      <w:jc w:val="left"/>
    </w:pPr>
    <w:rPr>
      <w:rFonts w:eastAsia="Times New Roman"/>
      <w:i/>
      <w:iCs/>
      <w:color w:val="000000"/>
      <w:sz w:val="18"/>
      <w:szCs w:val="18"/>
      <w:lang w:eastAsia="en-GB"/>
    </w:rPr>
  </w:style>
  <w:style w:type="paragraph" w:customStyle="1" w:styleId="xl588">
    <w:name w:val="xl588"/>
    <w:basedOn w:val="Normal"/>
    <w:uiPriority w:val="99"/>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89">
    <w:name w:val="xl589"/>
    <w:basedOn w:val="Normal"/>
    <w:uiPriority w:val="99"/>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0">
    <w:name w:val="xl590"/>
    <w:basedOn w:val="Normal"/>
    <w:uiPriority w:val="99"/>
    <w:pPr>
      <w:spacing w:before="100" w:beforeAutospacing="1" w:after="100" w:afterAutospacing="1"/>
      <w:jc w:val="right"/>
    </w:pPr>
    <w:rPr>
      <w:rFonts w:eastAsia="Times New Roman"/>
      <w:color w:val="000000"/>
      <w:sz w:val="12"/>
      <w:szCs w:val="12"/>
      <w:lang w:eastAsia="en-GB"/>
    </w:rPr>
  </w:style>
  <w:style w:type="paragraph" w:customStyle="1" w:styleId="xl591">
    <w:name w:val="xl591"/>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2">
    <w:name w:val="xl592"/>
    <w:basedOn w:val="Normal"/>
    <w:uiPriority w:val="99"/>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3">
    <w:name w:val="xl593"/>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4">
    <w:name w:val="xl59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95">
    <w:name w:val="xl595"/>
    <w:basedOn w:val="Normal"/>
    <w:uiPriority w:val="99"/>
    <w:pPr>
      <w:spacing w:before="100" w:beforeAutospacing="1" w:after="100" w:afterAutospacing="1"/>
      <w:jc w:val="right"/>
    </w:pPr>
    <w:rPr>
      <w:rFonts w:eastAsia="Times New Roman"/>
      <w:sz w:val="18"/>
      <w:szCs w:val="18"/>
      <w:lang w:eastAsia="en-GB"/>
    </w:rPr>
  </w:style>
  <w:style w:type="paragraph" w:customStyle="1" w:styleId="xl596">
    <w:name w:val="xl59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97">
    <w:name w:val="xl59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98">
    <w:name w:val="xl59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9">
    <w:name w:val="xl5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600">
    <w:name w:val="xl600"/>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1">
    <w:name w:val="xl601"/>
    <w:basedOn w:val="Normal"/>
    <w:uiPriority w:val="99"/>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602">
    <w:name w:val="xl602"/>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3">
    <w:name w:val="xl603"/>
    <w:basedOn w:val="Normal"/>
    <w:uiPriority w:val="99"/>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4">
    <w:name w:val="xl604"/>
    <w:basedOn w:val="Normal"/>
    <w:uiPriority w:val="99"/>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5">
    <w:name w:val="xl605"/>
    <w:basedOn w:val="Normal"/>
    <w:uiPriority w:val="99"/>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6">
    <w:name w:val="xl606"/>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607">
    <w:name w:val="xl607"/>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8">
    <w:name w:val="xl608"/>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9">
    <w:name w:val="xl609"/>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0">
    <w:name w:val="xl610"/>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1">
    <w:name w:val="xl611"/>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612">
    <w:name w:val="xl612"/>
    <w:basedOn w:val="Normal"/>
    <w:uiPriority w:val="99"/>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613">
    <w:name w:val="xl613"/>
    <w:basedOn w:val="Normal"/>
    <w:uiPriority w:val="99"/>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614">
    <w:name w:val="xl61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15">
    <w:name w:val="xl615"/>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6">
    <w:name w:val="xl61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7">
    <w:name w:val="xl6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18">
    <w:name w:val="xl618"/>
    <w:basedOn w:val="Normal"/>
    <w:uiPriority w:val="99"/>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619">
    <w:name w:val="xl61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0">
    <w:name w:val="xl620"/>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1">
    <w:name w:val="xl62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22">
    <w:name w:val="xl622"/>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23">
    <w:name w:val="xl623"/>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4">
    <w:name w:val="xl624"/>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5">
    <w:name w:val="xl625"/>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6">
    <w:name w:val="xl626"/>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7">
    <w:name w:val="xl627"/>
    <w:basedOn w:val="Normal"/>
    <w:uiPriority w:val="99"/>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628">
    <w:name w:val="xl628"/>
    <w:basedOn w:val="Normal"/>
    <w:uiPriority w:val="99"/>
    <w:pPr>
      <w:spacing w:before="100" w:beforeAutospacing="1" w:after="100" w:afterAutospacing="1"/>
      <w:jc w:val="left"/>
    </w:pPr>
    <w:rPr>
      <w:rFonts w:eastAsia="Times New Roman"/>
      <w:sz w:val="18"/>
      <w:szCs w:val="18"/>
      <w:lang w:eastAsia="en-GB"/>
    </w:rPr>
  </w:style>
  <w:style w:type="paragraph" w:customStyle="1" w:styleId="xl629">
    <w:name w:val="xl62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30">
    <w:name w:val="xl630"/>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631">
    <w:name w:val="xl631"/>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32">
    <w:name w:val="xl63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3">
    <w:name w:val="xl633"/>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4">
    <w:name w:val="xl634"/>
    <w:basedOn w:val="Normal"/>
    <w:uiPriority w:val="99"/>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5">
    <w:name w:val="xl635"/>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6">
    <w:name w:val="xl636"/>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7">
    <w:name w:val="xl637"/>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8">
    <w:name w:val="xl638"/>
    <w:basedOn w:val="Normal"/>
    <w:uiPriority w:val="99"/>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9">
    <w:name w:val="xl639"/>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40">
    <w:name w:val="xl640"/>
    <w:basedOn w:val="Normal"/>
    <w:uiPriority w:val="99"/>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41">
    <w:name w:val="xl641"/>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42">
    <w:name w:val="xl64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3">
    <w:name w:val="xl643"/>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4">
    <w:name w:val="xl644"/>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45">
    <w:name w:val="xl645"/>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46">
    <w:name w:val="xl646"/>
    <w:basedOn w:val="Normal"/>
    <w:uiPriority w:val="99"/>
    <w:pPr>
      <w:pBdr>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7">
    <w:name w:val="xl647"/>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8">
    <w:name w:val="xl648"/>
    <w:basedOn w:val="Normal"/>
    <w:uiPriority w:val="99"/>
    <w:pPr>
      <w:pBdr>
        <w:left w:val="single" w:sz="4" w:space="0" w:color="auto"/>
        <w:right w:val="single" w:sz="4" w:space="0" w:color="auto"/>
      </w:pBdr>
      <w:spacing w:before="100" w:beforeAutospacing="1" w:after="100" w:afterAutospacing="1"/>
      <w:jc w:val="right"/>
    </w:pPr>
    <w:rPr>
      <w:rFonts w:eastAsia="Times New Roman"/>
      <w:szCs w:val="24"/>
      <w:lang w:eastAsia="en-GB"/>
    </w:rPr>
  </w:style>
  <w:style w:type="paragraph" w:customStyle="1" w:styleId="xl649">
    <w:name w:val="xl64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0">
    <w:name w:val="xl650"/>
    <w:basedOn w:val="Normal"/>
    <w:uiPriority w:val="99"/>
    <w:pPr>
      <w:pBdr>
        <w:top w:val="single" w:sz="8" w:space="0" w:color="auto"/>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1">
    <w:name w:val="xl651"/>
    <w:basedOn w:val="Normal"/>
    <w:uiPriority w:val="99"/>
    <w:pPr>
      <w:pBdr>
        <w:left w:val="single" w:sz="4"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52">
    <w:name w:val="xl652"/>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3">
    <w:name w:val="xl653"/>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54">
    <w:name w:val="xl65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55">
    <w:name w:val="xl655"/>
    <w:basedOn w:val="Normal"/>
    <w:uiPriority w:val="99"/>
    <w:pPr>
      <w:pBdr>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6">
    <w:name w:val="xl656"/>
    <w:basedOn w:val="Normal"/>
    <w:uiPriority w:val="99"/>
    <w:pPr>
      <w:pBdr>
        <w:left w:val="single" w:sz="4" w:space="0" w:color="auto"/>
        <w:bottom w:val="single" w:sz="8" w:space="0" w:color="auto"/>
      </w:pBdr>
      <w:shd w:val="clear" w:color="auto" w:fill="FFFF00"/>
      <w:spacing w:before="100" w:beforeAutospacing="1" w:after="100" w:afterAutospacing="1"/>
      <w:jc w:val="left"/>
    </w:pPr>
    <w:rPr>
      <w:rFonts w:eastAsia="Times New Roman"/>
      <w:color w:val="000000"/>
      <w:sz w:val="18"/>
      <w:szCs w:val="18"/>
      <w:lang w:eastAsia="en-GB"/>
    </w:rPr>
  </w:style>
  <w:style w:type="paragraph" w:customStyle="1" w:styleId="xl657">
    <w:name w:val="xl657"/>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8">
    <w:name w:val="xl658"/>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9">
    <w:name w:val="xl659"/>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60">
    <w:name w:val="xl660"/>
    <w:basedOn w:val="Normal"/>
    <w:uiPriority w:val="99"/>
    <w:pPr>
      <w:pBdr>
        <w:top w:val="single" w:sz="8" w:space="0" w:color="000000"/>
        <w:left w:val="single" w:sz="4" w:space="0" w:color="auto"/>
      </w:pBdr>
      <w:spacing w:before="100" w:beforeAutospacing="1" w:after="100" w:afterAutospacing="1"/>
      <w:jc w:val="left"/>
    </w:pPr>
    <w:rPr>
      <w:rFonts w:eastAsia="Times New Roman"/>
      <w:sz w:val="18"/>
      <w:szCs w:val="18"/>
      <w:lang w:eastAsia="en-GB"/>
    </w:rPr>
  </w:style>
  <w:style w:type="paragraph" w:customStyle="1" w:styleId="xl661">
    <w:name w:val="xl661"/>
    <w:basedOn w:val="Normal"/>
    <w:uiPriority w:val="99"/>
    <w:pPr>
      <w:pBdr>
        <w:left w:val="single" w:sz="4" w:space="0" w:color="auto"/>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662">
    <w:name w:val="xl662"/>
    <w:basedOn w:val="Normal"/>
    <w:uiPriority w:val="99"/>
    <w:pPr>
      <w:pBdr>
        <w:top w:val="single" w:sz="8" w:space="0" w:color="000000"/>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3">
    <w:name w:val="xl663"/>
    <w:basedOn w:val="Normal"/>
    <w:uiPriority w:val="99"/>
    <w:pPr>
      <w:pBdr>
        <w:left w:val="single" w:sz="4" w:space="0" w:color="auto"/>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64">
    <w:name w:val="xl664"/>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65">
    <w:name w:val="xl665"/>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66">
    <w:name w:val="xl666"/>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67">
    <w:name w:val="xl667"/>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8">
    <w:name w:val="xl668"/>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9">
    <w:name w:val="xl66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0">
    <w:name w:val="xl670"/>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1">
    <w:name w:val="xl671"/>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72">
    <w:name w:val="xl672"/>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73">
    <w:name w:val="xl673"/>
    <w:basedOn w:val="Normal"/>
    <w:uiPriority w:val="99"/>
    <w:pPr>
      <w:pBdr>
        <w:top w:val="single" w:sz="8"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74">
    <w:name w:val="xl67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75">
    <w:name w:val="xl675"/>
    <w:basedOn w:val="Normal"/>
    <w:uiPriority w:val="99"/>
    <w:pPr>
      <w:pBdr>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DESignature">
    <w:name w:val="DE Signature"/>
    <w:basedOn w:val="Normal"/>
    <w:next w:val="Normal"/>
    <w:uiPriority w:val="99"/>
    <w:pPr>
      <w:tabs>
        <w:tab w:val="center" w:pos="5953"/>
      </w:tabs>
      <w:spacing w:before="720" w:line="360" w:lineRule="auto"/>
      <w:jc w:val="left"/>
    </w:pPr>
  </w:style>
  <w:style w:type="paragraph" w:customStyle="1" w:styleId="xl51867">
    <w:name w:val="xl5186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8">
    <w:name w:val="xl5186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9">
    <w:name w:val="xl5186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0">
    <w:name w:val="xl51870"/>
    <w:basedOn w:val="Normal"/>
    <w:pPr>
      <w:spacing w:before="100" w:beforeAutospacing="1" w:after="100" w:afterAutospacing="1"/>
      <w:jc w:val="left"/>
    </w:pPr>
    <w:rPr>
      <w:rFonts w:eastAsia="Times New Roman"/>
      <w:color w:val="000000"/>
      <w:sz w:val="18"/>
      <w:szCs w:val="18"/>
      <w:lang w:eastAsia="en-GB"/>
    </w:rPr>
  </w:style>
  <w:style w:type="paragraph" w:customStyle="1" w:styleId="xl51871">
    <w:name w:val="xl51871"/>
    <w:basedOn w:val="Normal"/>
    <w:pPr>
      <w:spacing w:before="100" w:beforeAutospacing="1" w:after="100" w:afterAutospacing="1"/>
      <w:jc w:val="left"/>
    </w:pPr>
    <w:rPr>
      <w:rFonts w:eastAsia="Times New Roman"/>
      <w:sz w:val="18"/>
      <w:szCs w:val="18"/>
      <w:lang w:eastAsia="en-GB"/>
    </w:rPr>
  </w:style>
  <w:style w:type="paragraph" w:customStyle="1" w:styleId="xl51872">
    <w:name w:val="xl51872"/>
    <w:basedOn w:val="Normal"/>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1873">
    <w:name w:val="xl51873"/>
    <w:basedOn w:val="Normal"/>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4">
    <w:name w:val="xl51874"/>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875">
    <w:name w:val="xl51875"/>
    <w:basedOn w:val="Normal"/>
    <w:pPr>
      <w:spacing w:before="100" w:beforeAutospacing="1" w:after="100" w:afterAutospacing="1"/>
      <w:jc w:val="left"/>
    </w:pPr>
    <w:rPr>
      <w:rFonts w:ascii="Calibri" w:eastAsia="Times New Roman" w:hAnsi="Calibri"/>
      <w:color w:val="000000"/>
      <w:sz w:val="18"/>
      <w:szCs w:val="18"/>
      <w:lang w:eastAsia="en-GB"/>
    </w:rPr>
  </w:style>
  <w:style w:type="paragraph" w:customStyle="1" w:styleId="xl51876">
    <w:name w:val="xl5187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7">
    <w:name w:val="xl51877"/>
    <w:basedOn w:val="Normal"/>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8">
    <w:name w:val="xl51878"/>
    <w:basedOn w:val="Normal"/>
    <w:pPr>
      <w:spacing w:before="100" w:beforeAutospacing="1" w:after="100" w:afterAutospacing="1"/>
      <w:jc w:val="left"/>
    </w:pPr>
    <w:rPr>
      <w:rFonts w:eastAsia="Times New Roman"/>
      <w:color w:val="000000"/>
      <w:sz w:val="18"/>
      <w:szCs w:val="18"/>
      <w:lang w:eastAsia="en-GB"/>
    </w:rPr>
  </w:style>
  <w:style w:type="paragraph" w:customStyle="1" w:styleId="xl51879">
    <w:name w:val="xl51879"/>
    <w:basedOn w:val="Normal"/>
    <w:pPr>
      <w:spacing w:before="100" w:beforeAutospacing="1" w:after="100" w:afterAutospacing="1"/>
      <w:jc w:val="left"/>
    </w:pPr>
    <w:rPr>
      <w:rFonts w:eastAsia="Times New Roman"/>
      <w:color w:val="000000"/>
      <w:sz w:val="18"/>
      <w:szCs w:val="18"/>
      <w:lang w:eastAsia="en-GB"/>
    </w:rPr>
  </w:style>
  <w:style w:type="paragraph" w:customStyle="1" w:styleId="xl51880">
    <w:name w:val="xl51880"/>
    <w:basedOn w:val="Normal"/>
    <w:pPr>
      <w:spacing w:before="100" w:beforeAutospacing="1" w:after="100" w:afterAutospacing="1"/>
      <w:jc w:val="left"/>
    </w:pPr>
    <w:rPr>
      <w:rFonts w:eastAsia="Times New Roman"/>
      <w:color w:val="000000"/>
      <w:sz w:val="18"/>
      <w:szCs w:val="18"/>
      <w:lang w:eastAsia="en-GB"/>
    </w:rPr>
  </w:style>
  <w:style w:type="paragraph" w:customStyle="1" w:styleId="xl51881">
    <w:name w:val="xl51881"/>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2">
    <w:name w:val="xl51882"/>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3">
    <w:name w:val="xl51883"/>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4">
    <w:name w:val="xl51884"/>
    <w:basedOn w:val="Normal"/>
    <w:pPr>
      <w:pBdr>
        <w:top w:val="single" w:sz="8" w:space="0" w:color="auto"/>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5">
    <w:name w:val="xl5188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6">
    <w:name w:val="xl5188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7">
    <w:name w:val="xl5188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8">
    <w:name w:val="xl51888"/>
    <w:basedOn w:val="Normal"/>
    <w:pPr>
      <w:pBdr>
        <w:left w:val="single" w:sz="8"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9">
    <w:name w:val="xl51889"/>
    <w:basedOn w:val="Normal"/>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1890">
    <w:name w:val="xl51890"/>
    <w:basedOn w:val="Normal"/>
    <w:pPr>
      <w:spacing w:before="100" w:beforeAutospacing="1" w:after="100" w:afterAutospacing="1"/>
      <w:jc w:val="right"/>
    </w:pPr>
    <w:rPr>
      <w:rFonts w:eastAsia="Times New Roman"/>
      <w:color w:val="000000"/>
      <w:sz w:val="18"/>
      <w:szCs w:val="18"/>
      <w:lang w:eastAsia="en-GB"/>
    </w:rPr>
  </w:style>
  <w:style w:type="paragraph" w:customStyle="1" w:styleId="xl51891">
    <w:name w:val="xl51891"/>
    <w:basedOn w:val="Normal"/>
    <w:pPr>
      <w:spacing w:before="100" w:beforeAutospacing="1" w:after="100" w:afterAutospacing="1"/>
      <w:jc w:val="right"/>
    </w:pPr>
    <w:rPr>
      <w:rFonts w:eastAsia="Times New Roman"/>
      <w:color w:val="000000"/>
      <w:sz w:val="18"/>
      <w:szCs w:val="18"/>
      <w:lang w:eastAsia="en-GB"/>
    </w:rPr>
  </w:style>
  <w:style w:type="paragraph" w:customStyle="1" w:styleId="xl51892">
    <w:name w:val="xl51892"/>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3">
    <w:name w:val="xl51893"/>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894">
    <w:name w:val="xl51894"/>
    <w:basedOn w:val="Normal"/>
    <w:pPr>
      <w:spacing w:before="100" w:beforeAutospacing="1" w:after="100" w:afterAutospacing="1"/>
      <w:jc w:val="left"/>
    </w:pPr>
    <w:rPr>
      <w:rFonts w:eastAsia="Times New Roman"/>
      <w:color w:val="000000"/>
      <w:sz w:val="18"/>
      <w:szCs w:val="18"/>
      <w:lang w:eastAsia="en-GB"/>
    </w:rPr>
  </w:style>
  <w:style w:type="paragraph" w:customStyle="1" w:styleId="xl51895">
    <w:name w:val="xl5189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96">
    <w:name w:val="xl51896"/>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7">
    <w:name w:val="xl51897"/>
    <w:basedOn w:val="Normal"/>
    <w:pPr>
      <w:spacing w:before="100" w:beforeAutospacing="1" w:after="100" w:afterAutospacing="1"/>
      <w:jc w:val="left"/>
    </w:pPr>
    <w:rPr>
      <w:rFonts w:eastAsia="Times New Roman"/>
      <w:sz w:val="18"/>
      <w:szCs w:val="18"/>
      <w:lang w:eastAsia="en-GB"/>
    </w:rPr>
  </w:style>
  <w:style w:type="paragraph" w:customStyle="1" w:styleId="xl51898">
    <w:name w:val="xl51898"/>
    <w:basedOn w:val="Normal"/>
    <w:pPr>
      <w:spacing w:before="100" w:beforeAutospacing="1" w:after="100" w:afterAutospacing="1"/>
      <w:jc w:val="right"/>
    </w:pPr>
    <w:rPr>
      <w:rFonts w:eastAsia="Times New Roman"/>
      <w:sz w:val="18"/>
      <w:szCs w:val="18"/>
      <w:lang w:eastAsia="en-GB"/>
    </w:rPr>
  </w:style>
  <w:style w:type="paragraph" w:customStyle="1" w:styleId="xl51899">
    <w:name w:val="xl5189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00">
    <w:name w:val="xl5190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01">
    <w:name w:val="xl51901"/>
    <w:basedOn w:val="Normal"/>
    <w:pPr>
      <w:spacing w:before="100" w:beforeAutospacing="1" w:after="100" w:afterAutospacing="1"/>
      <w:jc w:val="left"/>
    </w:pPr>
    <w:rPr>
      <w:rFonts w:eastAsia="Times New Roman"/>
      <w:color w:val="FF0000"/>
      <w:sz w:val="18"/>
      <w:szCs w:val="18"/>
      <w:lang w:eastAsia="en-GB"/>
    </w:rPr>
  </w:style>
  <w:style w:type="paragraph" w:customStyle="1" w:styleId="xl51902">
    <w:name w:val="xl51902"/>
    <w:basedOn w:val="Normal"/>
    <w:pPr>
      <w:spacing w:before="100" w:beforeAutospacing="1" w:after="100" w:afterAutospacing="1"/>
      <w:jc w:val="right"/>
    </w:pPr>
    <w:rPr>
      <w:rFonts w:eastAsia="Times New Roman"/>
      <w:color w:val="FF0000"/>
      <w:sz w:val="18"/>
      <w:szCs w:val="18"/>
      <w:lang w:eastAsia="en-GB"/>
    </w:rPr>
  </w:style>
  <w:style w:type="paragraph" w:customStyle="1" w:styleId="xl51903">
    <w:name w:val="xl51903"/>
    <w:basedOn w:val="Normal"/>
    <w:pPr>
      <w:spacing w:before="100" w:beforeAutospacing="1" w:after="100" w:afterAutospacing="1"/>
      <w:jc w:val="left"/>
    </w:pPr>
    <w:rPr>
      <w:rFonts w:eastAsia="Times New Roman"/>
      <w:b/>
      <w:bCs/>
      <w:color w:val="FF0000"/>
      <w:sz w:val="18"/>
      <w:szCs w:val="18"/>
      <w:lang w:eastAsia="en-GB"/>
    </w:rPr>
  </w:style>
  <w:style w:type="paragraph" w:customStyle="1" w:styleId="xl51904">
    <w:name w:val="xl51904"/>
    <w:basedOn w:val="Normal"/>
    <w:pPr>
      <w:spacing w:before="100" w:beforeAutospacing="1" w:after="100" w:afterAutospacing="1"/>
      <w:jc w:val="left"/>
    </w:pPr>
    <w:rPr>
      <w:rFonts w:eastAsia="Times New Roman"/>
      <w:b/>
      <w:bCs/>
      <w:color w:val="000000"/>
      <w:sz w:val="18"/>
      <w:szCs w:val="18"/>
      <w:lang w:eastAsia="en-GB"/>
    </w:rPr>
  </w:style>
  <w:style w:type="paragraph" w:customStyle="1" w:styleId="xl51905">
    <w:name w:val="xl51905"/>
    <w:basedOn w:val="Normal"/>
    <w:pPr>
      <w:spacing w:before="100" w:beforeAutospacing="1" w:after="100" w:afterAutospacing="1"/>
      <w:jc w:val="left"/>
    </w:pPr>
    <w:rPr>
      <w:rFonts w:eastAsia="Times New Roman"/>
      <w:b/>
      <w:bCs/>
      <w:sz w:val="18"/>
      <w:szCs w:val="18"/>
      <w:lang w:eastAsia="en-GB"/>
    </w:rPr>
  </w:style>
  <w:style w:type="paragraph" w:customStyle="1" w:styleId="xl51906">
    <w:name w:val="xl51906"/>
    <w:basedOn w:val="Normal"/>
    <w:pPr>
      <w:spacing w:before="100" w:beforeAutospacing="1" w:after="100" w:afterAutospacing="1"/>
      <w:jc w:val="left"/>
    </w:pPr>
    <w:rPr>
      <w:rFonts w:eastAsia="Times New Roman"/>
      <w:sz w:val="18"/>
      <w:szCs w:val="18"/>
      <w:lang w:eastAsia="en-GB"/>
    </w:rPr>
  </w:style>
  <w:style w:type="paragraph" w:customStyle="1" w:styleId="xl51907">
    <w:name w:val="xl51907"/>
    <w:basedOn w:val="Normal"/>
    <w:pPr>
      <w:spacing w:before="100" w:beforeAutospacing="1" w:after="100" w:afterAutospacing="1"/>
      <w:jc w:val="left"/>
    </w:pPr>
    <w:rPr>
      <w:rFonts w:eastAsia="Times New Roman"/>
      <w:sz w:val="18"/>
      <w:szCs w:val="18"/>
      <w:lang w:eastAsia="en-GB"/>
    </w:rPr>
  </w:style>
  <w:style w:type="paragraph" w:customStyle="1" w:styleId="xl51908">
    <w:name w:val="xl51908"/>
    <w:basedOn w:val="Normal"/>
    <w:pPr>
      <w:spacing w:before="100" w:beforeAutospacing="1" w:after="100" w:afterAutospacing="1"/>
      <w:jc w:val="right"/>
    </w:pPr>
    <w:rPr>
      <w:rFonts w:eastAsia="Times New Roman"/>
      <w:b/>
      <w:bCs/>
      <w:sz w:val="18"/>
      <w:szCs w:val="18"/>
      <w:lang w:eastAsia="en-GB"/>
    </w:rPr>
  </w:style>
  <w:style w:type="paragraph" w:customStyle="1" w:styleId="xl51909">
    <w:name w:val="xl51909"/>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10">
    <w:name w:val="xl51910"/>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11">
    <w:name w:val="xl51911"/>
    <w:basedOn w:val="Normal"/>
    <w:pPr>
      <w:spacing w:before="100" w:beforeAutospacing="1" w:after="100" w:afterAutospacing="1"/>
      <w:jc w:val="right"/>
    </w:pPr>
    <w:rPr>
      <w:rFonts w:eastAsia="Times New Roman"/>
      <w:color w:val="000000"/>
      <w:sz w:val="18"/>
      <w:szCs w:val="18"/>
      <w:lang w:eastAsia="en-GB"/>
    </w:rPr>
  </w:style>
  <w:style w:type="paragraph" w:customStyle="1" w:styleId="xl51912">
    <w:name w:val="xl51912"/>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1913">
    <w:name w:val="xl51913"/>
    <w:basedOn w:val="Normal"/>
    <w:pPr>
      <w:pBdr>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14">
    <w:name w:val="xl51914"/>
    <w:basedOn w:val="Normal"/>
    <w:pPr>
      <w:pBdr>
        <w:bottom w:val="single" w:sz="8" w:space="0" w:color="auto"/>
      </w:pBdr>
      <w:spacing w:before="100" w:beforeAutospacing="1" w:after="100" w:afterAutospacing="1"/>
      <w:jc w:val="left"/>
    </w:pPr>
    <w:rPr>
      <w:rFonts w:eastAsia="Times New Roman"/>
      <w:color w:val="FF0000"/>
      <w:sz w:val="18"/>
      <w:szCs w:val="18"/>
      <w:lang w:eastAsia="en-GB"/>
    </w:rPr>
  </w:style>
  <w:style w:type="paragraph" w:customStyle="1" w:styleId="xl51915">
    <w:name w:val="xl51915"/>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16">
    <w:name w:val="xl51916"/>
    <w:basedOn w:val="Normal"/>
    <w:pPr>
      <w:spacing w:before="100" w:beforeAutospacing="1" w:after="100" w:afterAutospacing="1"/>
      <w:jc w:val="left"/>
    </w:pPr>
    <w:rPr>
      <w:rFonts w:eastAsia="Times New Roman"/>
      <w:color w:val="FF0000"/>
      <w:sz w:val="18"/>
      <w:szCs w:val="18"/>
      <w:lang w:eastAsia="en-GB"/>
    </w:rPr>
  </w:style>
  <w:style w:type="paragraph" w:customStyle="1" w:styleId="xl51917">
    <w:name w:val="xl51917"/>
    <w:basedOn w:val="Normal"/>
    <w:pPr>
      <w:spacing w:before="100" w:beforeAutospacing="1" w:after="100" w:afterAutospacing="1"/>
      <w:jc w:val="left"/>
    </w:pPr>
    <w:rPr>
      <w:rFonts w:eastAsia="Times New Roman"/>
      <w:color w:val="000000"/>
      <w:sz w:val="18"/>
      <w:szCs w:val="18"/>
      <w:lang w:eastAsia="en-GB"/>
    </w:rPr>
  </w:style>
  <w:style w:type="paragraph" w:customStyle="1" w:styleId="xl51918">
    <w:name w:val="xl51918"/>
    <w:basedOn w:val="Normal"/>
    <w:pPr>
      <w:spacing w:before="100" w:beforeAutospacing="1" w:after="100" w:afterAutospacing="1"/>
      <w:jc w:val="left"/>
    </w:pPr>
    <w:rPr>
      <w:rFonts w:eastAsia="Times New Roman"/>
      <w:color w:val="000000"/>
      <w:sz w:val="18"/>
      <w:szCs w:val="18"/>
      <w:lang w:eastAsia="en-GB"/>
    </w:rPr>
  </w:style>
  <w:style w:type="paragraph" w:customStyle="1" w:styleId="xl51919">
    <w:name w:val="xl51919"/>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20">
    <w:name w:val="xl51920"/>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1">
    <w:name w:val="xl51921"/>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2">
    <w:name w:val="xl51922"/>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3">
    <w:name w:val="xl51923"/>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4">
    <w:name w:val="xl5192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5">
    <w:name w:val="xl51925"/>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26">
    <w:name w:val="xl51926"/>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27">
    <w:name w:val="xl51927"/>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28">
    <w:name w:val="xl51928"/>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Sous-titreobjet">
    <w:name w:val="Sous-titre objet"/>
    <w:basedOn w:val="Normal"/>
    <w:uiPriority w:val="99"/>
    <w:pPr>
      <w:spacing w:before="0" w:after="0"/>
      <w:jc w:val="center"/>
    </w:pPr>
    <w:rPr>
      <w:b/>
    </w:rPr>
  </w:style>
  <w:style w:type="paragraph" w:customStyle="1" w:styleId="Titreobjet">
    <w:name w:val="Titre objet"/>
    <w:basedOn w:val="Normal"/>
    <w:next w:val="Sous-titreobjet"/>
    <w:uiPriority w:val="99"/>
    <w:pPr>
      <w:spacing w:before="180" w:after="180"/>
      <w:jc w:val="center"/>
    </w:pPr>
    <w:rPr>
      <w:b/>
    </w:rPr>
  </w:style>
  <w:style w:type="paragraph" w:customStyle="1" w:styleId="Sous-titreobjetPagedecouverture">
    <w:name w:val="Sous-titre objet (Page de couverture)"/>
    <w:basedOn w:val="Sous-titreobjet"/>
    <w:uiPriority w:val="99"/>
  </w:style>
  <w:style w:type="paragraph" w:customStyle="1" w:styleId="TitreobjetPagedecouverture">
    <w:name w:val="Titre objet (Page de couverture)"/>
    <w:basedOn w:val="Titreobjet"/>
    <w:next w:val="Sous-titreobjetPagedecouverture"/>
  </w:style>
  <w:style w:type="character" w:styleId="PlaceholderText">
    <w:name w:val="Placeholder Text"/>
    <w:basedOn w:val="DefaultParagraphFont"/>
    <w:uiPriority w:val="99"/>
    <w:semiHidden/>
    <w:rPr>
      <w:color w:val="808080"/>
    </w:rPr>
  </w:style>
  <w:style w:type="paragraph" w:customStyle="1" w:styleId="Jardin">
    <w:name w:val="Jardin"/>
    <w:basedOn w:val="Normal"/>
    <w:uiPriority w:val="99"/>
    <w:pPr>
      <w:spacing w:before="200" w:after="0"/>
      <w:jc w:val="center"/>
    </w:pPr>
    <w:rPr>
      <w:rFonts w:eastAsia="Times New Roman"/>
      <w:szCs w:val="24"/>
    </w:rPr>
  </w:style>
  <w:style w:type="paragraph" w:customStyle="1" w:styleId="NormalCompact">
    <w:name w:val="Normal Compact"/>
    <w:basedOn w:val="Normal"/>
    <w:next w:val="Normal"/>
    <w:uiPriority w:val="99"/>
    <w:pPr>
      <w:jc w:val="left"/>
    </w:pPr>
    <w:rPr>
      <w:rFonts w:eastAsia="Times New Roman"/>
      <w:szCs w:val="24"/>
    </w:rPr>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numbering" w:customStyle="1" w:styleId="NoList1111">
    <w:name w:val="No List1111"/>
    <w:next w:val="NoList"/>
    <w:uiPriority w:val="99"/>
    <w:semiHidden/>
    <w:unhideWhenUsed/>
  </w:style>
  <w:style w:type="paragraph" w:customStyle="1" w:styleId="xl51929">
    <w:name w:val="xl51929"/>
    <w:basedOn w:val="Normal"/>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30">
    <w:name w:val="xl51930"/>
    <w:basedOn w:val="Normal"/>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931">
    <w:name w:val="xl51931"/>
    <w:basedOn w:val="Normal"/>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932">
    <w:name w:val="xl51932"/>
    <w:basedOn w:val="Normal"/>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33">
    <w:name w:val="xl51933"/>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4">
    <w:name w:val="xl51934"/>
    <w:basedOn w:val="Normal"/>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5">
    <w:name w:val="xl51935"/>
    <w:basedOn w:val="Normal"/>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6">
    <w:name w:val="xl51936"/>
    <w:basedOn w:val="Normal"/>
    <w:pPr>
      <w:spacing w:before="100" w:beforeAutospacing="1" w:after="100" w:afterAutospacing="1"/>
      <w:jc w:val="right"/>
    </w:pPr>
    <w:rPr>
      <w:rFonts w:eastAsia="Times New Roman"/>
      <w:color w:val="000000"/>
      <w:sz w:val="18"/>
      <w:szCs w:val="18"/>
      <w:lang w:eastAsia="en-GB"/>
    </w:rPr>
  </w:style>
  <w:style w:type="paragraph" w:customStyle="1" w:styleId="xl51937">
    <w:name w:val="xl5193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8">
    <w:name w:val="xl51938"/>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1939">
    <w:name w:val="xl51939"/>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40">
    <w:name w:val="xl5194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1">
    <w:name w:val="xl51941"/>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2">
    <w:name w:val="xl51942"/>
    <w:basedOn w:val="Normal"/>
    <w:pPr>
      <w:spacing w:before="100" w:beforeAutospacing="1" w:after="100" w:afterAutospacing="1"/>
      <w:jc w:val="right"/>
    </w:pPr>
    <w:rPr>
      <w:rFonts w:eastAsia="Times New Roman"/>
      <w:sz w:val="18"/>
      <w:szCs w:val="18"/>
      <w:lang w:eastAsia="en-GB"/>
    </w:rPr>
  </w:style>
  <w:style w:type="paragraph" w:customStyle="1" w:styleId="xl51943">
    <w:name w:val="xl51943"/>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44">
    <w:name w:val="xl51944"/>
    <w:basedOn w:val="Normal"/>
    <w:pPr>
      <w:spacing w:before="100" w:beforeAutospacing="1" w:after="100" w:afterAutospacing="1"/>
      <w:jc w:val="left"/>
    </w:pPr>
    <w:rPr>
      <w:rFonts w:eastAsia="Times New Roman"/>
      <w:color w:val="000000"/>
      <w:sz w:val="18"/>
      <w:szCs w:val="18"/>
      <w:lang w:eastAsia="en-GB"/>
    </w:rPr>
  </w:style>
  <w:style w:type="paragraph" w:customStyle="1" w:styleId="xl51945">
    <w:name w:val="xl51945"/>
    <w:basedOn w:val="Normal"/>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6">
    <w:name w:val="xl51946"/>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947">
    <w:name w:val="xl5194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8">
    <w:name w:val="xl51948"/>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9">
    <w:name w:val="xl51949"/>
    <w:basedOn w:val="Normal"/>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1950">
    <w:name w:val="xl5195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51">
    <w:name w:val="xl51951"/>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52">
    <w:name w:val="xl51952"/>
    <w:basedOn w:val="Normal"/>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53">
    <w:name w:val="xl51953"/>
    <w:basedOn w:val="Normal"/>
    <w:pPr>
      <w:spacing w:before="100" w:beforeAutospacing="1" w:after="100" w:afterAutospacing="1"/>
      <w:jc w:val="left"/>
    </w:pPr>
    <w:rPr>
      <w:rFonts w:eastAsia="Times New Roman"/>
      <w:color w:val="000000"/>
      <w:sz w:val="18"/>
      <w:szCs w:val="18"/>
      <w:lang w:eastAsia="en-GB"/>
    </w:rPr>
  </w:style>
  <w:style w:type="paragraph" w:customStyle="1" w:styleId="xl51954">
    <w:name w:val="xl51954"/>
    <w:basedOn w:val="Normal"/>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1955">
    <w:name w:val="xl51955"/>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56">
    <w:name w:val="xl51956"/>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7">
    <w:name w:val="xl51957"/>
    <w:basedOn w:val="Normal"/>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1958">
    <w:name w:val="xl51958"/>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9">
    <w:name w:val="xl51959"/>
    <w:basedOn w:val="Normal"/>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1960">
    <w:name w:val="xl519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1">
    <w:name w:val="xl519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1962">
    <w:name w:val="xl519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3">
    <w:name w:val="xl5196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4">
    <w:name w:val="xl519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65">
    <w:name w:val="xl51965"/>
    <w:basedOn w:val="Normal"/>
    <w:pPr>
      <w:spacing w:before="100" w:beforeAutospacing="1" w:after="100" w:afterAutospacing="1"/>
      <w:jc w:val="left"/>
    </w:pPr>
    <w:rPr>
      <w:rFonts w:eastAsia="Times New Roman"/>
      <w:color w:val="000000"/>
      <w:sz w:val="12"/>
      <w:szCs w:val="12"/>
      <w:lang w:eastAsia="en-GB"/>
    </w:rPr>
  </w:style>
  <w:style w:type="paragraph" w:customStyle="1" w:styleId="xl51966">
    <w:name w:val="xl5196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1967">
    <w:name w:val="xl5196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1968">
    <w:name w:val="xl5196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9">
    <w:name w:val="xl5196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70">
    <w:name w:val="xl51970"/>
    <w:basedOn w:val="Normal"/>
    <w:pPr>
      <w:spacing w:before="100" w:beforeAutospacing="1" w:after="100" w:afterAutospacing="1"/>
      <w:jc w:val="left"/>
    </w:pPr>
    <w:rPr>
      <w:rFonts w:eastAsia="Times New Roman"/>
      <w:color w:val="000000"/>
      <w:sz w:val="12"/>
      <w:szCs w:val="12"/>
      <w:lang w:eastAsia="en-GB"/>
    </w:rPr>
  </w:style>
  <w:style w:type="paragraph" w:customStyle="1" w:styleId="xl51971">
    <w:name w:val="xl5197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72">
    <w:name w:val="xl51972"/>
    <w:basedOn w:val="Normal"/>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1973">
    <w:name w:val="xl51973"/>
    <w:basedOn w:val="Normal"/>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1974">
    <w:name w:val="xl51974"/>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5">
    <w:name w:val="xl51975"/>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6">
    <w:name w:val="xl51976"/>
    <w:basedOn w:val="Normal"/>
    <w:pPr>
      <w:spacing w:before="100" w:beforeAutospacing="1" w:after="100" w:afterAutospacing="1"/>
      <w:jc w:val="left"/>
    </w:pPr>
    <w:rPr>
      <w:rFonts w:eastAsia="Times New Roman"/>
      <w:color w:val="000000"/>
      <w:sz w:val="12"/>
      <w:szCs w:val="12"/>
      <w:lang w:eastAsia="en-GB"/>
    </w:rPr>
  </w:style>
  <w:style w:type="paragraph" w:customStyle="1" w:styleId="xl51977">
    <w:name w:val="xl51977"/>
    <w:basedOn w:val="Normal"/>
    <w:pPr>
      <w:spacing w:before="100" w:beforeAutospacing="1" w:after="100" w:afterAutospacing="1"/>
      <w:jc w:val="left"/>
    </w:pPr>
    <w:rPr>
      <w:rFonts w:ascii="Calibri" w:eastAsia="Times New Roman" w:hAnsi="Calibri"/>
      <w:b/>
      <w:bCs/>
      <w:sz w:val="12"/>
      <w:szCs w:val="12"/>
      <w:lang w:eastAsia="en-GB"/>
    </w:rPr>
  </w:style>
  <w:style w:type="paragraph" w:customStyle="1" w:styleId="xl51978">
    <w:name w:val="xl51978"/>
    <w:basedOn w:val="Normal"/>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79">
    <w:name w:val="xl51979"/>
    <w:basedOn w:val="Normal"/>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80">
    <w:name w:val="xl51980"/>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1">
    <w:name w:val="xl51981"/>
    <w:basedOn w:val="Normal"/>
    <w:pPr>
      <w:spacing w:before="100" w:beforeAutospacing="1" w:after="100" w:afterAutospacing="1"/>
      <w:jc w:val="center"/>
    </w:pPr>
    <w:rPr>
      <w:rFonts w:eastAsia="Times New Roman"/>
      <w:color w:val="000000"/>
      <w:sz w:val="12"/>
      <w:szCs w:val="12"/>
      <w:lang w:eastAsia="en-GB"/>
    </w:rPr>
  </w:style>
  <w:style w:type="paragraph" w:customStyle="1" w:styleId="xl51982">
    <w:name w:val="xl51982"/>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1983">
    <w:name w:val="xl51983"/>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4">
    <w:name w:val="xl51984"/>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5">
    <w:name w:val="xl51985"/>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6">
    <w:name w:val="xl51986"/>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7">
    <w:name w:val="xl51987"/>
    <w:basedOn w:val="Normal"/>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8">
    <w:name w:val="xl51988"/>
    <w:basedOn w:val="Normal"/>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9">
    <w:name w:val="xl51989"/>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1990">
    <w:name w:val="xl5199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1991">
    <w:name w:val="xl5199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1992">
    <w:name w:val="xl51992"/>
    <w:basedOn w:val="Normal"/>
    <w:pPr>
      <w:spacing w:before="100" w:beforeAutospacing="1" w:after="100" w:afterAutospacing="1"/>
      <w:jc w:val="right"/>
    </w:pPr>
    <w:rPr>
      <w:rFonts w:eastAsia="Times New Roman"/>
      <w:color w:val="000000"/>
      <w:sz w:val="18"/>
      <w:szCs w:val="18"/>
      <w:lang w:eastAsia="en-GB"/>
    </w:rPr>
  </w:style>
  <w:style w:type="paragraph" w:customStyle="1" w:styleId="xl51993">
    <w:name w:val="xl51993"/>
    <w:basedOn w:val="Normal"/>
    <w:pPr>
      <w:spacing w:before="100" w:beforeAutospacing="1" w:after="100" w:afterAutospacing="1"/>
      <w:jc w:val="right"/>
    </w:pPr>
    <w:rPr>
      <w:rFonts w:eastAsia="Times New Roman"/>
      <w:color w:val="000000"/>
      <w:sz w:val="18"/>
      <w:szCs w:val="18"/>
      <w:lang w:eastAsia="en-GB"/>
    </w:rPr>
  </w:style>
  <w:style w:type="paragraph" w:customStyle="1" w:styleId="xl51994">
    <w:name w:val="xl51994"/>
    <w:basedOn w:val="Normal"/>
    <w:pPr>
      <w:spacing w:before="100" w:beforeAutospacing="1" w:after="100" w:afterAutospacing="1"/>
      <w:jc w:val="left"/>
    </w:pPr>
    <w:rPr>
      <w:rFonts w:ascii="Calibri" w:eastAsia="Times New Roman" w:hAnsi="Calibri"/>
      <w:sz w:val="18"/>
      <w:szCs w:val="18"/>
      <w:lang w:eastAsia="en-GB"/>
    </w:rPr>
  </w:style>
  <w:style w:type="paragraph" w:customStyle="1" w:styleId="xl51995">
    <w:name w:val="xl51995"/>
    <w:basedOn w:val="Normal"/>
    <w:pPr>
      <w:spacing w:before="100" w:beforeAutospacing="1" w:after="100" w:afterAutospacing="1"/>
      <w:jc w:val="left"/>
    </w:pPr>
    <w:rPr>
      <w:rFonts w:eastAsia="Times New Roman"/>
      <w:color w:val="FF0000"/>
      <w:sz w:val="18"/>
      <w:szCs w:val="18"/>
      <w:lang w:eastAsia="en-GB"/>
    </w:rPr>
  </w:style>
  <w:style w:type="paragraph" w:customStyle="1" w:styleId="xl51996">
    <w:name w:val="xl51996"/>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97">
    <w:name w:val="xl51997"/>
    <w:basedOn w:val="Normal"/>
    <w:pPr>
      <w:spacing w:before="100" w:beforeAutospacing="1" w:after="100" w:afterAutospacing="1"/>
      <w:jc w:val="right"/>
    </w:pPr>
    <w:rPr>
      <w:rFonts w:eastAsia="Times New Roman"/>
      <w:sz w:val="18"/>
      <w:szCs w:val="18"/>
      <w:lang w:eastAsia="en-GB"/>
    </w:rPr>
  </w:style>
  <w:style w:type="paragraph" w:customStyle="1" w:styleId="xl51998">
    <w:name w:val="xl5199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999">
    <w:name w:val="xl5199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2000">
    <w:name w:val="xl52000"/>
    <w:basedOn w:val="Normal"/>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01">
    <w:name w:val="xl52001"/>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02">
    <w:name w:val="xl52002"/>
    <w:basedOn w:val="Normal"/>
    <w:pPr>
      <w:spacing w:before="100" w:beforeAutospacing="1" w:after="100" w:afterAutospacing="1"/>
      <w:jc w:val="right"/>
    </w:pPr>
    <w:rPr>
      <w:rFonts w:eastAsia="Times New Roman"/>
      <w:sz w:val="18"/>
      <w:szCs w:val="18"/>
      <w:lang w:eastAsia="en-GB"/>
    </w:rPr>
  </w:style>
  <w:style w:type="paragraph" w:customStyle="1" w:styleId="xl52003">
    <w:name w:val="xl52003"/>
    <w:basedOn w:val="Normal"/>
    <w:pPr>
      <w:spacing w:before="100" w:beforeAutospacing="1" w:after="100" w:afterAutospacing="1"/>
      <w:jc w:val="left"/>
    </w:pPr>
    <w:rPr>
      <w:rFonts w:eastAsia="Times New Roman"/>
      <w:color w:val="000000"/>
      <w:sz w:val="18"/>
      <w:szCs w:val="18"/>
      <w:lang w:eastAsia="en-GB"/>
    </w:rPr>
  </w:style>
  <w:style w:type="paragraph" w:customStyle="1" w:styleId="xl52004">
    <w:name w:val="xl52004"/>
    <w:basedOn w:val="Normal"/>
    <w:pPr>
      <w:spacing w:before="100" w:beforeAutospacing="1" w:after="100" w:afterAutospacing="1"/>
      <w:jc w:val="left"/>
    </w:pPr>
    <w:rPr>
      <w:rFonts w:eastAsia="Times New Roman"/>
      <w:sz w:val="18"/>
      <w:szCs w:val="18"/>
      <w:lang w:eastAsia="en-GB"/>
    </w:rPr>
  </w:style>
  <w:style w:type="paragraph" w:customStyle="1" w:styleId="xl52005">
    <w:name w:val="xl52005"/>
    <w:basedOn w:val="Normal"/>
    <w:pPr>
      <w:spacing w:before="100" w:beforeAutospacing="1" w:after="100" w:afterAutospacing="1"/>
      <w:jc w:val="left"/>
    </w:pPr>
    <w:rPr>
      <w:rFonts w:eastAsia="Times New Roman"/>
      <w:color w:val="FF0000"/>
      <w:sz w:val="18"/>
      <w:szCs w:val="18"/>
      <w:lang w:eastAsia="en-GB"/>
    </w:rPr>
  </w:style>
  <w:style w:type="paragraph" w:customStyle="1" w:styleId="xl52006">
    <w:name w:val="xl52006"/>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2007">
    <w:name w:val="xl52007"/>
    <w:basedOn w:val="Normal"/>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08">
    <w:name w:val="xl52008"/>
    <w:basedOn w:val="Normal"/>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09">
    <w:name w:val="xl52009"/>
    <w:basedOn w:val="Normal"/>
    <w:pPr>
      <w:spacing w:before="100" w:beforeAutospacing="1" w:after="100" w:afterAutospacing="1"/>
      <w:jc w:val="right"/>
    </w:pPr>
    <w:rPr>
      <w:rFonts w:eastAsia="Times New Roman"/>
      <w:color w:val="000000"/>
      <w:sz w:val="12"/>
      <w:szCs w:val="12"/>
      <w:lang w:eastAsia="en-GB"/>
    </w:rPr>
  </w:style>
  <w:style w:type="paragraph" w:customStyle="1" w:styleId="xl52010">
    <w:name w:val="xl52010"/>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1">
    <w:name w:val="xl52011"/>
    <w:basedOn w:val="Normal"/>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2">
    <w:name w:val="xl52012"/>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3">
    <w:name w:val="xl5201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14">
    <w:name w:val="xl52014"/>
    <w:basedOn w:val="Normal"/>
    <w:pPr>
      <w:spacing w:before="100" w:beforeAutospacing="1" w:after="100" w:afterAutospacing="1"/>
      <w:jc w:val="right"/>
    </w:pPr>
    <w:rPr>
      <w:rFonts w:eastAsia="Times New Roman"/>
      <w:sz w:val="18"/>
      <w:szCs w:val="18"/>
      <w:lang w:eastAsia="en-GB"/>
    </w:rPr>
  </w:style>
  <w:style w:type="paragraph" w:customStyle="1" w:styleId="xl52015">
    <w:name w:val="xl52015"/>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2016">
    <w:name w:val="xl5201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2017">
    <w:name w:val="xl5201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8">
    <w:name w:val="xl5201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52019">
    <w:name w:val="xl52019"/>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0">
    <w:name w:val="xl52020"/>
    <w:basedOn w:val="Normal"/>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52021">
    <w:name w:val="xl52021"/>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2">
    <w:name w:val="xl52022"/>
    <w:basedOn w:val="Normal"/>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3">
    <w:name w:val="xl52023"/>
    <w:basedOn w:val="Normal"/>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4">
    <w:name w:val="xl52024"/>
    <w:basedOn w:val="Normal"/>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5">
    <w:name w:val="xl52025"/>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2026">
    <w:name w:val="xl52026"/>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7">
    <w:name w:val="xl52027"/>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8">
    <w:name w:val="xl52028"/>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29">
    <w:name w:val="xl52029"/>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30">
    <w:name w:val="xl52030"/>
    <w:basedOn w:val="Normal"/>
    <w:pPr>
      <w:spacing w:before="100" w:beforeAutospacing="1" w:after="100" w:afterAutospacing="1"/>
      <w:jc w:val="left"/>
    </w:pPr>
    <w:rPr>
      <w:rFonts w:ascii="Calibri" w:eastAsia="Times New Roman" w:hAnsi="Calibri"/>
      <w:color w:val="1F497D"/>
      <w:sz w:val="22"/>
      <w:szCs w:val="24"/>
      <w:lang w:eastAsia="en-GB"/>
    </w:rPr>
  </w:style>
  <w:style w:type="paragraph" w:customStyle="1" w:styleId="xl52031">
    <w:name w:val="xl52031"/>
    <w:basedOn w:val="Normal"/>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52032">
    <w:name w:val="xl52032"/>
    <w:basedOn w:val="Normal"/>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2033">
    <w:name w:val="xl5203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34">
    <w:name w:val="xl5203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5">
    <w:name w:val="xl5203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6">
    <w:name w:val="xl52036"/>
    <w:basedOn w:val="Normal"/>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52037">
    <w:name w:val="xl52037"/>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8">
    <w:name w:val="xl5203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9">
    <w:name w:val="xl52039"/>
    <w:basedOn w:val="Normal"/>
    <w:pPr>
      <w:spacing w:before="100" w:beforeAutospacing="1" w:after="100" w:afterAutospacing="1"/>
      <w:jc w:val="right"/>
    </w:pPr>
    <w:rPr>
      <w:rFonts w:eastAsia="Times New Roman"/>
      <w:color w:val="000000"/>
      <w:sz w:val="18"/>
      <w:szCs w:val="18"/>
      <w:lang w:eastAsia="en-GB"/>
    </w:rPr>
  </w:style>
  <w:style w:type="paragraph" w:customStyle="1" w:styleId="xl52040">
    <w:name w:val="xl52040"/>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1">
    <w:name w:val="xl52041"/>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42">
    <w:name w:val="xl52042"/>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43">
    <w:name w:val="xl52043"/>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4">
    <w:name w:val="xl52044"/>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5">
    <w:name w:val="xl52045"/>
    <w:basedOn w:val="Normal"/>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2046">
    <w:name w:val="xl52046"/>
    <w:basedOn w:val="Normal"/>
    <w:pPr>
      <w:spacing w:before="100" w:beforeAutospacing="1" w:after="100" w:afterAutospacing="1"/>
      <w:jc w:val="left"/>
    </w:pPr>
    <w:rPr>
      <w:rFonts w:eastAsia="Times New Roman"/>
      <w:sz w:val="18"/>
      <w:szCs w:val="18"/>
      <w:lang w:eastAsia="en-GB"/>
    </w:rPr>
  </w:style>
  <w:style w:type="paragraph" w:customStyle="1" w:styleId="xl52047">
    <w:name w:val="xl52047"/>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48">
    <w:name w:val="xl52048"/>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49">
    <w:name w:val="xl52049"/>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50">
    <w:name w:val="xl5205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1">
    <w:name w:val="xl52051"/>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2">
    <w:name w:val="xl52052"/>
    <w:basedOn w:val="Normal"/>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3">
    <w:name w:val="xl52053"/>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4">
    <w:name w:val="xl52054"/>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5">
    <w:name w:val="xl52055"/>
    <w:basedOn w:val="Normal"/>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6">
    <w:name w:val="xl52056"/>
    <w:basedOn w:val="Normal"/>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7">
    <w:name w:val="xl52057"/>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8">
    <w:name w:val="xl52058"/>
    <w:basedOn w:val="Normal"/>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59">
    <w:name w:val="xl52059"/>
    <w:basedOn w:val="Normal"/>
    <w:pPr>
      <w:spacing w:before="100" w:beforeAutospacing="1" w:after="100" w:afterAutospacing="1"/>
      <w:jc w:val="right"/>
    </w:pPr>
    <w:rPr>
      <w:rFonts w:eastAsia="Times New Roman"/>
      <w:color w:val="000000"/>
      <w:sz w:val="18"/>
      <w:szCs w:val="18"/>
      <w:lang w:eastAsia="en-GB"/>
    </w:rPr>
  </w:style>
  <w:style w:type="paragraph" w:customStyle="1" w:styleId="xl52060">
    <w:name w:val="xl520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sz w:val="14"/>
      <w:szCs w:val="14"/>
      <w:lang w:eastAsia="en-GB"/>
    </w:rPr>
  </w:style>
  <w:style w:type="paragraph" w:customStyle="1" w:styleId="xl52061">
    <w:name w:val="xl520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2">
    <w:name w:val="xl520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3">
    <w:name w:val="xl52063"/>
    <w:basedOn w:val="Normal"/>
    <w:pPr>
      <w:pBdr>
        <w:bottom w:val="single" w:sz="4"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2064">
    <w:name w:val="xl520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52065">
    <w:name w:val="xl52065"/>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6">
    <w:name w:val="xl52066"/>
    <w:basedOn w:val="Normal"/>
    <w:pPr>
      <w:pBdr>
        <w:top w:val="single" w:sz="8" w:space="0" w:color="auto"/>
      </w:pBdr>
      <w:spacing w:before="100" w:beforeAutospacing="1" w:after="100" w:afterAutospacing="1"/>
      <w:jc w:val="right"/>
    </w:pPr>
    <w:rPr>
      <w:rFonts w:eastAsia="Times New Roman"/>
      <w:sz w:val="18"/>
      <w:szCs w:val="18"/>
      <w:lang w:eastAsia="en-GB"/>
    </w:rPr>
  </w:style>
  <w:style w:type="paragraph" w:customStyle="1" w:styleId="xl52067">
    <w:name w:val="xl52067"/>
    <w:basedOn w:val="Normal"/>
    <w:pPr>
      <w:pBdr>
        <w:top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8">
    <w:name w:val="xl52068"/>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69">
    <w:name w:val="xl52069"/>
    <w:basedOn w:val="Normal"/>
    <w:pPr>
      <w:pBdr>
        <w:bottom w:val="single" w:sz="8" w:space="0" w:color="auto"/>
      </w:pBdr>
      <w:spacing w:before="100" w:beforeAutospacing="1" w:after="100" w:afterAutospacing="1"/>
      <w:jc w:val="center"/>
    </w:pPr>
    <w:rPr>
      <w:rFonts w:eastAsia="Times New Roman"/>
      <w:sz w:val="18"/>
      <w:szCs w:val="18"/>
      <w:lang w:eastAsia="en-GB"/>
    </w:rPr>
  </w:style>
  <w:style w:type="paragraph" w:customStyle="1" w:styleId="xl52070">
    <w:name w:val="xl52070"/>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1">
    <w:name w:val="xl52071"/>
    <w:basedOn w:val="Normal"/>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72">
    <w:name w:val="xl52072"/>
    <w:basedOn w:val="Normal"/>
    <w:pPr>
      <w:pBdr>
        <w:bottom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73">
    <w:name w:val="xl52073"/>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4">
    <w:name w:val="xl52074"/>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5">
    <w:name w:val="xl52075"/>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numbering" w:customStyle="1" w:styleId="NoList3">
    <w:name w:val="No List3"/>
    <w:next w:val="NoList"/>
    <w:uiPriority w:val="99"/>
    <w:semiHidden/>
    <w:unhideWhenUsed/>
  </w:style>
  <w:style w:type="numbering" w:customStyle="1" w:styleId="NoList12">
    <w:name w:val="No List12"/>
    <w:next w:val="NoList"/>
    <w:uiPriority w:val="99"/>
    <w:semiHidden/>
    <w:unhideWhenUsed/>
  </w:style>
  <w:style w:type="numbering" w:customStyle="1" w:styleId="NoList112">
    <w:name w:val="No List112"/>
    <w:next w:val="NoList"/>
    <w:uiPriority w:val="99"/>
    <w:semiHidden/>
    <w:unhideWhenUsed/>
  </w:style>
  <w:style w:type="numbering" w:customStyle="1" w:styleId="NoList21">
    <w:name w:val="No List21"/>
    <w:next w:val="NoList"/>
    <w:uiPriority w:val="99"/>
    <w:semiHidden/>
    <w:unhideWhenUsed/>
  </w:style>
  <w:style w:type="numbering" w:customStyle="1" w:styleId="NoList1112">
    <w:name w:val="No List1112"/>
    <w:next w:val="NoList"/>
    <w:uiPriority w:val="99"/>
    <w:semiHidden/>
    <w:unhideWhenUsed/>
  </w:style>
  <w:style w:type="paragraph" w:customStyle="1" w:styleId="xl52076">
    <w:name w:val="xl52076"/>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7">
    <w:name w:val="xl5207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8">
    <w:name w:val="xl52078"/>
    <w:basedOn w:val="Normal"/>
    <w:pPr>
      <w:pBdr>
        <w:bottom w:val="single" w:sz="4"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79">
    <w:name w:val="xl5207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0">
    <w:name w:val="xl5208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1">
    <w:name w:val="xl5208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082">
    <w:name w:val="xl52082"/>
    <w:basedOn w:val="Normal"/>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83">
    <w:name w:val="xl52083"/>
    <w:basedOn w:val="Normal"/>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84">
    <w:name w:val="xl5208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5">
    <w:name w:val="xl52085"/>
    <w:basedOn w:val="Normal"/>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52086">
    <w:name w:val="xl5208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7">
    <w:name w:val="xl52087"/>
    <w:basedOn w:val="Normal"/>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88">
    <w:name w:val="xl52088"/>
    <w:basedOn w:val="Normal"/>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52089">
    <w:name w:val="xl52089"/>
    <w:basedOn w:val="Normal"/>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0">
    <w:name w:val="xl52090"/>
    <w:basedOn w:val="Normal"/>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1">
    <w:name w:val="xl52091"/>
    <w:basedOn w:val="Normal"/>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52092">
    <w:name w:val="xl52092"/>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3">
    <w:name w:val="xl52093"/>
    <w:basedOn w:val="Normal"/>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52094">
    <w:name w:val="xl52094"/>
    <w:basedOn w:val="Normal"/>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095">
    <w:name w:val="xl52095"/>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6">
    <w:name w:val="xl52096"/>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7">
    <w:name w:val="xl52097"/>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8">
    <w:name w:val="xl52098"/>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9">
    <w:name w:val="xl520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100">
    <w:name w:val="xl5210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101">
    <w:name w:val="xl5210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102">
    <w:name w:val="xl52102"/>
    <w:basedOn w:val="Normal"/>
    <w:uiPriority w:val="99"/>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103">
    <w:name w:val="xl52103"/>
    <w:basedOn w:val="Normal"/>
    <w:uiPriority w:val="99"/>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4">
    <w:name w:val="xl52104"/>
    <w:basedOn w:val="Normal"/>
    <w:uiPriority w:val="99"/>
    <w:pPr>
      <w:pBdr>
        <w:bottom w:val="single" w:sz="8" w:space="0" w:color="auto"/>
      </w:pBdr>
      <w:shd w:val="clear" w:color="000000" w:fill="808080"/>
      <w:spacing w:before="100" w:beforeAutospacing="1" w:after="100" w:afterAutospacing="1"/>
      <w:jc w:val="left"/>
      <w:textAlignment w:val="top"/>
    </w:pPr>
    <w:rPr>
      <w:rFonts w:eastAsia="Times New Roman"/>
      <w:sz w:val="18"/>
      <w:szCs w:val="18"/>
      <w:lang w:eastAsia="en-GB"/>
    </w:rPr>
  </w:style>
  <w:style w:type="paragraph" w:customStyle="1" w:styleId="xl52105">
    <w:name w:val="xl52105"/>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6">
    <w:name w:val="xl52106"/>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52107">
    <w:name w:val="xl5210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108">
    <w:name w:val="xl52108"/>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msonormal0">
    <w:name w:val="msonormal"/>
    <w:basedOn w:val="Normal"/>
    <w:pPr>
      <w:spacing w:before="100" w:beforeAutospacing="1" w:after="100" w:afterAutospacing="1"/>
      <w:jc w:val="left"/>
    </w:pPr>
    <w:rPr>
      <w:rFonts w:eastAsia="Times New Roman"/>
      <w:szCs w:val="24"/>
      <w:lang w:eastAsia="en-GB"/>
    </w:rPr>
  </w:style>
  <w:style w:type="paragraph" w:customStyle="1" w:styleId="CMMLevel1">
    <w:name w:val="CMM Level1"/>
    <w:link w:val="CMMLevel1Char"/>
    <w:autoRedefine/>
    <w:uiPriority w:val="99"/>
    <w:qFormat/>
    <w:pPr>
      <w:numPr>
        <w:numId w:val="35"/>
      </w:numPr>
      <w:tabs>
        <w:tab w:val="left" w:pos="586"/>
      </w:tabs>
      <w:spacing w:after="160" w:line="240" w:lineRule="auto"/>
      <w:ind w:left="357" w:hanging="357"/>
    </w:pPr>
    <w:rPr>
      <w:rFonts w:ascii="Cambria" w:eastAsia="Cambria" w:hAnsi="Cambria"/>
      <w:spacing w:val="-2"/>
    </w:rPr>
  </w:style>
  <w:style w:type="character" w:customStyle="1" w:styleId="CMMLevel1Char">
    <w:name w:val="CMM Level1 Char"/>
    <w:basedOn w:val="DefaultParagraphFont"/>
    <w:link w:val="CMMLevel1"/>
    <w:uiPriority w:val="99"/>
    <w:rPr>
      <w:rFonts w:ascii="Cambria" w:eastAsia="Cambria" w:hAnsi="Cambria"/>
      <w:spacing w:val="-2"/>
    </w:rPr>
  </w:style>
  <w:style w:type="paragraph" w:styleId="Quote">
    <w:name w:val="Quote"/>
    <w:basedOn w:val="Normal"/>
    <w:next w:val="Normal"/>
    <w:link w:val="QuoteChar"/>
    <w:uiPriority w:val="29"/>
    <w:qFormat/>
    <w:pPr>
      <w:spacing w:before="0" w:after="0"/>
      <w:jc w:val="left"/>
    </w:pPr>
    <w:rPr>
      <w:rFonts w:ascii="Calibri" w:eastAsia="Times New Roman" w:hAnsi="Calibri"/>
      <w:i/>
      <w:iCs/>
      <w:color w:val="000000" w:themeColor="text1"/>
      <w:sz w:val="22"/>
      <w:szCs w:val="24"/>
    </w:rPr>
  </w:style>
  <w:style w:type="character" w:customStyle="1" w:styleId="QuoteChar">
    <w:name w:val="Quote Char"/>
    <w:basedOn w:val="DefaultParagraphFont"/>
    <w:link w:val="Quote"/>
    <w:uiPriority w:val="29"/>
    <w:rPr>
      <w:rFonts w:ascii="Calibri" w:eastAsia="Times New Roman" w:hAnsi="Calibri" w:cs="Times New Roman"/>
      <w:i/>
      <w:iCs/>
      <w:color w:val="000000" w:themeColor="text1"/>
      <w:szCs w:val="24"/>
      <w:lang w:val="bg-BG"/>
    </w:rPr>
  </w:style>
  <w:style w:type="paragraph" w:customStyle="1" w:styleId="hidden">
    <w:name w:val="hidden"/>
    <w:basedOn w:val="Normal"/>
    <w:uiPriority w:val="99"/>
    <w:pPr>
      <w:spacing w:before="0" w:after="150"/>
      <w:jc w:val="left"/>
    </w:pPr>
    <w:rPr>
      <w:rFonts w:eastAsia="Times New Roman"/>
      <w:vanish/>
      <w:szCs w:val="24"/>
      <w:lang w:eastAsia="en-GB"/>
    </w:rPr>
  </w:style>
  <w:style w:type="character" w:customStyle="1" w:styleId="nbborderedChar">
    <w:name w:val="nb bordered Char"/>
    <w:basedOn w:val="TechnicalBlockChar"/>
    <w:link w:val="nbbordered"/>
    <w:locked/>
    <w:rPr>
      <w:rFonts w:ascii="Times New Roman" w:eastAsia="Times New Roman" w:hAnsi="Times New Roman" w:cs="Times New Roman"/>
      <w:b/>
      <w:sz w:val="24"/>
      <w:szCs w:val="24"/>
      <w:lang w:val="bg-BG"/>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szCs w:val="24"/>
    </w:rPr>
  </w:style>
  <w:style w:type="paragraph" w:customStyle="1" w:styleId="TableParagraph">
    <w:name w:val="Table Paragraph"/>
    <w:basedOn w:val="Normal"/>
    <w:uiPriority w:val="1"/>
    <w:qFormat/>
    <w:pPr>
      <w:widowControl w:val="0"/>
      <w:autoSpaceDE w:val="0"/>
      <w:autoSpaceDN w:val="0"/>
      <w:spacing w:before="0" w:after="0"/>
      <w:jc w:val="left"/>
    </w:pPr>
    <w:rPr>
      <w:rFonts w:eastAsia="Times New Roman"/>
      <w:sz w:val="22"/>
      <w:szCs w:val="24"/>
      <w:lang w:eastAsia="en-GB" w:bidi="en-GB"/>
    </w:rPr>
  </w:style>
  <w:style w:type="paragraph" w:customStyle="1" w:styleId="Tiret00">
    <w:name w:val="Tiret 00"/>
    <w:basedOn w:val="Normal"/>
    <w:autoRedefine/>
    <w:uiPriority w:val="99"/>
    <w:qFormat/>
    <w:pPr>
      <w:numPr>
        <w:numId w:val="36"/>
      </w:numPr>
      <w:spacing w:line="360" w:lineRule="auto"/>
      <w:jc w:val="left"/>
      <w:outlineLvl w:val="0"/>
    </w:pPr>
    <w:rPr>
      <w:rFonts w:eastAsia="Times New Roman"/>
      <w:szCs w:val="24"/>
    </w:rPr>
  </w:style>
  <w:style w:type="character" w:styleId="BookTitle">
    <w:name w:val="Book Title"/>
    <w:basedOn w:val="DefaultParagraphFont"/>
    <w:uiPriority w:val="33"/>
    <w:qFormat/>
    <w:rPr>
      <w:b/>
      <w:bCs/>
      <w:smallCaps/>
      <w:spacing w:val="5"/>
    </w:rPr>
  </w:style>
  <w:style w:type="character" w:customStyle="1" w:styleId="HeaderChar1">
    <w:name w:val="Header Char1"/>
    <w:basedOn w:val="DefaultParagraphFont"/>
    <w:uiPriority w:val="99"/>
    <w:semiHidden/>
    <w:locked/>
    <w:rPr>
      <w:rFonts w:ascii="Times New Roman" w:eastAsia="Times New Roman" w:hAnsi="Times New Roman" w:cs="Times New Roman"/>
      <w:sz w:val="24"/>
      <w:szCs w:val="24"/>
      <w:lang w:val="bg-BG"/>
    </w:rPr>
  </w:style>
  <w:style w:type="character" w:customStyle="1" w:styleId="FooterChar1">
    <w:name w:val="Footer Char1"/>
    <w:basedOn w:val="DefaultParagraphFont"/>
    <w:uiPriority w:val="99"/>
    <w:semiHidden/>
    <w:locked/>
    <w:rPr>
      <w:rFonts w:ascii="Times New Roman" w:eastAsia="Times New Roman" w:hAnsi="Times New Roman" w:cs="Times New Roman"/>
      <w:sz w:val="24"/>
      <w:szCs w:val="24"/>
      <w:lang w:val="bg-BG"/>
    </w:rPr>
  </w:style>
  <w:style w:type="character" w:customStyle="1" w:styleId="FootnoteTextChar1">
    <w:name w:val="Footnote Text Char1"/>
    <w:basedOn w:val="DefaultParagraphFont"/>
    <w:uiPriority w:val="99"/>
    <w:semiHidden/>
    <w:locked/>
    <w:rPr>
      <w:rFonts w:ascii="Times New Roman" w:eastAsia="Times New Roman" w:hAnsi="Times New Roman" w:cs="Times New Roman"/>
      <w:sz w:val="24"/>
      <w:szCs w:val="20"/>
      <w:lang w:val="bg-BG"/>
    </w:rPr>
  </w:style>
  <w:style w:type="table" w:customStyle="1" w:styleId="TableGrid0">
    <w:name w:val="TableGrid"/>
    <w:pPr>
      <w:spacing w:after="0" w:line="240" w:lineRule="auto"/>
    </w:pPr>
    <w:rPr>
      <w:rFonts w:ascii="Times New Roman" w:eastAsiaTheme="minorEastAsia" w:hAnsi="Times New Roman" w:cs="Times New Roman"/>
      <w:sz w:val="20"/>
      <w:szCs w:val="20"/>
      <w:lang w:eastAsia="de-DE"/>
    </w:rPr>
    <w:tblPr>
      <w:tblCellMar>
        <w:top w:w="0" w:type="dxa"/>
        <w:left w:w="0" w:type="dxa"/>
        <w:bottom w:w="0" w:type="dxa"/>
        <w:right w:w="0" w:type="dxa"/>
      </w:tblCellMar>
    </w:tblPr>
  </w:style>
  <w:style w:type="paragraph" w:customStyle="1" w:styleId="Numpar">
    <w:name w:val="Numpar"/>
    <w:basedOn w:val="ManualNumPar1"/>
    <w:uiPriority w:val="99"/>
    <w:pPr>
      <w:outlineLvl w:val="0"/>
    </w:pPr>
    <w:rPr>
      <w:rFonts w:eastAsia="Times New Roman"/>
      <w:szCs w:val="24"/>
    </w:rPr>
  </w:style>
  <w:style w:type="character" w:styleId="Emphasis">
    <w:name w:val="Emphasis"/>
    <w:basedOn w:val="DefaultParagraphFont"/>
    <w:uiPriority w:val="20"/>
    <w:qFormat/>
    <w:rPr>
      <w:i/>
      <w:iCs/>
    </w:rPr>
  </w:style>
  <w:style w:type="paragraph" w:customStyle="1" w:styleId="norm">
    <w:name w:val="norm"/>
    <w:basedOn w:val="Normal"/>
    <w:pPr>
      <w:spacing w:before="100" w:beforeAutospacing="1" w:after="100" w:afterAutospacing="1"/>
      <w:jc w:val="left"/>
    </w:pPr>
    <w:rPr>
      <w:rFonts w:eastAsia="Times New Roman"/>
      <w:szCs w:val="24"/>
      <w:lang w:eastAsia="fr-BE"/>
    </w:rPr>
  </w:style>
  <w:style w:type="paragraph" w:customStyle="1" w:styleId="tbl-norm">
    <w:name w:val="tbl-norm"/>
    <w:basedOn w:val="Normal"/>
    <w:pPr>
      <w:spacing w:before="100" w:beforeAutospacing="1" w:after="100" w:afterAutospacing="1"/>
      <w:jc w:val="left"/>
    </w:pPr>
    <w:rPr>
      <w:rFonts w:eastAsia="Times New Roman"/>
      <w:szCs w:val="24"/>
      <w:lang w:eastAsia="fr-BE"/>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bg-BG"/>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bg-BG"/>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7"/>
      </w:numPr>
    </w:pPr>
  </w:style>
  <w:style w:type="paragraph" w:customStyle="1" w:styleId="Tiret1">
    <w:name w:val="Tiret 1"/>
    <w:basedOn w:val="Point1"/>
    <w:pPr>
      <w:numPr>
        <w:numId w:val="38"/>
      </w:numPr>
    </w:pPr>
  </w:style>
  <w:style w:type="paragraph" w:customStyle="1" w:styleId="Tiret2">
    <w:name w:val="Tiret 2"/>
    <w:basedOn w:val="Point2"/>
    <w:pPr>
      <w:numPr>
        <w:numId w:val="39"/>
      </w:numPr>
    </w:pPr>
  </w:style>
  <w:style w:type="paragraph" w:customStyle="1" w:styleId="Tiret3">
    <w:name w:val="Tiret 3"/>
    <w:basedOn w:val="Point3"/>
    <w:pPr>
      <w:numPr>
        <w:numId w:val="40"/>
      </w:numPr>
    </w:pPr>
  </w:style>
  <w:style w:type="paragraph" w:customStyle="1" w:styleId="Tiret4">
    <w:name w:val="Tiret 4"/>
    <w:basedOn w:val="Point4"/>
    <w:pPr>
      <w:numPr>
        <w:numId w:val="41"/>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2"/>
      </w:numPr>
    </w:pPr>
  </w:style>
  <w:style w:type="paragraph" w:customStyle="1" w:styleId="NumPar2">
    <w:name w:val="NumPar 2"/>
    <w:basedOn w:val="Normal"/>
    <w:next w:val="Text1"/>
    <w:pPr>
      <w:numPr>
        <w:ilvl w:val="1"/>
        <w:numId w:val="42"/>
      </w:numPr>
    </w:pPr>
  </w:style>
  <w:style w:type="paragraph" w:customStyle="1" w:styleId="NumPar3">
    <w:name w:val="NumPar 3"/>
    <w:basedOn w:val="Normal"/>
    <w:next w:val="Text1"/>
    <w:pPr>
      <w:numPr>
        <w:ilvl w:val="2"/>
        <w:numId w:val="42"/>
      </w:numPr>
    </w:pPr>
  </w:style>
  <w:style w:type="paragraph" w:customStyle="1" w:styleId="NumPar4">
    <w:name w:val="NumPar 4"/>
    <w:basedOn w:val="Normal"/>
    <w:next w:val="Text1"/>
    <w:pPr>
      <w:numPr>
        <w:ilvl w:val="3"/>
        <w:numId w:val="42"/>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4"/>
      </w:numPr>
    </w:pPr>
  </w:style>
  <w:style w:type="paragraph" w:customStyle="1" w:styleId="Point1number">
    <w:name w:val="Point 1 (number)"/>
    <w:basedOn w:val="Normal"/>
    <w:pPr>
      <w:numPr>
        <w:ilvl w:val="2"/>
        <w:numId w:val="44"/>
      </w:numPr>
    </w:pPr>
  </w:style>
  <w:style w:type="paragraph" w:customStyle="1" w:styleId="Point2number">
    <w:name w:val="Point 2 (number)"/>
    <w:basedOn w:val="Normal"/>
    <w:pPr>
      <w:numPr>
        <w:ilvl w:val="4"/>
        <w:numId w:val="44"/>
      </w:numPr>
    </w:pPr>
  </w:style>
  <w:style w:type="paragraph" w:customStyle="1" w:styleId="Point3number">
    <w:name w:val="Point 3 (number)"/>
    <w:basedOn w:val="Normal"/>
    <w:pPr>
      <w:numPr>
        <w:ilvl w:val="6"/>
        <w:numId w:val="44"/>
      </w:numPr>
    </w:pPr>
  </w:style>
  <w:style w:type="paragraph" w:customStyle="1" w:styleId="Point0letter">
    <w:name w:val="Point 0 (letter)"/>
    <w:basedOn w:val="Normal"/>
    <w:pPr>
      <w:numPr>
        <w:ilvl w:val="1"/>
        <w:numId w:val="44"/>
      </w:numPr>
    </w:pPr>
  </w:style>
  <w:style w:type="paragraph" w:customStyle="1" w:styleId="Point1letter">
    <w:name w:val="Point 1 (letter)"/>
    <w:basedOn w:val="Normal"/>
    <w:pPr>
      <w:numPr>
        <w:ilvl w:val="3"/>
        <w:numId w:val="44"/>
      </w:numPr>
    </w:pPr>
  </w:style>
  <w:style w:type="paragraph" w:customStyle="1" w:styleId="Point2letter">
    <w:name w:val="Point 2 (letter)"/>
    <w:basedOn w:val="Normal"/>
    <w:pPr>
      <w:numPr>
        <w:ilvl w:val="5"/>
        <w:numId w:val="44"/>
      </w:numPr>
    </w:pPr>
  </w:style>
  <w:style w:type="paragraph" w:customStyle="1" w:styleId="Point3letter">
    <w:name w:val="Point 3 (letter)"/>
    <w:basedOn w:val="Normal"/>
    <w:pPr>
      <w:numPr>
        <w:ilvl w:val="7"/>
        <w:numId w:val="44"/>
      </w:numPr>
    </w:pPr>
  </w:style>
  <w:style w:type="paragraph" w:customStyle="1" w:styleId="Point4letter">
    <w:name w:val="Point 4 (letter)"/>
    <w:basedOn w:val="Normal"/>
    <w:pPr>
      <w:numPr>
        <w:ilvl w:val="8"/>
        <w:numId w:val="44"/>
      </w:numPr>
    </w:pPr>
  </w:style>
  <w:style w:type="paragraph" w:customStyle="1" w:styleId="Bullet0">
    <w:name w:val="Bullet 0"/>
    <w:basedOn w:val="Normal"/>
    <w:pPr>
      <w:numPr>
        <w:numId w:val="45"/>
      </w:numPr>
    </w:pPr>
  </w:style>
  <w:style w:type="paragraph" w:customStyle="1" w:styleId="Bullet1">
    <w:name w:val="Bullet 1"/>
    <w:basedOn w:val="Normal"/>
    <w:pPr>
      <w:numPr>
        <w:numId w:val="46"/>
      </w:numPr>
    </w:pPr>
  </w:style>
  <w:style w:type="paragraph" w:customStyle="1" w:styleId="Bullet2">
    <w:name w:val="Bullet 2"/>
    <w:basedOn w:val="Normal"/>
    <w:pPr>
      <w:numPr>
        <w:numId w:val="47"/>
      </w:numPr>
    </w:pPr>
  </w:style>
  <w:style w:type="paragraph" w:customStyle="1" w:styleId="Bullet3">
    <w:name w:val="Bullet 3"/>
    <w:basedOn w:val="Normal"/>
    <w:pPr>
      <w:numPr>
        <w:numId w:val="48"/>
      </w:numPr>
    </w:pPr>
  </w:style>
  <w:style w:type="paragraph" w:customStyle="1" w:styleId="Bullet4">
    <w:name w:val="Bullet 4"/>
    <w:basedOn w:val="Normal"/>
    <w:pPr>
      <w:numPr>
        <w:numId w:val="49"/>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0"/>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caption"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pPr>
      <w:spacing w:before="120" w:after="120" w:line="240" w:lineRule="auto"/>
      <w:jc w:val="both"/>
    </w:pPr>
    <w:rPr>
      <w:rFonts w:ascii="Times New Roman" w:hAnsi="Times New Roman" w:cs="Times New Roman"/>
      <w:sz w:val="24"/>
      <w:lang w:val="bg-BG"/>
    </w:rPr>
  </w:style>
  <w:style w:type="paragraph" w:styleId="Heading1">
    <w:name w:val="heading 1"/>
    <w:basedOn w:val="Normal"/>
    <w:next w:val="Text1"/>
    <w:link w:val="Heading1Char"/>
    <w:uiPriority w:val="9"/>
    <w:qFormat/>
    <w:pPr>
      <w:keepNext/>
      <w:numPr>
        <w:numId w:val="43"/>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3"/>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3"/>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3"/>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unhideWhenUsed/>
    <w:rPr>
      <w:color w:val="800080"/>
      <w:u w:val="single"/>
    </w:rPr>
  </w:style>
  <w:style w:type="paragraph" w:customStyle="1" w:styleId="xl118">
    <w:name w:val="xl118"/>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19">
    <w:name w:val="xl119"/>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20">
    <w:name w:val="xl12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21">
    <w:name w:val="xl12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22">
    <w:name w:val="xl122"/>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23">
    <w:name w:val="xl123"/>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24">
    <w:name w:val="xl124"/>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125">
    <w:name w:val="xl125"/>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6">
    <w:name w:val="xl126"/>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127">
    <w:name w:val="xl127"/>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8">
    <w:name w:val="xl128"/>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129">
    <w:name w:val="xl129"/>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130">
    <w:name w:val="xl13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131">
    <w:name w:val="xl131"/>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2">
    <w:name w:val="xl13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33">
    <w:name w:val="xl133"/>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34">
    <w:name w:val="xl134"/>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35">
    <w:name w:val="xl135"/>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36">
    <w:name w:val="xl136"/>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137">
    <w:name w:val="xl137"/>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8">
    <w:name w:val="xl138"/>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39">
    <w:name w:val="xl139"/>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40">
    <w:name w:val="xl14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41">
    <w:name w:val="xl14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42">
    <w:name w:val="xl142"/>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3">
    <w:name w:val="xl143"/>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4">
    <w:name w:val="xl144"/>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45">
    <w:name w:val="xl145"/>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146">
    <w:name w:val="xl14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47">
    <w:name w:val="xl147"/>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48">
    <w:name w:val="xl148"/>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49">
    <w:name w:val="xl149"/>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50">
    <w:name w:val="xl150"/>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51">
    <w:name w:val="xl151"/>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52">
    <w:name w:val="xl152"/>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53">
    <w:name w:val="xl153"/>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4">
    <w:name w:val="xl154"/>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5">
    <w:name w:val="xl155"/>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156">
    <w:name w:val="xl15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57">
    <w:name w:val="xl15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4"/>
      <w:szCs w:val="14"/>
      <w:lang w:eastAsia="en-GB"/>
    </w:rPr>
  </w:style>
  <w:style w:type="paragraph" w:customStyle="1" w:styleId="xl158">
    <w:name w:val="xl1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59">
    <w:name w:val="xl15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60">
    <w:name w:val="xl16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1">
    <w:name w:val="xl16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162">
    <w:name w:val="xl16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3">
    <w:name w:val="xl16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64">
    <w:name w:val="xl16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165">
    <w:name w:val="xl16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166">
    <w:name w:val="xl16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67">
    <w:name w:val="xl16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68">
    <w:name w:val="xl16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69">
    <w:name w:val="xl16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70">
    <w:name w:val="xl17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1">
    <w:name w:val="xl17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72">
    <w:name w:val="xl17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73">
    <w:name w:val="xl17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74">
    <w:name w:val="xl17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75">
    <w:name w:val="xl17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76">
    <w:name w:val="xl17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7">
    <w:name w:val="xl17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78">
    <w:name w:val="xl17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79">
    <w:name w:val="xl17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0">
    <w:name w:val="xl18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1">
    <w:name w:val="xl18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82">
    <w:name w:val="xl18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3">
    <w:name w:val="xl18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84">
    <w:name w:val="xl18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85">
    <w:name w:val="xl18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186">
    <w:name w:val="xl18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87">
    <w:name w:val="xl18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88">
    <w:name w:val="xl18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9">
    <w:name w:val="xl18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0">
    <w:name w:val="xl19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1">
    <w:name w:val="xl19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92">
    <w:name w:val="xl19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3">
    <w:name w:val="xl19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94">
    <w:name w:val="xl19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95">
    <w:name w:val="xl1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6">
    <w:name w:val="xl19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7">
    <w:name w:val="xl19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98">
    <w:name w:val="xl19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199">
    <w:name w:val="xl19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00">
    <w:name w:val="xl20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1">
    <w:name w:val="xl20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2">
    <w:name w:val="xl20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3">
    <w:name w:val="xl20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4">
    <w:name w:val="xl20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5">
    <w:name w:val="xl205"/>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6">
    <w:name w:val="xl206"/>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07">
    <w:name w:val="xl207"/>
    <w:basedOn w:val="Normal"/>
    <w:uiPriority w:val="99"/>
    <w:pPr>
      <w:pBdr>
        <w:top w:val="single" w:sz="4" w:space="0" w:color="auto"/>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08">
    <w:name w:val="xl208"/>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9">
    <w:name w:val="xl209"/>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10">
    <w:name w:val="xl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1">
    <w:name w:val="xl211"/>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12">
    <w:name w:val="xl212"/>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13">
    <w:name w:val="xl213"/>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14">
    <w:name w:val="xl214"/>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15">
    <w:name w:val="xl21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6">
    <w:name w:val="xl21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17">
    <w:name w:val="xl217"/>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8">
    <w:name w:val="xl218"/>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19">
    <w:name w:val="xl21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0">
    <w:name w:val="xl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21">
    <w:name w:val="xl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2">
    <w:name w:val="xl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3">
    <w:name w:val="xl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24">
    <w:name w:val="xl224"/>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25">
    <w:name w:val="xl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26">
    <w:name w:val="xl22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27">
    <w:name w:val="xl22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8">
    <w:name w:val="xl22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9">
    <w:name w:val="xl229"/>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0">
    <w:name w:val="xl2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31">
    <w:name w:val="xl231"/>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32">
    <w:name w:val="xl232"/>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33">
    <w:name w:val="xl233"/>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4">
    <w:name w:val="xl234"/>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5">
    <w:name w:val="xl23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6">
    <w:name w:val="xl236"/>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37">
    <w:name w:val="xl237"/>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8">
    <w:name w:val="xl238"/>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9">
    <w:name w:val="xl239"/>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0">
    <w:name w:val="xl240"/>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41">
    <w:name w:val="xl241"/>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42">
    <w:name w:val="xl242"/>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3">
    <w:name w:val="xl243"/>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4">
    <w:name w:val="xl244"/>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5">
    <w:name w:val="xl24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6">
    <w:name w:val="xl246"/>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7">
    <w:name w:val="xl247"/>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8">
    <w:name w:val="xl248"/>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9">
    <w:name w:val="xl2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50">
    <w:name w:val="xl2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1">
    <w:name w:val="xl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2">
    <w:name w:val="xl252"/>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3">
    <w:name w:val="xl253"/>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54">
    <w:name w:val="xl254"/>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55">
    <w:name w:val="xl255"/>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56">
    <w:name w:val="xl25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57">
    <w:name w:val="xl25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8">
    <w:name w:val="xl2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59">
    <w:name w:val="xl259"/>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0">
    <w:name w:val="xl260"/>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1">
    <w:name w:val="xl261"/>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
    <w:name w:val="xl26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
    <w:name w:val="xl263"/>
    <w:basedOn w:val="Normal"/>
    <w:uiPriority w:val="99"/>
    <w:pPr>
      <w:spacing w:before="100" w:beforeAutospacing="1" w:after="100" w:afterAutospacing="1"/>
      <w:jc w:val="left"/>
    </w:pPr>
    <w:rPr>
      <w:rFonts w:eastAsia="Times New Roman"/>
      <w:sz w:val="18"/>
      <w:szCs w:val="18"/>
      <w:lang w:eastAsia="en-GB"/>
    </w:rPr>
  </w:style>
  <w:style w:type="paragraph" w:customStyle="1" w:styleId="xl264">
    <w:name w:val="xl264"/>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5">
    <w:name w:val="xl265"/>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6">
    <w:name w:val="xl266"/>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7">
    <w:name w:val="xl267"/>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8">
    <w:name w:val="xl268"/>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9">
    <w:name w:val="xl269"/>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0">
    <w:name w:val="xl270"/>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1">
    <w:name w:val="xl271"/>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2">
    <w:name w:val="xl2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73">
    <w:name w:val="xl273"/>
    <w:basedOn w:val="Normal"/>
    <w:uiPriority w:val="99"/>
    <w:pPr>
      <w:spacing w:before="100" w:beforeAutospacing="1" w:after="100" w:afterAutospacing="1"/>
      <w:jc w:val="right"/>
    </w:pPr>
    <w:rPr>
      <w:rFonts w:eastAsia="Times New Roman"/>
      <w:sz w:val="18"/>
      <w:szCs w:val="18"/>
      <w:lang w:eastAsia="en-GB"/>
    </w:rPr>
  </w:style>
  <w:style w:type="paragraph" w:customStyle="1" w:styleId="xl274">
    <w:name w:val="xl27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75">
    <w:name w:val="xl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76">
    <w:name w:val="xl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7">
    <w:name w:val="xl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78">
    <w:name w:val="xl27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79">
    <w:name w:val="xl279"/>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0">
    <w:name w:val="xl280"/>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81">
    <w:name w:val="xl281"/>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2">
    <w:name w:val="xl282"/>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3">
    <w:name w:val="xl283"/>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4">
    <w:name w:val="xl284"/>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5">
    <w:name w:val="xl285"/>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86">
    <w:name w:val="xl286"/>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7">
    <w:name w:val="xl287"/>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8">
    <w:name w:val="xl288"/>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89">
    <w:name w:val="xl289"/>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90">
    <w:name w:val="xl290"/>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91">
    <w:name w:val="xl291"/>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92">
    <w:name w:val="xl292"/>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93">
    <w:name w:val="xl29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94">
    <w:name w:val="xl294"/>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5">
    <w:name w:val="xl2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96">
    <w:name w:val="xl296"/>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7">
    <w:name w:val="xl297"/>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98">
    <w:name w:val="xl29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99">
    <w:name w:val="xl299"/>
    <w:basedOn w:val="Normal"/>
    <w:uiPriority w:val="99"/>
    <w:pPr>
      <w:spacing w:before="100" w:beforeAutospacing="1" w:after="100" w:afterAutospacing="1"/>
      <w:jc w:val="left"/>
      <w:textAlignment w:val="top"/>
    </w:pPr>
    <w:rPr>
      <w:rFonts w:eastAsia="Times New Roman"/>
      <w:color w:val="000000"/>
      <w:sz w:val="16"/>
      <w:szCs w:val="16"/>
      <w:lang w:eastAsia="en-GB"/>
    </w:rPr>
  </w:style>
  <w:style w:type="paragraph" w:styleId="BalloonText">
    <w:name w:val="Balloon Text"/>
    <w:basedOn w:val="Normal"/>
    <w:link w:val="BalloonTextChar"/>
    <w:uiPriority w:val="99"/>
    <w:pPr>
      <w:spacing w:before="0" w:after="0"/>
      <w:jc w:val="left"/>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bg-BG" w:eastAsia="en-GB"/>
    </w:rPr>
  </w:style>
  <w:style w:type="paragraph" w:customStyle="1" w:styleId="FooterCouncil">
    <w:name w:val="Footer Council"/>
    <w:basedOn w:val="Normal"/>
    <w:link w:val="FooterCouncilChar"/>
    <w:uiPriority w:val="99"/>
    <w:pPr>
      <w:spacing w:before="0" w:after="0"/>
      <w:jc w:val="left"/>
    </w:pPr>
    <w:rPr>
      <w:rFonts w:eastAsia="Times New Roman"/>
      <w:sz w:val="2"/>
      <w:szCs w:val="24"/>
    </w:rPr>
  </w:style>
  <w:style w:type="paragraph" w:customStyle="1" w:styleId="FooterText">
    <w:name w:val="Footer Text"/>
    <w:basedOn w:val="Normal"/>
    <w:uiPriority w:val="99"/>
    <w:pPr>
      <w:spacing w:before="0" w:after="0"/>
      <w:jc w:val="left"/>
    </w:pPr>
    <w:rPr>
      <w:rFonts w:eastAsia="Times New Roman"/>
      <w:szCs w:val="24"/>
    </w:rPr>
  </w:style>
  <w:style w:type="character" w:customStyle="1" w:styleId="FooterCouncilChar">
    <w:name w:val="Footer Council Char"/>
    <w:link w:val="FooterCouncil"/>
    <w:rPr>
      <w:rFonts w:ascii="Times New Roman" w:eastAsia="Times New Roman" w:hAnsi="Times New Roman" w:cs="Times New Roman"/>
      <w:sz w:val="2"/>
      <w:szCs w:val="24"/>
      <w:lang w:val="bg-BG"/>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uiPriority w:val="99"/>
    <w:pPr>
      <w:spacing w:before="0" w:after="0"/>
      <w:jc w:val="left"/>
    </w:pPr>
    <w:rPr>
      <w:rFonts w:eastAsia="Times New Roman"/>
      <w:sz w:val="20"/>
      <w:szCs w:val="20"/>
      <w:lang w:eastAsia="en-GB"/>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lang w:val="bg-BG" w:eastAsia="en-GB"/>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rFonts w:ascii="Times New Roman" w:eastAsia="Times New Roman" w:hAnsi="Times New Roman" w:cs="Times New Roman"/>
      <w:b/>
      <w:bCs/>
      <w:sz w:val="20"/>
      <w:szCs w:val="20"/>
      <w:lang w:val="bg-BG" w:eastAsia="en-GB"/>
    </w:rPr>
  </w:style>
  <w:style w:type="paragraph" w:customStyle="1" w:styleId="HeaderCouncil">
    <w:name w:val="Header Council"/>
    <w:basedOn w:val="Normal"/>
    <w:link w:val="HeaderCouncilChar"/>
    <w:uiPriority w:val="99"/>
    <w:pPr>
      <w:spacing w:before="0" w:after="0"/>
      <w:jc w:val="left"/>
    </w:pPr>
    <w:rPr>
      <w:rFonts w:eastAsia="Times New Roman"/>
      <w:sz w:val="2"/>
      <w:szCs w:val="24"/>
    </w:rPr>
  </w:style>
  <w:style w:type="paragraph" w:customStyle="1" w:styleId="TechnicalBlock">
    <w:name w:val="Technical Block"/>
    <w:basedOn w:val="Normal"/>
    <w:next w:val="Normal"/>
    <w:link w:val="TechnicalBlockChar"/>
    <w:uiPriority w:val="99"/>
    <w:pPr>
      <w:spacing w:before="0" w:after="240"/>
      <w:jc w:val="center"/>
    </w:pPr>
    <w:rPr>
      <w:rFonts w:eastAsia="Times New Roman"/>
      <w:szCs w:val="24"/>
    </w:rPr>
  </w:style>
  <w:style w:type="paragraph" w:customStyle="1" w:styleId="Annexetitreacte">
    <w:name w:val="Annexe titre (acte)"/>
    <w:basedOn w:val="Normal"/>
    <w:next w:val="Normal"/>
    <w:uiPriority w:val="99"/>
    <w:pPr>
      <w:spacing w:line="360" w:lineRule="auto"/>
      <w:jc w:val="center"/>
    </w:pPr>
    <w:rPr>
      <w:rFonts w:eastAsia="Times New Roman"/>
      <w:b/>
      <w:szCs w:val="24"/>
      <w:u w:val="single"/>
    </w:rPr>
  </w:style>
  <w:style w:type="paragraph" w:customStyle="1" w:styleId="Annexetitreglobale">
    <w:name w:val="Annexe titre (globale)"/>
    <w:basedOn w:val="Normal"/>
    <w:next w:val="Normal"/>
    <w:uiPriority w:val="99"/>
    <w:pPr>
      <w:spacing w:line="360" w:lineRule="auto"/>
      <w:jc w:val="center"/>
    </w:pPr>
    <w:rPr>
      <w:rFonts w:eastAsia="Times New Roman"/>
      <w:b/>
      <w:szCs w:val="24"/>
      <w:u w:val="single"/>
    </w:rPr>
  </w:style>
  <w:style w:type="paragraph" w:customStyle="1" w:styleId="Lignefinal">
    <w:name w:val="Ligne final"/>
    <w:basedOn w:val="Normal"/>
    <w:next w:val="Normal"/>
    <w:link w:val="LignefinalChar"/>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uiPriority w:val="99"/>
    <w:pPr>
      <w:spacing w:before="0" w:after="0" w:line="360" w:lineRule="auto"/>
      <w:ind w:left="5103"/>
      <w:jc w:val="left"/>
    </w:pPr>
    <w:rPr>
      <w:rFonts w:eastAsia="Times New Roman"/>
      <w:szCs w:val="24"/>
    </w:rPr>
  </w:style>
  <w:style w:type="paragraph" w:customStyle="1" w:styleId="EntLogo">
    <w:name w:val="EntLogo"/>
    <w:basedOn w:val="Normal"/>
    <w:uiPriority w:val="99"/>
    <w:pPr>
      <w:tabs>
        <w:tab w:val="right" w:pos="9639"/>
      </w:tabs>
      <w:spacing w:before="0" w:after="0" w:line="360" w:lineRule="auto"/>
      <w:jc w:val="left"/>
    </w:pPr>
    <w:rPr>
      <w:rFonts w:eastAsia="Times New Roman"/>
      <w:b/>
      <w:szCs w:val="24"/>
    </w:rPr>
  </w:style>
  <w:style w:type="paragraph" w:customStyle="1" w:styleId="EntInstit">
    <w:name w:val="EntInstit"/>
    <w:basedOn w:val="Normal"/>
    <w:uiPriority w:val="99"/>
    <w:pPr>
      <w:spacing w:before="0" w:after="0"/>
      <w:jc w:val="right"/>
    </w:pPr>
    <w:rPr>
      <w:rFonts w:eastAsia="Times New Roman"/>
      <w:b/>
      <w:szCs w:val="24"/>
    </w:rPr>
  </w:style>
  <w:style w:type="paragraph" w:customStyle="1" w:styleId="EntRefer">
    <w:name w:val="EntRefer"/>
    <w:basedOn w:val="Normal"/>
    <w:uiPriority w:val="99"/>
    <w:pPr>
      <w:spacing w:before="0" w:after="0"/>
      <w:jc w:val="left"/>
    </w:pPr>
    <w:rPr>
      <w:rFonts w:eastAsia="Times New Roman"/>
      <w:b/>
      <w:szCs w:val="24"/>
    </w:rPr>
  </w:style>
  <w:style w:type="paragraph" w:customStyle="1" w:styleId="EntEmet">
    <w:name w:val="EntEmet"/>
    <w:basedOn w:val="Normal"/>
    <w:uiPriority w:val="99"/>
    <w:pPr>
      <w:spacing w:before="40" w:after="0"/>
      <w:jc w:val="left"/>
    </w:pPr>
    <w:rPr>
      <w:rFonts w:eastAsia="Times New Roman"/>
      <w:szCs w:val="24"/>
    </w:rPr>
  </w:style>
  <w:style w:type="paragraph" w:customStyle="1" w:styleId="EntText">
    <w:name w:val="EntText"/>
    <w:basedOn w:val="Normal"/>
    <w:uiPriority w:val="99"/>
    <w:pPr>
      <w:spacing w:line="360" w:lineRule="auto"/>
      <w:jc w:val="left"/>
    </w:pPr>
    <w:rPr>
      <w:rFonts w:eastAsia="Times New Roman"/>
      <w:szCs w:val="24"/>
    </w:rPr>
  </w:style>
  <w:style w:type="paragraph" w:customStyle="1" w:styleId="EntEU">
    <w:name w:val="EntEU"/>
    <w:basedOn w:val="Normal"/>
    <w:uiPriority w:val="99"/>
    <w:pPr>
      <w:spacing w:before="240" w:after="240"/>
      <w:jc w:val="center"/>
    </w:pPr>
    <w:rPr>
      <w:rFonts w:eastAsia="Times New Roman"/>
      <w:b/>
      <w:sz w:val="36"/>
      <w:szCs w:val="24"/>
    </w:rPr>
  </w:style>
  <w:style w:type="paragraph" w:customStyle="1" w:styleId="EntASSOC">
    <w:name w:val="EntASSOC"/>
    <w:basedOn w:val="Normal"/>
    <w:uiPriority w:val="99"/>
    <w:pPr>
      <w:spacing w:before="0" w:after="0"/>
      <w:jc w:val="center"/>
    </w:pPr>
    <w:rPr>
      <w:rFonts w:eastAsia="Times New Roman"/>
      <w:b/>
      <w:szCs w:val="24"/>
    </w:rPr>
  </w:style>
  <w:style w:type="paragraph" w:customStyle="1" w:styleId="EntACP">
    <w:name w:val="EntACP"/>
    <w:basedOn w:val="Normal"/>
    <w:uiPriority w:val="99"/>
    <w:pPr>
      <w:spacing w:before="0" w:after="180"/>
      <w:jc w:val="center"/>
    </w:pPr>
    <w:rPr>
      <w:rFonts w:eastAsia="Times New Roman"/>
      <w:b/>
      <w:spacing w:val="40"/>
      <w:sz w:val="28"/>
      <w:szCs w:val="24"/>
    </w:rPr>
  </w:style>
  <w:style w:type="paragraph" w:customStyle="1" w:styleId="EntInstitACP">
    <w:name w:val="EntInstitACP"/>
    <w:basedOn w:val="Normal"/>
    <w:uiPriority w:val="99"/>
    <w:pPr>
      <w:spacing w:before="0" w:after="0"/>
      <w:jc w:val="center"/>
    </w:pPr>
    <w:rPr>
      <w:rFonts w:eastAsia="Times New Roman"/>
      <w:b/>
      <w:szCs w:val="24"/>
    </w:rPr>
  </w:style>
  <w:style w:type="paragraph" w:customStyle="1" w:styleId="Genredudocument">
    <w:name w:val="Genre du document"/>
    <w:basedOn w:val="EntRefer"/>
    <w:next w:val="EntRefer"/>
    <w:uiPriority w:val="99"/>
    <w:pPr>
      <w:spacing w:before="240"/>
    </w:pPr>
  </w:style>
  <w:style w:type="paragraph" w:customStyle="1" w:styleId="Accordtitre">
    <w:name w:val="Accord titre"/>
    <w:basedOn w:val="Normal"/>
    <w:uiPriority w:val="99"/>
    <w:pPr>
      <w:spacing w:before="0" w:after="0" w:line="360" w:lineRule="auto"/>
      <w:jc w:val="center"/>
    </w:pPr>
    <w:rPr>
      <w:rFonts w:eastAsia="Times New Roman"/>
      <w:szCs w:val="24"/>
    </w:rPr>
  </w:style>
  <w:style w:type="paragraph" w:customStyle="1" w:styleId="FooterAccord">
    <w:name w:val="Footer Accord"/>
    <w:basedOn w:val="Normal"/>
    <w:uiPriority w:val="99"/>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uiPriority w:val="99"/>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uiPriority w:val="99"/>
    <w:pPr>
      <w:keepNext/>
      <w:spacing w:before="600" w:line="360" w:lineRule="auto"/>
      <w:jc w:val="center"/>
    </w:pPr>
    <w:rPr>
      <w:rFonts w:eastAsia="Times New Roman"/>
      <w:i/>
      <w:szCs w:val="24"/>
    </w:rPr>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4"/>
    </w:rPr>
  </w:style>
  <w:style w:type="character" w:customStyle="1" w:styleId="LignefinalChar">
    <w:name w:val="Ligne final Char"/>
    <w:link w:val="Lignefinal"/>
    <w:rPr>
      <w:rFonts w:ascii="Times New Roman" w:eastAsia="Times New Roman" w:hAnsi="Times New Roman" w:cs="Times New Roman"/>
      <w:b/>
      <w:sz w:val="24"/>
      <w:szCs w:val="24"/>
      <w:lang w:val="bg-BG"/>
    </w:rPr>
  </w:style>
  <w:style w:type="character" w:customStyle="1" w:styleId="HeaderCouncilLargeChar">
    <w:name w:val="Header Council Large Char"/>
    <w:link w:val="HeaderCouncilLarge"/>
    <w:rPr>
      <w:rFonts w:ascii="Times New Roman" w:eastAsia="Times New Roman" w:hAnsi="Times New Roman" w:cs="Times New Roman"/>
      <w:sz w:val="2"/>
      <w:szCs w:val="24"/>
      <w:lang w:val="bg-BG"/>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outlineLvl w:val="4"/>
    </w:pPr>
    <w:rPr>
      <w:rFonts w:eastAsia="Times New Roman"/>
      <w:szCs w:val="24"/>
    </w:rPr>
  </w:style>
  <w:style w:type="paragraph" w:customStyle="1" w:styleId="Text6">
    <w:name w:val="Text 6"/>
    <w:basedOn w:val="Normal"/>
    <w:uiPriority w:val="99"/>
    <w:pPr>
      <w:spacing w:line="360" w:lineRule="auto"/>
      <w:ind w:left="3402"/>
      <w:jc w:val="left"/>
      <w:outlineLvl w:val="5"/>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outlineLvl w:val="0"/>
    </w:pPr>
    <w:rPr>
      <w:rFonts w:eastAsia="Times New Roman"/>
      <w:szCs w:val="24"/>
    </w:rPr>
  </w:style>
  <w:style w:type="paragraph" w:customStyle="1" w:styleId="PointManual2">
    <w:name w:val="Point Manual (2)"/>
    <w:basedOn w:val="Normal"/>
    <w:uiPriority w:val="99"/>
    <w:pPr>
      <w:spacing w:line="360" w:lineRule="auto"/>
      <w:ind w:left="1701" w:hanging="567"/>
      <w:jc w:val="left"/>
      <w:outlineLvl w:val="1"/>
    </w:pPr>
    <w:rPr>
      <w:rFonts w:eastAsia="Times New Roman"/>
      <w:szCs w:val="24"/>
    </w:rPr>
  </w:style>
  <w:style w:type="paragraph" w:customStyle="1" w:styleId="PointManual3">
    <w:name w:val="Point Manual (3)"/>
    <w:basedOn w:val="Normal"/>
    <w:uiPriority w:val="99"/>
    <w:pPr>
      <w:spacing w:line="360" w:lineRule="auto"/>
      <w:ind w:left="2268" w:hanging="567"/>
      <w:jc w:val="left"/>
      <w:outlineLvl w:val="2"/>
    </w:pPr>
    <w:rPr>
      <w:rFonts w:eastAsia="Times New Roman"/>
      <w:szCs w:val="24"/>
    </w:rPr>
  </w:style>
  <w:style w:type="paragraph" w:customStyle="1" w:styleId="PointManual4">
    <w:name w:val="Point Manual (4)"/>
    <w:basedOn w:val="Normal"/>
    <w:uiPriority w:val="99"/>
    <w:pPr>
      <w:spacing w:line="360" w:lineRule="auto"/>
      <w:ind w:left="2835" w:hanging="567"/>
      <w:jc w:val="left"/>
      <w:outlineLvl w:val="3"/>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outlineLvl w:val="0"/>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outlineLvl w:val="1"/>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outlineLvl w:val="2"/>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outlineLvl w:val="3"/>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outlineLvl w:val="0"/>
    </w:pPr>
    <w:rPr>
      <w:rFonts w:eastAsia="Times New Roman"/>
      <w:szCs w:val="24"/>
    </w:rPr>
  </w:style>
  <w:style w:type="paragraph" w:customStyle="1" w:styleId="Pointabc2">
    <w:name w:val="Point abc (2)"/>
    <w:basedOn w:val="Normal"/>
    <w:uiPriority w:val="99"/>
    <w:pPr>
      <w:numPr>
        <w:ilvl w:val="5"/>
        <w:numId w:val="12"/>
      </w:numPr>
      <w:spacing w:line="360" w:lineRule="auto"/>
      <w:jc w:val="left"/>
      <w:outlineLvl w:val="1"/>
    </w:pPr>
    <w:rPr>
      <w:rFonts w:eastAsia="Times New Roman"/>
      <w:szCs w:val="24"/>
    </w:rPr>
  </w:style>
  <w:style w:type="paragraph" w:customStyle="1" w:styleId="Pointabc3">
    <w:name w:val="Point abc (3)"/>
    <w:basedOn w:val="Normal"/>
    <w:uiPriority w:val="99"/>
    <w:pPr>
      <w:numPr>
        <w:ilvl w:val="7"/>
        <w:numId w:val="12"/>
      </w:numPr>
      <w:spacing w:line="360" w:lineRule="auto"/>
      <w:jc w:val="left"/>
      <w:outlineLvl w:val="2"/>
    </w:pPr>
    <w:rPr>
      <w:rFonts w:eastAsia="Times New Roman"/>
      <w:szCs w:val="24"/>
    </w:rPr>
  </w:style>
  <w:style w:type="paragraph" w:customStyle="1" w:styleId="Pointabc4">
    <w:name w:val="Point abc (4)"/>
    <w:basedOn w:val="Normal"/>
    <w:uiPriority w:val="99"/>
    <w:pPr>
      <w:numPr>
        <w:ilvl w:val="8"/>
        <w:numId w:val="12"/>
      </w:numPr>
      <w:spacing w:line="360" w:lineRule="auto"/>
      <w:jc w:val="left"/>
      <w:outlineLvl w:val="3"/>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outlineLvl w:val="0"/>
    </w:pPr>
    <w:rPr>
      <w:rFonts w:eastAsia="Times New Roman"/>
      <w:szCs w:val="24"/>
    </w:rPr>
  </w:style>
  <w:style w:type="paragraph" w:customStyle="1" w:styleId="Point1232">
    <w:name w:val="Point 123 (2)"/>
    <w:basedOn w:val="Normal"/>
    <w:uiPriority w:val="99"/>
    <w:pPr>
      <w:numPr>
        <w:ilvl w:val="4"/>
        <w:numId w:val="12"/>
      </w:numPr>
      <w:spacing w:line="360" w:lineRule="auto"/>
      <w:jc w:val="left"/>
      <w:outlineLvl w:val="1"/>
    </w:pPr>
    <w:rPr>
      <w:rFonts w:eastAsia="Times New Roman"/>
      <w:szCs w:val="24"/>
    </w:rPr>
  </w:style>
  <w:style w:type="paragraph" w:customStyle="1" w:styleId="Point1233">
    <w:name w:val="Point 123 (3)"/>
    <w:basedOn w:val="Normal"/>
    <w:uiPriority w:val="99"/>
    <w:pPr>
      <w:numPr>
        <w:ilvl w:val="6"/>
        <w:numId w:val="12"/>
      </w:numPr>
      <w:spacing w:line="360" w:lineRule="auto"/>
      <w:jc w:val="left"/>
      <w:outlineLvl w:val="2"/>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outlineLvl w:val="0"/>
    </w:pPr>
    <w:rPr>
      <w:rFonts w:eastAsia="Times New Roman"/>
      <w:szCs w:val="24"/>
    </w:rPr>
  </w:style>
  <w:style w:type="paragraph" w:customStyle="1" w:styleId="Pointivx2">
    <w:name w:val="Point ivx (2)"/>
    <w:basedOn w:val="Normal"/>
    <w:uiPriority w:val="99"/>
    <w:pPr>
      <w:numPr>
        <w:ilvl w:val="2"/>
        <w:numId w:val="13"/>
      </w:numPr>
      <w:spacing w:line="360" w:lineRule="auto"/>
      <w:jc w:val="left"/>
      <w:outlineLvl w:val="1"/>
    </w:pPr>
    <w:rPr>
      <w:rFonts w:eastAsia="Times New Roman"/>
      <w:szCs w:val="24"/>
    </w:rPr>
  </w:style>
  <w:style w:type="paragraph" w:customStyle="1" w:styleId="Pointivx3">
    <w:name w:val="Point ivx (3)"/>
    <w:basedOn w:val="Normal"/>
    <w:uiPriority w:val="99"/>
    <w:pPr>
      <w:numPr>
        <w:ilvl w:val="3"/>
        <w:numId w:val="13"/>
      </w:numPr>
      <w:spacing w:line="360" w:lineRule="auto"/>
      <w:jc w:val="left"/>
      <w:outlineLvl w:val="2"/>
    </w:pPr>
    <w:rPr>
      <w:rFonts w:eastAsia="Times New Roman"/>
      <w:szCs w:val="24"/>
    </w:rPr>
  </w:style>
  <w:style w:type="paragraph" w:customStyle="1" w:styleId="Pointivx4">
    <w:name w:val="Point ivx (4)"/>
    <w:basedOn w:val="Normal"/>
    <w:uiPriority w:val="99"/>
    <w:pPr>
      <w:numPr>
        <w:ilvl w:val="4"/>
        <w:numId w:val="13"/>
      </w:numPr>
      <w:spacing w:line="360" w:lineRule="auto"/>
      <w:jc w:val="left"/>
      <w:outlineLvl w:val="3"/>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outlineLvl w:val="0"/>
    </w:pPr>
    <w:rPr>
      <w:rFonts w:eastAsia="Times New Roman"/>
      <w:szCs w:val="24"/>
    </w:rPr>
  </w:style>
  <w:style w:type="paragraph" w:customStyle="1" w:styleId="Dash2">
    <w:name w:val="Dash 2"/>
    <w:basedOn w:val="Normal"/>
    <w:uiPriority w:val="99"/>
    <w:pPr>
      <w:numPr>
        <w:numId w:val="3"/>
      </w:numPr>
      <w:spacing w:line="360" w:lineRule="auto"/>
      <w:jc w:val="left"/>
      <w:outlineLvl w:val="1"/>
    </w:pPr>
    <w:rPr>
      <w:rFonts w:eastAsia="Times New Roman"/>
      <w:szCs w:val="24"/>
    </w:rPr>
  </w:style>
  <w:style w:type="paragraph" w:customStyle="1" w:styleId="Dash3">
    <w:name w:val="Dash 3"/>
    <w:basedOn w:val="Normal"/>
    <w:uiPriority w:val="99"/>
    <w:pPr>
      <w:numPr>
        <w:numId w:val="4"/>
      </w:numPr>
      <w:spacing w:line="360" w:lineRule="auto"/>
      <w:jc w:val="left"/>
      <w:outlineLvl w:val="2"/>
    </w:pPr>
    <w:rPr>
      <w:rFonts w:eastAsia="Times New Roman"/>
      <w:szCs w:val="24"/>
    </w:rPr>
  </w:style>
  <w:style w:type="paragraph" w:customStyle="1" w:styleId="Dash4">
    <w:name w:val="Dash 4"/>
    <w:basedOn w:val="Normal"/>
    <w:uiPriority w:val="99"/>
    <w:pPr>
      <w:numPr>
        <w:numId w:val="5"/>
      </w:numPr>
      <w:spacing w:line="360" w:lineRule="auto"/>
      <w:jc w:val="left"/>
      <w:outlineLvl w:val="3"/>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jc w:val="left"/>
    </w:pPr>
    <w:rPr>
      <w:rFonts w:eastAsia="Times New Roman"/>
      <w:szCs w:val="24"/>
    </w:rPr>
  </w:style>
  <w:style w:type="paragraph" w:customStyle="1" w:styleId="NotDeclassified">
    <w:name w:val="Not Declassified"/>
    <w:basedOn w:val="Normal"/>
    <w:uiPriority w:val="99"/>
    <w:qFormat/>
    <w:pPr>
      <w:spacing w:line="360" w:lineRule="auto"/>
      <w:jc w:val="left"/>
    </w:pPr>
    <w:rPr>
      <w:rFonts w:eastAsia="Times New Roman"/>
      <w:b/>
      <w:bCs/>
      <w:szCs w:val="24"/>
      <w:bdr w:val="single" w:sz="4" w:space="0" w:color="auto"/>
      <w:shd w:val="solid" w:color="CCCCCC" w:fill="CCCCCC"/>
    </w:rPr>
  </w:style>
  <w:style w:type="character" w:customStyle="1" w:styleId="TechnicalBlockChar">
    <w:name w:val="Technical Block Char"/>
    <w:link w:val="TechnicalBlock"/>
    <w:rPr>
      <w:rFonts w:ascii="Times New Roman" w:eastAsia="Times New Roman" w:hAnsi="Times New Roman" w:cs="Times New Roman"/>
      <w:sz w:val="24"/>
      <w:szCs w:val="24"/>
      <w:lang w:val="bg-BG"/>
    </w:rPr>
  </w:style>
  <w:style w:type="numbering" w:customStyle="1" w:styleId="NoList1">
    <w:name w:val="No List1"/>
    <w:next w:val="NoList"/>
    <w:uiPriority w:val="99"/>
    <w:semiHidden/>
    <w:unhideWhenUsed/>
  </w:style>
  <w:style w:type="paragraph" w:styleId="ListBullet">
    <w:name w:val="List Bullet"/>
    <w:basedOn w:val="Normal"/>
    <w:uiPriority w:val="99"/>
    <w:unhideWhenUsed/>
    <w:pPr>
      <w:numPr>
        <w:numId w:val="21"/>
      </w:numPr>
      <w:tabs>
        <w:tab w:val="clear" w:pos="850"/>
        <w:tab w:val="num" w:pos="360"/>
      </w:tabs>
      <w:ind w:left="360" w:hanging="360"/>
      <w:contextualSpacing/>
    </w:pPr>
    <w:rPr>
      <w:rFonts w:eastAsia="Calibri"/>
      <w:lang w:eastAsia="en-GB"/>
    </w:rPr>
  </w:style>
  <w:style w:type="paragraph" w:styleId="ListBullet2">
    <w:name w:val="List Bullet 2"/>
    <w:basedOn w:val="Normal"/>
    <w:uiPriority w:val="99"/>
    <w:unhideWhenUsed/>
    <w:pPr>
      <w:numPr>
        <w:ilvl w:val="1"/>
        <w:numId w:val="21"/>
      </w:numPr>
      <w:tabs>
        <w:tab w:val="clear" w:pos="850"/>
        <w:tab w:val="num" w:pos="360"/>
      </w:tabs>
      <w:ind w:left="0" w:firstLine="0"/>
      <w:contextualSpacing/>
    </w:pPr>
    <w:rPr>
      <w:rFonts w:eastAsia="Calibri"/>
      <w:lang w:eastAsia="en-GB"/>
    </w:rPr>
  </w:style>
  <w:style w:type="paragraph" w:styleId="ListBullet3">
    <w:name w:val="List Bullet 3"/>
    <w:basedOn w:val="Normal"/>
    <w:uiPriority w:val="99"/>
    <w:unhideWhenUsed/>
    <w:pPr>
      <w:numPr>
        <w:ilvl w:val="2"/>
        <w:numId w:val="21"/>
      </w:numPr>
      <w:tabs>
        <w:tab w:val="clear" w:pos="850"/>
        <w:tab w:val="num" w:pos="926"/>
      </w:tabs>
      <w:ind w:left="926" w:hanging="360"/>
      <w:contextualSpacing/>
    </w:pPr>
    <w:rPr>
      <w:rFonts w:eastAsia="Calibri"/>
      <w:lang w:eastAsia="en-GB"/>
    </w:rPr>
  </w:style>
  <w:style w:type="paragraph" w:styleId="ListBullet4">
    <w:name w:val="List Bullet 4"/>
    <w:basedOn w:val="Normal"/>
    <w:uiPriority w:val="99"/>
    <w:unhideWhenUsed/>
    <w:pPr>
      <w:numPr>
        <w:ilvl w:val="3"/>
        <w:numId w:val="21"/>
      </w:numPr>
      <w:tabs>
        <w:tab w:val="clear" w:pos="850"/>
        <w:tab w:val="num" w:pos="360"/>
      </w:tabs>
      <w:ind w:left="0" w:firstLine="0"/>
      <w:contextualSpacing/>
    </w:pPr>
    <w:rPr>
      <w:rFonts w:eastAsia="Calibri"/>
      <w:lang w:eastAsia="en-GB"/>
    </w:rPr>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bg-BG"/>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lang w:eastAsia="en-GB"/>
    </w:rPr>
  </w:style>
  <w:style w:type="paragraph" w:styleId="ListNumber">
    <w:name w:val="List Number"/>
    <w:basedOn w:val="Normal"/>
    <w:uiPriority w:val="99"/>
    <w:unhideWhenUsed/>
    <w:pPr>
      <w:numPr>
        <w:numId w:val="17"/>
      </w:numPr>
      <w:contextualSpacing/>
    </w:pPr>
    <w:rPr>
      <w:rFonts w:eastAsia="Calibri"/>
      <w:lang w:eastAsia="en-GB"/>
    </w:rPr>
  </w:style>
  <w:style w:type="paragraph" w:styleId="ListNumber2">
    <w:name w:val="List Number 2"/>
    <w:basedOn w:val="Normal"/>
    <w:uiPriority w:val="99"/>
    <w:unhideWhenUsed/>
    <w:pPr>
      <w:numPr>
        <w:numId w:val="18"/>
      </w:numPr>
      <w:contextualSpacing/>
    </w:pPr>
    <w:rPr>
      <w:rFonts w:eastAsia="Calibri"/>
      <w:lang w:eastAsia="en-GB"/>
    </w:rPr>
  </w:style>
  <w:style w:type="paragraph" w:styleId="ListNumber3">
    <w:name w:val="List Number 3"/>
    <w:basedOn w:val="Normal"/>
    <w:uiPriority w:val="99"/>
    <w:unhideWhenUsed/>
    <w:pPr>
      <w:numPr>
        <w:numId w:val="19"/>
      </w:numPr>
      <w:contextualSpacing/>
    </w:pPr>
    <w:rPr>
      <w:rFonts w:eastAsia="Calibri"/>
      <w:lang w:eastAsia="en-GB"/>
    </w:rPr>
  </w:style>
  <w:style w:type="paragraph" w:styleId="ListNumber4">
    <w:name w:val="List Number 4"/>
    <w:basedOn w:val="Normal"/>
    <w:uiPriority w:val="99"/>
    <w:unhideWhenUsed/>
    <w:pPr>
      <w:numPr>
        <w:numId w:val="20"/>
      </w:numPr>
      <w:contextualSpacing/>
    </w:pPr>
    <w:rPr>
      <w:rFonts w:eastAsia="Calibri"/>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lang w:eastAsia="en-GB"/>
    </w:rPr>
  </w:style>
  <w:style w:type="paragraph" w:styleId="Revision">
    <w:name w:val="Revision"/>
    <w:hidden/>
    <w:uiPriority w:val="99"/>
    <w:rPr>
      <w:rFonts w:ascii="Times New Roman" w:eastAsia="Calibri" w:hAnsi="Times New Roman" w:cs="Times New Roman"/>
      <w:sz w:val="24"/>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lang w:eastAsia="en-GB"/>
    </w:rPr>
  </w:style>
  <w:style w:type="paragraph" w:customStyle="1" w:styleId="Notmsl">
    <w:name w:val="Notmsl"/>
    <w:basedOn w:val="DatedadoptionPagedecouverture"/>
    <w:uiPriority w:val="99"/>
    <w:rPr>
      <w:rFonts w:eastAsia="Calibri"/>
      <w:noProof/>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EndnoteReference">
    <w:name w:val="endnote reference"/>
    <w:uiPriority w:val="99"/>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lang w:val="bg-BG"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lang w:eastAsia="zh-CN"/>
    </w:rPr>
  </w:style>
  <w:style w:type="character" w:customStyle="1" w:styleId="CommentSubjectChar1">
    <w:name w:val="Comment Subject Char1"/>
    <w:rPr>
      <w:rFonts w:ascii="Times New Roman" w:eastAsia="Times New Roman" w:hAnsi="Times New Roman" w:cs="Times New Roman"/>
      <w:b/>
      <w:bCs/>
      <w:sz w:val="20"/>
      <w:szCs w:val="20"/>
      <w:lang w:val="bg-BG" w:eastAsia="zh-CN"/>
    </w:rPr>
  </w:style>
  <w:style w:type="character" w:customStyle="1" w:styleId="BalloonTextChar1">
    <w:name w:val="Balloon Text Char1"/>
    <w:rPr>
      <w:rFonts w:ascii="Tahoma" w:eastAsia="Times New Roman" w:hAnsi="Tahoma" w:cs="Tahoma"/>
      <w:sz w:val="16"/>
      <w:szCs w:val="16"/>
      <w:lang w:val="bg-BG" w:eastAsia="zh-CN"/>
    </w:rPr>
  </w:style>
  <w:style w:type="paragraph" w:customStyle="1" w:styleId="WW-Default">
    <w:name w:val="WW-Default"/>
    <w:uiPriority w:val="99"/>
    <w:pPr>
      <w:suppressAutoHyphens/>
      <w:autoSpaceDE w:val="0"/>
    </w:pPr>
    <w:rPr>
      <w:rFonts w:ascii="EUAlbertina" w:eastAsia="Calibri" w:hAnsi="EUAlbertina" w:cs="EUAlbertina"/>
      <w:color w:val="000000"/>
      <w:sz w:val="24"/>
      <w:szCs w:val="24"/>
      <w:lang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u w:val="single"/>
      <w:lang w:eastAsia="zh-CN"/>
    </w:rPr>
  </w:style>
  <w:style w:type="paragraph" w:customStyle="1" w:styleId="TableContents">
    <w:name w:val="Table Contents"/>
    <w:basedOn w:val="Normal"/>
    <w:uiPriority w:val="99"/>
    <w:pPr>
      <w:suppressLineNumbers/>
      <w:suppressAutoHyphens/>
    </w:pPr>
    <w:rPr>
      <w:rFonts w:eastAsia="Calibri"/>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pPr>
    <w:rPr>
      <w:rFonts w:ascii="EUAlbertina" w:eastAsia="Calibri" w:hAnsi="EUAlbertina" w:cs="EUAlbertina"/>
      <w:color w:val="000000"/>
      <w:sz w:val="24"/>
      <w:szCs w:val="24"/>
    </w:rPr>
  </w:style>
  <w:style w:type="paragraph" w:customStyle="1" w:styleId="font5">
    <w:name w:val="font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
    <w:name w:val="xl64"/>
    <w:basedOn w:val="Normal"/>
    <w:uiPriority w:val="99"/>
    <w:pPr>
      <w:spacing w:before="100" w:beforeAutospacing="1" w:after="100" w:afterAutospacing="1"/>
      <w:jc w:val="left"/>
    </w:pPr>
    <w:rPr>
      <w:rFonts w:eastAsia="Times New Roman"/>
      <w:sz w:val="18"/>
      <w:szCs w:val="18"/>
      <w:lang w:eastAsia="en-GB"/>
    </w:rPr>
  </w:style>
  <w:style w:type="paragraph" w:customStyle="1" w:styleId="xl65">
    <w:name w:val="xl65"/>
    <w:basedOn w:val="Normal"/>
    <w:uiPriority w:val="99"/>
    <w:pPr>
      <w:spacing w:before="100" w:beforeAutospacing="1" w:after="100" w:afterAutospacing="1"/>
      <w:jc w:val="left"/>
    </w:pPr>
    <w:rPr>
      <w:rFonts w:eastAsia="Times New Roman"/>
      <w:sz w:val="18"/>
      <w:szCs w:val="18"/>
      <w:lang w:eastAsia="en-GB"/>
    </w:rPr>
  </w:style>
  <w:style w:type="paragraph" w:customStyle="1" w:styleId="xl66">
    <w:name w:val="xl66"/>
    <w:basedOn w:val="Normal"/>
    <w:uiPriority w:val="99"/>
    <w:pPr>
      <w:spacing w:before="100" w:beforeAutospacing="1" w:after="100" w:afterAutospacing="1"/>
      <w:jc w:val="left"/>
    </w:pPr>
    <w:rPr>
      <w:rFonts w:eastAsia="Times New Roman"/>
      <w:sz w:val="18"/>
      <w:szCs w:val="18"/>
      <w:lang w:eastAsia="en-GB"/>
    </w:rPr>
  </w:style>
  <w:style w:type="paragraph" w:customStyle="1" w:styleId="xl67">
    <w:name w:val="xl67"/>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8">
    <w:name w:val="xl68"/>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9">
    <w:name w:val="xl69"/>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70">
    <w:name w:val="xl70"/>
    <w:basedOn w:val="Normal"/>
    <w:uiPriority w:val="99"/>
    <w:pPr>
      <w:pBdr>
        <w:top w:val="single" w:sz="8" w:space="0" w:color="auto"/>
        <w:left w:val="single" w:sz="8" w:space="0" w:color="auto"/>
      </w:pBdr>
      <w:spacing w:before="100" w:beforeAutospacing="1" w:after="100" w:afterAutospacing="1"/>
      <w:jc w:val="left"/>
    </w:pPr>
    <w:rPr>
      <w:rFonts w:eastAsia="Times New Roman"/>
      <w:sz w:val="18"/>
      <w:szCs w:val="18"/>
      <w:lang w:eastAsia="en-GB"/>
    </w:rPr>
  </w:style>
  <w:style w:type="paragraph" w:customStyle="1" w:styleId="xl71">
    <w:name w:val="xl7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2">
    <w:name w:val="xl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3">
    <w:name w:val="xl7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4">
    <w:name w:val="xl74"/>
    <w:basedOn w:val="Normal"/>
    <w:uiPriority w:val="99"/>
    <w:pPr>
      <w:pBdr>
        <w:left w:val="single" w:sz="8" w:space="0" w:color="auto"/>
        <w:bottom w:val="single" w:sz="8" w:space="0" w:color="auto"/>
      </w:pBdr>
      <w:spacing w:before="100" w:beforeAutospacing="1" w:after="100" w:afterAutospacing="1"/>
      <w:jc w:val="left"/>
    </w:pPr>
    <w:rPr>
      <w:rFonts w:eastAsia="Times New Roman"/>
      <w:sz w:val="18"/>
      <w:szCs w:val="18"/>
      <w:lang w:eastAsia="en-GB"/>
    </w:rPr>
  </w:style>
  <w:style w:type="paragraph" w:customStyle="1" w:styleId="xl75">
    <w:name w:val="xl75"/>
    <w:basedOn w:val="Normal"/>
    <w:uiPriority w:val="99"/>
    <w:pPr>
      <w:pBdr>
        <w:top w:val="single" w:sz="8" w:space="0" w:color="000000"/>
      </w:pBdr>
      <w:spacing w:before="100" w:beforeAutospacing="1" w:after="100" w:afterAutospacing="1"/>
      <w:jc w:val="right"/>
      <w:textAlignment w:val="center"/>
    </w:pPr>
    <w:rPr>
      <w:rFonts w:eastAsia="Times New Roman"/>
      <w:sz w:val="18"/>
      <w:szCs w:val="18"/>
      <w:lang w:eastAsia="en-GB"/>
    </w:rPr>
  </w:style>
  <w:style w:type="paragraph" w:customStyle="1" w:styleId="xl76">
    <w:name w:val="xl76"/>
    <w:basedOn w:val="Normal"/>
    <w:uiPriority w:val="99"/>
    <w:pPr>
      <w:spacing w:before="100" w:beforeAutospacing="1" w:after="100" w:afterAutospacing="1"/>
      <w:jc w:val="left"/>
      <w:textAlignment w:val="center"/>
    </w:pPr>
    <w:rPr>
      <w:rFonts w:eastAsia="Times New Roman"/>
      <w:sz w:val="18"/>
      <w:szCs w:val="18"/>
      <w:lang w:eastAsia="en-GB"/>
    </w:rPr>
  </w:style>
  <w:style w:type="paragraph" w:customStyle="1" w:styleId="xl77">
    <w:name w:val="xl77"/>
    <w:basedOn w:val="Normal"/>
    <w:uiPriority w:val="99"/>
    <w:pPr>
      <w:spacing w:before="100" w:beforeAutospacing="1" w:after="100" w:afterAutospacing="1"/>
      <w:jc w:val="right"/>
      <w:textAlignment w:val="center"/>
    </w:pPr>
    <w:rPr>
      <w:rFonts w:eastAsia="Times New Roman"/>
      <w:sz w:val="18"/>
      <w:szCs w:val="18"/>
      <w:lang w:eastAsia="en-GB"/>
    </w:rPr>
  </w:style>
  <w:style w:type="paragraph" w:customStyle="1" w:styleId="xl78">
    <w:name w:val="xl7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79">
    <w:name w:val="xl79"/>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0">
    <w:name w:val="xl8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81">
    <w:name w:val="xl8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2">
    <w:name w:val="xl8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3">
    <w:name w:val="xl83"/>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4">
    <w:name w:val="xl84"/>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5">
    <w:name w:val="xl8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6">
    <w:name w:val="xl86"/>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7">
    <w:name w:val="xl8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88">
    <w:name w:val="xl8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89">
    <w:name w:val="xl89"/>
    <w:basedOn w:val="Normal"/>
    <w:uiPriority w:val="99"/>
    <w:pPr>
      <w:pBdr>
        <w:bottom w:val="single" w:sz="8" w:space="0" w:color="auto"/>
      </w:pBdr>
      <w:spacing w:before="100" w:beforeAutospacing="1" w:after="100" w:afterAutospacing="1"/>
      <w:jc w:val="right"/>
      <w:textAlignment w:val="center"/>
    </w:pPr>
    <w:rPr>
      <w:rFonts w:eastAsia="Times New Roman"/>
      <w:sz w:val="18"/>
      <w:szCs w:val="18"/>
      <w:lang w:eastAsia="en-GB"/>
    </w:rPr>
  </w:style>
  <w:style w:type="paragraph" w:customStyle="1" w:styleId="xl90">
    <w:name w:val="xl90"/>
    <w:basedOn w:val="Normal"/>
    <w:uiPriority w:val="99"/>
    <w:pPr>
      <w:pBdr>
        <w:bottom w:val="single" w:sz="8" w:space="0" w:color="auto"/>
      </w:pBdr>
      <w:spacing w:before="100" w:beforeAutospacing="1" w:after="100" w:afterAutospacing="1"/>
      <w:jc w:val="right"/>
      <w:textAlignment w:val="top"/>
    </w:pPr>
    <w:rPr>
      <w:rFonts w:eastAsia="Times New Roman"/>
      <w:color w:val="FF0000"/>
      <w:sz w:val="18"/>
      <w:szCs w:val="18"/>
      <w:lang w:eastAsia="en-GB"/>
    </w:rPr>
  </w:style>
  <w:style w:type="paragraph" w:customStyle="1" w:styleId="xl91">
    <w:name w:val="xl91"/>
    <w:basedOn w:val="Normal"/>
    <w:uiPriority w:val="99"/>
    <w:pPr>
      <w:spacing w:before="100" w:beforeAutospacing="1" w:after="100" w:afterAutospacing="1"/>
      <w:jc w:val="left"/>
    </w:pPr>
    <w:rPr>
      <w:rFonts w:eastAsia="Times New Roman"/>
      <w:sz w:val="18"/>
      <w:szCs w:val="18"/>
      <w:lang w:eastAsia="en-GB"/>
    </w:rPr>
  </w:style>
  <w:style w:type="paragraph" w:customStyle="1" w:styleId="xl92">
    <w:name w:val="xl92"/>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93">
    <w:name w:val="xl9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character" w:customStyle="1" w:styleId="HeaderCouncilChar">
    <w:name w:val="Header Council Char"/>
    <w:link w:val="HeaderCouncil"/>
    <w:rPr>
      <w:rFonts w:ascii="Times New Roman" w:eastAsia="Times New Roman" w:hAnsi="Times New Roman" w:cs="Times New Roman"/>
      <w:sz w:val="2"/>
      <w:szCs w:val="24"/>
      <w:lang w:val="bg-BG"/>
    </w:rPr>
  </w:style>
  <w:style w:type="paragraph" w:customStyle="1" w:styleId="xl300">
    <w:name w:val="xl30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301">
    <w:name w:val="xl30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302">
    <w:name w:val="xl302"/>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303">
    <w:name w:val="xl303"/>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4">
    <w:name w:val="xl304"/>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305">
    <w:name w:val="xl305"/>
    <w:basedOn w:val="Normal"/>
    <w:uiPriority w:val="99"/>
    <w:pPr>
      <w:shd w:val="clear" w:color="000000" w:fill="FFFFFF"/>
      <w:spacing w:before="100" w:beforeAutospacing="1" w:after="100" w:afterAutospacing="1"/>
      <w:jc w:val="left"/>
      <w:textAlignment w:val="top"/>
    </w:pPr>
    <w:rPr>
      <w:rFonts w:eastAsia="Times New Roman"/>
      <w:sz w:val="18"/>
      <w:szCs w:val="18"/>
      <w:lang w:eastAsia="en-GB"/>
    </w:rPr>
  </w:style>
  <w:style w:type="paragraph" w:customStyle="1" w:styleId="xl306">
    <w:name w:val="xl306"/>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7">
    <w:name w:val="xl307"/>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308">
    <w:name w:val="xl308"/>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09">
    <w:name w:val="xl309"/>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10">
    <w:name w:val="xl310"/>
    <w:basedOn w:val="Normal"/>
    <w:uiPriority w:val="99"/>
    <w:pPr>
      <w:pBdr>
        <w:top w:val="single" w:sz="8" w:space="0" w:color="000000"/>
      </w:pBd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11">
    <w:name w:val="xl311"/>
    <w:basedOn w:val="Normal"/>
    <w:uiPriority w:val="99"/>
    <w:pPr>
      <w:pBdr>
        <w:top w:val="single" w:sz="8" w:space="0" w:color="000000"/>
        <w:left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2">
    <w:name w:val="xl312"/>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3">
    <w:name w:val="xl313"/>
    <w:basedOn w:val="Normal"/>
    <w:uiPriority w:val="99"/>
    <w:pPr>
      <w:shd w:val="clear" w:color="000000" w:fill="A6A6A6"/>
      <w:spacing w:before="100" w:beforeAutospacing="1" w:after="100" w:afterAutospacing="1"/>
      <w:jc w:val="left"/>
      <w:textAlignment w:val="top"/>
    </w:pPr>
    <w:rPr>
      <w:rFonts w:eastAsia="Times New Roman"/>
      <w:i/>
      <w:iCs/>
      <w:sz w:val="18"/>
      <w:szCs w:val="18"/>
      <w:lang w:eastAsia="en-GB"/>
    </w:rPr>
  </w:style>
  <w:style w:type="paragraph" w:customStyle="1" w:styleId="xl314">
    <w:name w:val="xl314"/>
    <w:basedOn w:val="Normal"/>
    <w:uiPriority w:val="99"/>
    <w:pPr>
      <w:pBdr>
        <w:bottom w:val="single" w:sz="8" w:space="0" w:color="000000"/>
      </w:pBdr>
      <w:shd w:val="clear" w:color="000000" w:fill="A6A6A6"/>
      <w:spacing w:before="100" w:beforeAutospacing="1" w:after="100" w:afterAutospacing="1"/>
      <w:jc w:val="right"/>
      <w:textAlignment w:val="top"/>
    </w:pPr>
    <w:rPr>
      <w:rFonts w:eastAsia="Times New Roman"/>
      <w:i/>
      <w:iCs/>
      <w:color w:val="000000"/>
      <w:sz w:val="18"/>
      <w:szCs w:val="18"/>
      <w:lang w:eastAsia="en-GB"/>
    </w:rPr>
  </w:style>
  <w:style w:type="paragraph" w:customStyle="1" w:styleId="xl315">
    <w:name w:val="xl315"/>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i/>
      <w:iCs/>
      <w:color w:val="000000"/>
      <w:sz w:val="18"/>
      <w:szCs w:val="18"/>
      <w:lang w:eastAsia="en-GB"/>
    </w:rPr>
  </w:style>
  <w:style w:type="paragraph" w:customStyle="1" w:styleId="xl316">
    <w:name w:val="xl316"/>
    <w:basedOn w:val="Normal"/>
    <w:uiPriority w:val="99"/>
    <w:pPr>
      <w:pBdr>
        <w:left w:val="single" w:sz="8" w:space="0" w:color="000000"/>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7">
    <w:name w:val="xl317"/>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8">
    <w:name w:val="xl318"/>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9">
    <w:name w:val="xl319"/>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0">
    <w:name w:val="xl320"/>
    <w:basedOn w:val="Normal"/>
    <w:uiPriority w:val="99"/>
    <w:pP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21">
    <w:name w:val="xl321"/>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2">
    <w:name w:val="xl32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323">
    <w:name w:val="xl32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324">
    <w:name w:val="xl324"/>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font6">
    <w:name w:val="font6"/>
    <w:basedOn w:val="Normal"/>
    <w:uiPriority w:val="99"/>
    <w:pPr>
      <w:spacing w:before="100" w:beforeAutospacing="1" w:after="100" w:afterAutospacing="1"/>
      <w:jc w:val="left"/>
    </w:pPr>
    <w:rPr>
      <w:rFonts w:ascii="Tahoma" w:eastAsia="Times New Roman" w:hAnsi="Tahoma" w:cs="Tahoma"/>
      <w:b/>
      <w:bCs/>
      <w:color w:val="000000"/>
      <w:sz w:val="16"/>
      <w:szCs w:val="16"/>
      <w:lang w:eastAsia="en-GB"/>
    </w:rPr>
  </w:style>
  <w:style w:type="paragraph" w:customStyle="1" w:styleId="font7">
    <w:name w:val="font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8">
    <w:name w:val="font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9">
    <w:name w:val="font9"/>
    <w:basedOn w:val="Normal"/>
    <w:uiPriority w:val="99"/>
    <w:pPr>
      <w:spacing w:before="100" w:beforeAutospacing="1" w:after="100" w:afterAutospacing="1"/>
      <w:jc w:val="left"/>
    </w:pPr>
    <w:rPr>
      <w:rFonts w:eastAsia="Times New Roman"/>
      <w:sz w:val="18"/>
      <w:szCs w:val="18"/>
      <w:lang w:eastAsia="en-GB"/>
    </w:rPr>
  </w:style>
  <w:style w:type="paragraph" w:customStyle="1" w:styleId="xl26182">
    <w:name w:val="xl26182"/>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3">
    <w:name w:val="xl26183"/>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184">
    <w:name w:val="xl2618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185">
    <w:name w:val="xl26185"/>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186">
    <w:name w:val="xl26186"/>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7">
    <w:name w:val="xl26187"/>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188">
    <w:name w:val="xl26188"/>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189">
    <w:name w:val="xl26189"/>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0">
    <w:name w:val="xl26190"/>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26191">
    <w:name w:val="xl26191"/>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2">
    <w:name w:val="xl26192"/>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6193">
    <w:name w:val="xl26193"/>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26194">
    <w:name w:val="xl2619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195">
    <w:name w:val="xl26195"/>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96">
    <w:name w:val="xl2619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197">
    <w:name w:val="xl26197"/>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198">
    <w:name w:val="xl26198"/>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199">
    <w:name w:val="xl2619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00">
    <w:name w:val="xl26200"/>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26201">
    <w:name w:val="xl26201"/>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2">
    <w:name w:val="xl2620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03">
    <w:name w:val="xl26203"/>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4">
    <w:name w:val="xl2620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05">
    <w:name w:val="xl2620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206">
    <w:name w:val="xl26206"/>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7">
    <w:name w:val="xl26207"/>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8">
    <w:name w:val="xl26208"/>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09">
    <w:name w:val="xl26209"/>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26210">
    <w:name w:val="xl26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11">
    <w:name w:val="xl26211"/>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12">
    <w:name w:val="xl26212"/>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3">
    <w:name w:val="xl26213"/>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14">
    <w:name w:val="xl26214"/>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15">
    <w:name w:val="xl26215"/>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16">
    <w:name w:val="xl26216"/>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7">
    <w:name w:val="xl26217"/>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8">
    <w:name w:val="xl26218"/>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9">
    <w:name w:val="xl26219"/>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26220">
    <w:name w:val="xl26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1">
    <w:name w:val="xl26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222">
    <w:name w:val="xl26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26223">
    <w:name w:val="xl26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4">
    <w:name w:val="xl2622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26225">
    <w:name w:val="xl26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26226">
    <w:name w:val="xl2622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27">
    <w:name w:val="xl2622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28">
    <w:name w:val="xl2622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29">
    <w:name w:val="xl2622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30">
    <w:name w:val="xl2623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1">
    <w:name w:val="xl2623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32">
    <w:name w:val="xl2623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33">
    <w:name w:val="xl2623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234">
    <w:name w:val="xl2623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35">
    <w:name w:val="xl2623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36">
    <w:name w:val="xl2623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7">
    <w:name w:val="xl2623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38">
    <w:name w:val="xl2623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39">
    <w:name w:val="xl2623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0">
    <w:name w:val="xl2624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1">
    <w:name w:val="xl2624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42">
    <w:name w:val="xl2624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3">
    <w:name w:val="xl2624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44">
    <w:name w:val="xl2624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45">
    <w:name w:val="xl2624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26246">
    <w:name w:val="xl2624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47">
    <w:name w:val="xl2624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48">
    <w:name w:val="xl2624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9">
    <w:name w:val="xl2624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0">
    <w:name w:val="xl2625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1">
    <w:name w:val="xl26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252">
    <w:name w:val="xl2625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3">
    <w:name w:val="xl2625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54">
    <w:name w:val="xl2625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55">
    <w:name w:val="xl2625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6">
    <w:name w:val="xl2625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7">
    <w:name w:val="xl2625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58">
    <w:name w:val="xl2625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59">
    <w:name w:val="xl2625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0">
    <w:name w:val="xl2626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1">
    <w:name w:val="xl2626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2">
    <w:name w:val="xl2626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3">
    <w:name w:val="xl2626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4">
    <w:name w:val="xl2626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5">
    <w:name w:val="xl26265"/>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66">
    <w:name w:val="xl2626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67">
    <w:name w:val="xl26267"/>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68">
    <w:name w:val="xl26268"/>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9">
    <w:name w:val="xl26269"/>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6270">
    <w:name w:val="xl26270"/>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271">
    <w:name w:val="xl26271"/>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2">
    <w:name w:val="xl26272"/>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73">
    <w:name w:val="xl26273"/>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4">
    <w:name w:val="xl26274"/>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6275">
    <w:name w:val="xl26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76">
    <w:name w:val="xl26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6277">
    <w:name w:val="xl26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8">
    <w:name w:val="xl2627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9">
    <w:name w:val="xl262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0">
    <w:name w:val="xl26280"/>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1">
    <w:name w:val="xl2628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282">
    <w:name w:val="xl262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83">
    <w:name w:val="xl262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4">
    <w:name w:val="xl262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5">
    <w:name w:val="xl2628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6">
    <w:name w:val="xl262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7">
    <w:name w:val="xl26287"/>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8">
    <w:name w:val="xl26288"/>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6289">
    <w:name w:val="xl26289"/>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0">
    <w:name w:val="xl26290"/>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1">
    <w:name w:val="xl26291"/>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92">
    <w:name w:val="xl26292"/>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6293">
    <w:name w:val="xl26293"/>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4">
    <w:name w:val="xl26294"/>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5">
    <w:name w:val="xl2629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96">
    <w:name w:val="xl26296"/>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6297">
    <w:name w:val="xl26297"/>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98">
    <w:name w:val="xl26298"/>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99">
    <w:name w:val="xl26299"/>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0">
    <w:name w:val="xl26300"/>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1">
    <w:name w:val="xl26301"/>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02">
    <w:name w:val="xl26302"/>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3">
    <w:name w:val="xl26303"/>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4">
    <w:name w:val="xl26304"/>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5">
    <w:name w:val="xl2630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06">
    <w:name w:val="xl2630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07">
    <w:name w:val="xl26307"/>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8">
    <w:name w:val="xl2630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9">
    <w:name w:val="xl2630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10">
    <w:name w:val="xl26310"/>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6311">
    <w:name w:val="xl26311"/>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312">
    <w:name w:val="xl2631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3">
    <w:name w:val="xl2631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4">
    <w:name w:val="xl2631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6315">
    <w:name w:val="xl26315"/>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6">
    <w:name w:val="xl26316"/>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17">
    <w:name w:val="xl2631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8">
    <w:name w:val="xl2631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19">
    <w:name w:val="xl26319"/>
    <w:basedOn w:val="Normal"/>
    <w:uiPriority w:val="99"/>
    <w:pPr>
      <w:spacing w:before="100" w:beforeAutospacing="1" w:after="100" w:afterAutospacing="1"/>
      <w:jc w:val="left"/>
    </w:pPr>
    <w:rPr>
      <w:rFonts w:eastAsia="Times New Roman"/>
      <w:sz w:val="18"/>
      <w:szCs w:val="18"/>
      <w:lang w:eastAsia="en-GB"/>
    </w:rPr>
  </w:style>
  <w:style w:type="paragraph" w:customStyle="1" w:styleId="xl26320">
    <w:name w:val="xl2632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321">
    <w:name w:val="xl26321"/>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322">
    <w:name w:val="xl26322"/>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3">
    <w:name w:val="xl26323"/>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4">
    <w:name w:val="xl26324"/>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325">
    <w:name w:val="xl26325"/>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6">
    <w:name w:val="xl26326"/>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7">
    <w:name w:val="xl26327"/>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8">
    <w:name w:val="xl26328"/>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6329">
    <w:name w:val="xl26329"/>
    <w:basedOn w:val="Normal"/>
    <w:uiPriority w:val="99"/>
    <w:pPr>
      <w:spacing w:before="100" w:beforeAutospacing="1" w:after="100" w:afterAutospacing="1"/>
      <w:jc w:val="right"/>
    </w:pPr>
    <w:rPr>
      <w:rFonts w:eastAsia="Times New Roman"/>
      <w:sz w:val="18"/>
      <w:szCs w:val="18"/>
      <w:lang w:eastAsia="en-GB"/>
    </w:rPr>
  </w:style>
  <w:style w:type="paragraph" w:customStyle="1" w:styleId="xl26330">
    <w:name w:val="xl263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6331">
    <w:name w:val="xl2633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6332">
    <w:name w:val="xl2633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33">
    <w:name w:val="xl2633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34">
    <w:name w:val="xl26334"/>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35">
    <w:name w:val="xl26335"/>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6336">
    <w:name w:val="xl26336"/>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37">
    <w:name w:val="xl26337"/>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8">
    <w:name w:val="xl26338"/>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9">
    <w:name w:val="xl26339"/>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40">
    <w:name w:val="xl26340"/>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41">
    <w:name w:val="xl26341"/>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42">
    <w:name w:val="xl26342"/>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43">
    <w:name w:val="xl26343"/>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4">
    <w:name w:val="xl26344"/>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5">
    <w:name w:val="xl26345"/>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6346">
    <w:name w:val="xl26346"/>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47">
    <w:name w:val="xl26347"/>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348">
    <w:name w:val="xl2634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49">
    <w:name w:val="xl26349"/>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0">
    <w:name w:val="xl2635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1">
    <w:name w:val="xl26351"/>
    <w:basedOn w:val="Normal"/>
    <w:uiPriority w:val="99"/>
    <w:pPr>
      <w:pBdr>
        <w:bottom w:val="single" w:sz="8" w:space="0" w:color="auto"/>
      </w:pBdr>
      <w:spacing w:before="100" w:beforeAutospacing="1" w:after="100" w:afterAutospacing="1"/>
      <w:jc w:val="left"/>
      <w:textAlignment w:val="top"/>
    </w:pPr>
    <w:rPr>
      <w:rFonts w:eastAsia="Times New Roman"/>
      <w:color w:val="000000"/>
      <w:sz w:val="16"/>
      <w:szCs w:val="16"/>
      <w:lang w:eastAsia="en-GB"/>
    </w:rPr>
  </w:style>
  <w:style w:type="paragraph" w:customStyle="1" w:styleId="xl26352">
    <w:name w:val="xl26352"/>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3">
    <w:name w:val="xl2635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4">
    <w:name w:val="xl26354"/>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26355">
    <w:name w:val="xl26355"/>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6">
    <w:name w:val="xl26356"/>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26357">
    <w:name w:val="xl26357"/>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58">
    <w:name w:val="xl26358"/>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9">
    <w:name w:val="xl26359"/>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0">
    <w:name w:val="xl26360"/>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1">
    <w:name w:val="xl2636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362">
    <w:name w:val="xl26362"/>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63">
    <w:name w:val="xl26363"/>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64">
    <w:name w:val="xl2636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65">
    <w:name w:val="xl2636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6">
    <w:name w:val="xl2636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7">
    <w:name w:val="xl26367"/>
    <w:basedOn w:val="Normal"/>
    <w:uiPriority w:val="99"/>
    <w:pPr>
      <w:pBdr>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68">
    <w:name w:val="xl26368"/>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9">
    <w:name w:val="xl26369"/>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0">
    <w:name w:val="xl26370"/>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71">
    <w:name w:val="xl26371"/>
    <w:basedOn w:val="Normal"/>
    <w:uiPriority w:val="99"/>
    <w:pPr>
      <w:pBdr>
        <w:top w:val="single" w:sz="8" w:space="0" w:color="auto"/>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72">
    <w:name w:val="xl26372"/>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3">
    <w:name w:val="xl26373"/>
    <w:basedOn w:val="Normal"/>
    <w:uiPriority w:val="99"/>
    <w:pPr>
      <w:pBdr>
        <w:top w:val="single" w:sz="8" w:space="0" w:color="auto"/>
        <w:right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74">
    <w:name w:val="xl26374"/>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75">
    <w:name w:val="xl263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sz w:val="14"/>
      <w:szCs w:val="14"/>
      <w:lang w:eastAsia="en-GB"/>
    </w:rPr>
  </w:style>
  <w:style w:type="paragraph" w:customStyle="1" w:styleId="xl26376">
    <w:name w:val="xl263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7">
    <w:name w:val="xl263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8">
    <w:name w:val="xl26378"/>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379">
    <w:name w:val="xl263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380">
    <w:name w:val="xl26380"/>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1">
    <w:name w:val="xl26381"/>
    <w:basedOn w:val="Normal"/>
    <w:uiPriority w:val="99"/>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82">
    <w:name w:val="xl26382"/>
    <w:basedOn w:val="Normal"/>
    <w:uiPriority w:val="99"/>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3">
    <w:name w:val="xl26383"/>
    <w:basedOn w:val="Normal"/>
    <w:uiPriority w:val="99"/>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4">
    <w:name w:val="xl26384"/>
    <w:basedOn w:val="Normal"/>
    <w:uiPriority w:val="99"/>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26385">
    <w:name w:val="xl26385"/>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6">
    <w:name w:val="xl26386"/>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87">
    <w:name w:val="xl26387"/>
    <w:basedOn w:val="Normal"/>
    <w:uiPriority w:val="99"/>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88">
    <w:name w:val="xl26388"/>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9">
    <w:name w:val="xl2638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0">
    <w:name w:val="xl26390"/>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1">
    <w:name w:val="xl26391"/>
    <w:basedOn w:val="Normal"/>
    <w:uiPriority w:val="99"/>
    <w:pPr>
      <w:pBdr>
        <w:bottom w:val="single" w:sz="4" w:space="0" w:color="auto"/>
      </w:pBdr>
      <w:spacing w:before="100" w:beforeAutospacing="1" w:after="100" w:afterAutospacing="1"/>
      <w:jc w:val="left"/>
      <w:textAlignment w:val="top"/>
    </w:pPr>
    <w:rPr>
      <w:rFonts w:eastAsia="Times New Roman"/>
      <w:sz w:val="18"/>
      <w:szCs w:val="18"/>
      <w:lang w:eastAsia="en-GB"/>
    </w:rPr>
  </w:style>
  <w:style w:type="character" w:customStyle="1" w:styleId="Heading5Char">
    <w:name w:val="Heading 5 Char"/>
    <w:basedOn w:val="DefaultParagraphFont"/>
    <w:link w:val="Heading5"/>
    <w:rPr>
      <w:rFonts w:ascii="Arial" w:eastAsia="Times New Roman" w:hAnsi="Arial" w:cs="Times New Roman"/>
      <w:szCs w:val="20"/>
      <w:lang w:val="bg-BG" w:eastAsia="fr-BE"/>
    </w:rPr>
  </w:style>
  <w:style w:type="character" w:customStyle="1" w:styleId="Heading6Char">
    <w:name w:val="Heading 6 Char"/>
    <w:basedOn w:val="DefaultParagraphFont"/>
    <w:link w:val="Heading6"/>
    <w:rPr>
      <w:rFonts w:ascii="Arial" w:eastAsia="Times New Roman" w:hAnsi="Arial" w:cs="Times New Roman"/>
      <w:i/>
      <w:szCs w:val="20"/>
      <w:lang w:val="bg-BG"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bg-BG"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bg-BG"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bg-BG" w:eastAsia="fr-BE"/>
    </w:rPr>
  </w:style>
  <w:style w:type="character" w:customStyle="1" w:styleId="NotDeclassifiedCharacter">
    <w:name w:val="Not Declassified Character"/>
    <w:basedOn w:val="DefaultParagraphFont"/>
    <w:rPr>
      <w:rFonts w:ascii="Times New Roman" w:hAnsi="Times New Roman" w:cs="Times New Roman"/>
      <w:b/>
      <w:sz w:val="24"/>
      <w:bdr w:val="single" w:sz="4" w:space="0" w:color="000000"/>
      <w:shd w:val="clear" w:color="auto" w:fill="CCCCCC"/>
    </w:rPr>
  </w:style>
  <w:style w:type="character" w:customStyle="1" w:styleId="ApplicationdirecteChar">
    <w:name w:val="Application directe Char"/>
    <w:rPr>
      <w:rFonts w:ascii="Times New Roman" w:hAnsi="Times New Roman" w:cs="Times New Roman"/>
      <w:sz w:val="24"/>
      <w:lang w:val="bg-BG"/>
    </w:rPr>
  </w:style>
  <w:style w:type="paragraph" w:customStyle="1" w:styleId="pj">
    <w:name w:val="p.j."/>
    <w:basedOn w:val="Normal"/>
    <w:link w:val="pjChar"/>
    <w:pPr>
      <w:spacing w:before="1200"/>
      <w:ind w:left="1440" w:hanging="1440"/>
      <w:jc w:val="left"/>
    </w:pPr>
    <w:rPr>
      <w:rFonts w:eastAsia="Calibri"/>
      <w:lang w:eastAsia="en-GB"/>
    </w:rPr>
  </w:style>
  <w:style w:type="character" w:customStyle="1" w:styleId="pjChar">
    <w:name w:val="p.j. Char"/>
    <w:link w:val="pj"/>
    <w:rPr>
      <w:rFonts w:ascii="Times New Roman" w:eastAsia="Calibri" w:hAnsi="Times New Roman" w:cs="Times New Roman"/>
      <w:sz w:val="24"/>
      <w:lang w:val="bg-BG" w:eastAsia="en-GB"/>
    </w:rPr>
  </w:style>
  <w:style w:type="paragraph" w:customStyle="1" w:styleId="ListNumber2Level2">
    <w:name w:val="List Number 2 (Level 2)"/>
    <w:basedOn w:val="Text2"/>
    <w:uiPriority w:val="99"/>
    <w:pPr>
      <w:tabs>
        <w:tab w:val="num" w:pos="2619"/>
      </w:tabs>
      <w:spacing w:before="0" w:after="240"/>
      <w:ind w:left="2619" w:hanging="708"/>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4"/>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26"/>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5"/>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bg-BG"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2"/>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3"/>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bg-BG"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bg-BG"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bg-BG"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bg-BG"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2"/>
      </w:numPr>
      <w:spacing w:before="0" w:after="24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bg-BG"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bg-BG" w:eastAsia="fr-BE"/>
    </w:rPr>
  </w:style>
  <w:style w:type="paragraph" w:customStyle="1" w:styleId="ListDash1">
    <w:name w:val="List Dash 1"/>
    <w:basedOn w:val="Text1"/>
    <w:uiPriority w:val="99"/>
    <w:pPr>
      <w:numPr>
        <w:numId w:val="33"/>
      </w:numPr>
      <w:spacing w:before="0" w:after="24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rPr>
  </w:style>
  <w:style w:type="character" w:customStyle="1" w:styleId="TitrearticleChar">
    <w:name w:val="Titre article Char"/>
    <w:rPr>
      <w:rFonts w:ascii="Times New Roman" w:hAnsi="Times New Roman" w:cs="Times New Roman"/>
      <w:i/>
      <w:sz w:val="24"/>
      <w:lang w:val="bg-BG"/>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4"/>
      </w:numPr>
      <w:spacing w:before="0" w:after="240"/>
    </w:pPr>
    <w:rPr>
      <w:rFonts w:eastAsia="Times New Roman"/>
      <w:szCs w:val="20"/>
    </w:rPr>
  </w:style>
  <w:style w:type="paragraph" w:customStyle="1" w:styleId="ListNumber1Level2">
    <w:name w:val="List Number 1 (Level 2)"/>
    <w:basedOn w:val="Text1"/>
    <w:uiPriority w:val="99"/>
    <w:pPr>
      <w:numPr>
        <w:ilvl w:val="1"/>
        <w:numId w:val="34"/>
      </w:numPr>
      <w:spacing w:before="0" w:after="240"/>
    </w:pPr>
    <w:rPr>
      <w:rFonts w:eastAsia="Times New Roman"/>
      <w:szCs w:val="20"/>
    </w:rPr>
  </w:style>
  <w:style w:type="paragraph" w:customStyle="1" w:styleId="ListNumber1Level3">
    <w:name w:val="List Number 1 (Level 3)"/>
    <w:basedOn w:val="Text1"/>
    <w:uiPriority w:val="99"/>
    <w:pPr>
      <w:numPr>
        <w:ilvl w:val="2"/>
        <w:numId w:val="34"/>
      </w:numPr>
      <w:spacing w:before="0" w:after="240"/>
    </w:pPr>
    <w:rPr>
      <w:rFonts w:eastAsia="Times New Roman"/>
      <w:szCs w:val="20"/>
    </w:rPr>
  </w:style>
  <w:style w:type="paragraph" w:customStyle="1" w:styleId="ListNumber1Level4">
    <w:name w:val="List Number 1 (Level 4)"/>
    <w:basedOn w:val="Text1"/>
    <w:uiPriority w:val="99"/>
    <w:pPr>
      <w:numPr>
        <w:ilvl w:val="3"/>
        <w:numId w:val="34"/>
      </w:numPr>
      <w:spacing w:before="0" w:after="240"/>
    </w:pPr>
    <w:rPr>
      <w:rFonts w:eastAsia="Times New Roman"/>
      <w:szCs w:val="20"/>
    </w:rPr>
  </w:style>
  <w:style w:type="numbering" w:customStyle="1" w:styleId="NoList11">
    <w:name w:val="No List11"/>
    <w:next w:val="NoList"/>
    <w:uiPriority w:val="99"/>
    <w:semiHidden/>
    <w:unhideWhenUsed/>
  </w:style>
  <w:style w:type="numbering" w:customStyle="1" w:styleId="NoList2">
    <w:name w:val="No List2"/>
    <w:next w:val="NoList"/>
    <w:uiPriority w:val="99"/>
    <w:semiHidden/>
    <w:unhideWhenUsed/>
  </w:style>
  <w:style w:type="numbering" w:customStyle="1" w:styleId="NoList111">
    <w:name w:val="No List111"/>
    <w:next w:val="NoList"/>
    <w:uiPriority w:val="99"/>
    <w:semiHidden/>
    <w:unhideWhenUsed/>
  </w:style>
  <w:style w:type="paragraph" w:customStyle="1" w:styleId="xl444">
    <w:name w:val="xl444"/>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5">
    <w:name w:val="xl445"/>
    <w:basedOn w:val="Normal"/>
    <w:uiPriority w:val="99"/>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46">
    <w:name w:val="xl44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47">
    <w:name w:val="xl44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448">
    <w:name w:val="xl448"/>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9">
    <w:name w:val="xl449"/>
    <w:basedOn w:val="Normal"/>
    <w:uiPriority w:val="99"/>
    <w:pPr>
      <w:pBdr>
        <w:bottom w:val="single" w:sz="8" w:space="0" w:color="000000"/>
      </w:pBdr>
      <w:spacing w:before="100" w:beforeAutospacing="1" w:after="100" w:afterAutospacing="1"/>
      <w:jc w:val="right"/>
    </w:pPr>
    <w:rPr>
      <w:rFonts w:eastAsia="Times New Roman"/>
      <w:i/>
      <w:iCs/>
      <w:color w:val="000000"/>
      <w:sz w:val="18"/>
      <w:szCs w:val="18"/>
      <w:lang w:eastAsia="en-GB"/>
    </w:rPr>
  </w:style>
  <w:style w:type="paragraph" w:customStyle="1" w:styleId="xl450">
    <w:name w:val="xl450"/>
    <w:basedOn w:val="Normal"/>
    <w:uiPriority w:val="99"/>
    <w:pPr>
      <w:pBdr>
        <w:bottom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451">
    <w:name w:val="xl451"/>
    <w:basedOn w:val="Normal"/>
    <w:uiPriority w:val="99"/>
    <w:pPr>
      <w:pBdr>
        <w:top w:val="single" w:sz="8" w:space="0" w:color="000000"/>
      </w:pBdr>
      <w:spacing w:before="100" w:beforeAutospacing="1" w:after="100" w:afterAutospacing="1"/>
      <w:jc w:val="left"/>
    </w:pPr>
    <w:rPr>
      <w:rFonts w:eastAsia="Times New Roman"/>
      <w:sz w:val="18"/>
      <w:szCs w:val="18"/>
      <w:lang w:eastAsia="en-GB"/>
    </w:rPr>
  </w:style>
  <w:style w:type="paragraph" w:customStyle="1" w:styleId="xl452">
    <w:name w:val="xl452"/>
    <w:basedOn w:val="Normal"/>
    <w:uiPriority w:val="99"/>
    <w:pPr>
      <w:pBdr>
        <w:top w:val="single" w:sz="8" w:space="0" w:color="000000"/>
      </w:pBdr>
      <w:spacing w:before="100" w:beforeAutospacing="1" w:after="100" w:afterAutospacing="1"/>
      <w:jc w:val="right"/>
    </w:pPr>
    <w:rPr>
      <w:rFonts w:eastAsia="Times New Roman"/>
      <w:sz w:val="18"/>
      <w:szCs w:val="18"/>
      <w:lang w:eastAsia="en-GB"/>
    </w:rPr>
  </w:style>
  <w:style w:type="paragraph" w:customStyle="1" w:styleId="xl453">
    <w:name w:val="xl453"/>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454">
    <w:name w:val="xl454"/>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455">
    <w:name w:val="xl455"/>
    <w:basedOn w:val="Normal"/>
    <w:uiPriority w:val="99"/>
    <w:pPr>
      <w:pBdr>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456">
    <w:name w:val="xl456"/>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457">
    <w:name w:val="xl457"/>
    <w:basedOn w:val="Normal"/>
    <w:uiPriority w:val="99"/>
    <w:pPr>
      <w:pBdr>
        <w:bottom w:val="single" w:sz="8" w:space="0" w:color="auto"/>
        <w:righ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58">
    <w:name w:val="xl458"/>
    <w:basedOn w:val="Normal"/>
    <w:uiPriority w:val="99"/>
    <w:pPr>
      <w:spacing w:before="100" w:beforeAutospacing="1" w:after="100" w:afterAutospacing="1"/>
      <w:jc w:val="right"/>
    </w:pPr>
    <w:rPr>
      <w:rFonts w:eastAsia="Times New Roman"/>
      <w:sz w:val="18"/>
      <w:szCs w:val="18"/>
      <w:lang w:eastAsia="en-GB"/>
    </w:rPr>
  </w:style>
  <w:style w:type="paragraph" w:customStyle="1" w:styleId="xl459">
    <w:name w:val="xl459"/>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60">
    <w:name w:val="xl460"/>
    <w:basedOn w:val="Normal"/>
    <w:uiPriority w:val="99"/>
    <w:pPr>
      <w:spacing w:before="100" w:beforeAutospacing="1" w:after="100" w:afterAutospacing="1"/>
      <w:jc w:val="left"/>
    </w:pPr>
    <w:rPr>
      <w:rFonts w:eastAsia="Times New Roman"/>
      <w:sz w:val="18"/>
      <w:szCs w:val="18"/>
      <w:lang w:eastAsia="en-GB"/>
    </w:rPr>
  </w:style>
  <w:style w:type="paragraph" w:customStyle="1" w:styleId="xl461">
    <w:name w:val="xl461"/>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462">
    <w:name w:val="xl462"/>
    <w:basedOn w:val="Normal"/>
    <w:uiPriority w:val="99"/>
    <w:pPr>
      <w:spacing w:before="100" w:beforeAutospacing="1" w:after="100" w:afterAutospacing="1"/>
      <w:jc w:val="right"/>
    </w:pPr>
    <w:rPr>
      <w:rFonts w:ascii="Calibri" w:eastAsia="Times New Roman" w:hAnsi="Calibri"/>
      <w:sz w:val="18"/>
      <w:szCs w:val="18"/>
      <w:lang w:eastAsia="en-GB"/>
    </w:rPr>
  </w:style>
  <w:style w:type="paragraph" w:customStyle="1" w:styleId="xl463">
    <w:name w:val="xl463"/>
    <w:basedOn w:val="Normal"/>
    <w:uiPriority w:val="99"/>
    <w:pPr>
      <w:pBdr>
        <w:top w:val="single" w:sz="8" w:space="0" w:color="000000"/>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4">
    <w:name w:val="xl464"/>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65">
    <w:name w:val="xl465"/>
    <w:basedOn w:val="Normal"/>
    <w:uiPriority w:val="99"/>
    <w:pPr>
      <w:pBdr>
        <w:left w:val="single" w:sz="8" w:space="0" w:color="000000"/>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6">
    <w:name w:val="xl46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67">
    <w:name w:val="xl467"/>
    <w:basedOn w:val="Normal"/>
    <w:uiPriority w:val="99"/>
    <w:pPr>
      <w:spacing w:before="100" w:beforeAutospacing="1" w:after="100" w:afterAutospacing="1"/>
      <w:jc w:val="left"/>
    </w:pPr>
    <w:rPr>
      <w:rFonts w:eastAsia="Times New Roman"/>
      <w:sz w:val="18"/>
      <w:szCs w:val="18"/>
      <w:lang w:eastAsia="en-GB"/>
    </w:rPr>
  </w:style>
  <w:style w:type="paragraph" w:customStyle="1" w:styleId="xl468">
    <w:name w:val="xl468"/>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69">
    <w:name w:val="xl469"/>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70">
    <w:name w:val="xl470"/>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71">
    <w:name w:val="xl471"/>
    <w:basedOn w:val="Normal"/>
    <w:uiPriority w:val="99"/>
    <w:pPr>
      <w:spacing w:before="100" w:beforeAutospacing="1" w:after="100" w:afterAutospacing="1"/>
      <w:jc w:val="right"/>
    </w:pPr>
    <w:rPr>
      <w:rFonts w:ascii="Calibri" w:eastAsia="Times New Roman" w:hAnsi="Calibri"/>
      <w:color w:val="000000"/>
      <w:sz w:val="16"/>
      <w:szCs w:val="16"/>
      <w:lang w:eastAsia="en-GB"/>
    </w:rPr>
  </w:style>
  <w:style w:type="paragraph" w:customStyle="1" w:styleId="xl472">
    <w:name w:val="xl47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73">
    <w:name w:val="xl473"/>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74">
    <w:name w:val="xl474"/>
    <w:basedOn w:val="Normal"/>
    <w:uiPriority w:val="99"/>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475">
    <w:name w:val="xl475"/>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76">
    <w:name w:val="xl476"/>
    <w:basedOn w:val="Normal"/>
    <w:uiPriority w:val="99"/>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477">
    <w:name w:val="xl477"/>
    <w:basedOn w:val="Normal"/>
    <w:uiPriority w:val="99"/>
    <w:pPr>
      <w:pBdr>
        <w:top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478">
    <w:name w:val="xl478"/>
    <w:basedOn w:val="Normal"/>
    <w:uiPriority w:val="99"/>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79">
    <w:name w:val="xl479"/>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0">
    <w:name w:val="xl480"/>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1">
    <w:name w:val="xl481"/>
    <w:basedOn w:val="Normal"/>
    <w:uiPriority w:val="99"/>
    <w:pPr>
      <w:spacing w:before="100" w:beforeAutospacing="1" w:after="100" w:afterAutospacing="1"/>
      <w:jc w:val="left"/>
    </w:pPr>
    <w:rPr>
      <w:rFonts w:eastAsia="Times New Roman"/>
      <w:b/>
      <w:bCs/>
      <w:sz w:val="18"/>
      <w:szCs w:val="18"/>
      <w:lang w:eastAsia="en-GB"/>
    </w:rPr>
  </w:style>
  <w:style w:type="paragraph" w:customStyle="1" w:styleId="xl482">
    <w:name w:val="xl4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83">
    <w:name w:val="xl4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4"/>
      <w:szCs w:val="14"/>
      <w:lang w:eastAsia="en-GB"/>
    </w:rPr>
  </w:style>
  <w:style w:type="paragraph" w:customStyle="1" w:styleId="xl484">
    <w:name w:val="xl4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5">
    <w:name w:val="xl48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6">
    <w:name w:val="xl4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7">
    <w:name w:val="xl48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14"/>
      <w:szCs w:val="14"/>
      <w:lang w:eastAsia="en-GB"/>
    </w:rPr>
  </w:style>
  <w:style w:type="paragraph" w:customStyle="1" w:styleId="xl488">
    <w:name w:val="xl48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9">
    <w:name w:val="xl48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90">
    <w:name w:val="xl49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4"/>
      <w:szCs w:val="14"/>
      <w:lang w:eastAsia="en-GB"/>
    </w:rPr>
  </w:style>
  <w:style w:type="paragraph" w:customStyle="1" w:styleId="xl491">
    <w:name w:val="xl49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4"/>
      <w:szCs w:val="14"/>
      <w:lang w:eastAsia="en-GB"/>
    </w:rPr>
  </w:style>
  <w:style w:type="paragraph" w:customStyle="1" w:styleId="xl492">
    <w:name w:val="xl492"/>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3">
    <w:name w:val="xl493"/>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494">
    <w:name w:val="xl494"/>
    <w:basedOn w:val="Normal"/>
    <w:uiPriority w:val="99"/>
    <w:pPr>
      <w:pBdr>
        <w:top w:val="single" w:sz="8" w:space="0" w:color="000000"/>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95">
    <w:name w:val="xl495"/>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6">
    <w:name w:val="xl49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497">
    <w:name w:val="xl497"/>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498">
    <w:name w:val="xl498"/>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99">
    <w:name w:val="xl499"/>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500">
    <w:name w:val="xl500"/>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01">
    <w:name w:val="xl501"/>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02">
    <w:name w:val="xl502"/>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03">
    <w:name w:val="xl503"/>
    <w:basedOn w:val="Normal"/>
    <w:uiPriority w:val="99"/>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04">
    <w:name w:val="xl504"/>
    <w:basedOn w:val="Normal"/>
    <w:uiPriority w:val="99"/>
    <w:pPr>
      <w:pBdr>
        <w:bottom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05">
    <w:name w:val="xl505"/>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06">
    <w:name w:val="xl506"/>
    <w:basedOn w:val="Normal"/>
    <w:uiPriority w:val="99"/>
    <w:pPr>
      <w:spacing w:before="100" w:beforeAutospacing="1" w:after="100" w:afterAutospacing="1"/>
      <w:jc w:val="right"/>
    </w:pPr>
    <w:rPr>
      <w:rFonts w:eastAsia="Times New Roman"/>
      <w:i/>
      <w:iCs/>
      <w:color w:val="000000"/>
      <w:sz w:val="18"/>
      <w:szCs w:val="18"/>
      <w:lang w:eastAsia="en-GB"/>
    </w:rPr>
  </w:style>
  <w:style w:type="paragraph" w:customStyle="1" w:styleId="xl507">
    <w:name w:val="xl507"/>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08">
    <w:name w:val="xl508"/>
    <w:basedOn w:val="Normal"/>
    <w:uiPriority w:val="99"/>
    <w:pPr>
      <w:pBdr>
        <w:bottom w:val="single" w:sz="8" w:space="0" w:color="auto"/>
      </w:pBdr>
      <w:spacing w:before="100" w:beforeAutospacing="1" w:after="100" w:afterAutospacing="1"/>
      <w:jc w:val="right"/>
    </w:pPr>
    <w:rPr>
      <w:rFonts w:eastAsia="Times New Roman"/>
      <w:i/>
      <w:iCs/>
      <w:color w:val="000000"/>
      <w:sz w:val="18"/>
      <w:szCs w:val="18"/>
      <w:lang w:eastAsia="en-GB"/>
    </w:rPr>
  </w:style>
  <w:style w:type="paragraph" w:customStyle="1" w:styleId="xl509">
    <w:name w:val="xl50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0">
    <w:name w:val="xl510"/>
    <w:basedOn w:val="Normal"/>
    <w:uiPriority w:val="99"/>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1">
    <w:name w:val="xl511"/>
    <w:basedOn w:val="Normal"/>
    <w:uiPriority w:val="99"/>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2">
    <w:name w:val="xl512"/>
    <w:basedOn w:val="Normal"/>
    <w:uiPriority w:val="99"/>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3">
    <w:name w:val="xl513"/>
    <w:basedOn w:val="Normal"/>
    <w:uiPriority w:val="99"/>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4">
    <w:name w:val="xl514"/>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5">
    <w:name w:val="xl515"/>
    <w:basedOn w:val="Normal"/>
    <w:uiPriority w:val="99"/>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6">
    <w:name w:val="xl516"/>
    <w:basedOn w:val="Normal"/>
    <w:uiPriority w:val="99"/>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7">
    <w:name w:val="xl5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18">
    <w:name w:val="xl518"/>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
    <w:name w:val="xl519"/>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
    <w:name w:val="xl520"/>
    <w:basedOn w:val="Normal"/>
    <w:uiPriority w:val="99"/>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1">
    <w:name w:val="xl521"/>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2">
    <w:name w:val="xl52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3">
    <w:name w:val="xl523"/>
    <w:basedOn w:val="Normal"/>
    <w:uiPriority w:val="99"/>
    <w:pPr>
      <w:spacing w:before="100" w:beforeAutospacing="1" w:after="100" w:afterAutospacing="1"/>
      <w:jc w:val="right"/>
    </w:pPr>
    <w:rPr>
      <w:rFonts w:eastAsia="Times New Roman"/>
      <w:sz w:val="18"/>
      <w:szCs w:val="18"/>
      <w:lang w:eastAsia="en-GB"/>
    </w:rPr>
  </w:style>
  <w:style w:type="paragraph" w:customStyle="1" w:styleId="xl524">
    <w:name w:val="xl524"/>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5">
    <w:name w:val="xl52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26">
    <w:name w:val="xl526"/>
    <w:basedOn w:val="Normal"/>
    <w:uiPriority w:val="99"/>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7">
    <w:name w:val="xl52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28">
    <w:name w:val="xl528"/>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9">
    <w:name w:val="xl529"/>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30">
    <w:name w:val="xl530"/>
    <w:basedOn w:val="Normal"/>
    <w:uiPriority w:val="99"/>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31">
    <w:name w:val="xl531"/>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32">
    <w:name w:val="xl53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33">
    <w:name w:val="xl533"/>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34">
    <w:name w:val="xl53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35">
    <w:name w:val="xl535"/>
    <w:basedOn w:val="Normal"/>
    <w:uiPriority w:val="99"/>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36">
    <w:name w:val="xl536"/>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37">
    <w:name w:val="xl537"/>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38">
    <w:name w:val="xl538"/>
    <w:basedOn w:val="Normal"/>
    <w:uiPriority w:val="99"/>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39">
    <w:name w:val="xl539"/>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40">
    <w:name w:val="xl540"/>
    <w:basedOn w:val="Normal"/>
    <w:uiPriority w:val="99"/>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41">
    <w:name w:val="xl54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42">
    <w:name w:val="xl54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43">
    <w:name w:val="xl54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4">
    <w:name w:val="xl54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5">
    <w:name w:val="xl54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46">
    <w:name w:val="xl546"/>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47">
    <w:name w:val="xl54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48">
    <w:name w:val="xl54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49">
    <w:name w:val="xl5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0">
    <w:name w:val="xl5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1">
    <w:name w:val="xl551"/>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2">
    <w:name w:val="xl55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53">
    <w:name w:val="xl553"/>
    <w:basedOn w:val="Normal"/>
    <w:uiPriority w:val="99"/>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54">
    <w:name w:val="xl554"/>
    <w:basedOn w:val="Normal"/>
    <w:uiPriority w:val="99"/>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55">
    <w:name w:val="xl555"/>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6">
    <w:name w:val="xl556"/>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7">
    <w:name w:val="xl557"/>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8">
    <w:name w:val="xl558"/>
    <w:basedOn w:val="Normal"/>
    <w:uiPriority w:val="99"/>
    <w:pPr>
      <w:spacing w:before="100" w:beforeAutospacing="1" w:after="100" w:afterAutospacing="1"/>
      <w:jc w:val="left"/>
    </w:pPr>
    <w:rPr>
      <w:rFonts w:ascii="Calibri" w:eastAsia="Times New Roman" w:hAnsi="Calibri"/>
      <w:b/>
      <w:bCs/>
      <w:sz w:val="12"/>
      <w:szCs w:val="12"/>
      <w:lang w:eastAsia="en-GB"/>
    </w:rPr>
  </w:style>
  <w:style w:type="paragraph" w:customStyle="1" w:styleId="xl559">
    <w:name w:val="xl559"/>
    <w:basedOn w:val="Normal"/>
    <w:uiPriority w:val="99"/>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0">
    <w:name w:val="xl560"/>
    <w:basedOn w:val="Normal"/>
    <w:uiPriority w:val="99"/>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1">
    <w:name w:val="xl561"/>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2">
    <w:name w:val="xl562"/>
    <w:basedOn w:val="Normal"/>
    <w:uiPriority w:val="99"/>
    <w:pPr>
      <w:spacing w:before="100" w:beforeAutospacing="1" w:after="100" w:afterAutospacing="1"/>
      <w:jc w:val="center"/>
    </w:pPr>
    <w:rPr>
      <w:rFonts w:eastAsia="Times New Roman"/>
      <w:color w:val="000000"/>
      <w:sz w:val="12"/>
      <w:szCs w:val="12"/>
      <w:lang w:eastAsia="en-GB"/>
    </w:rPr>
  </w:style>
  <w:style w:type="paragraph" w:customStyle="1" w:styleId="xl563">
    <w:name w:val="xl563"/>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64">
    <w:name w:val="xl564"/>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5">
    <w:name w:val="xl565"/>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6">
    <w:name w:val="xl566"/>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7">
    <w:name w:val="xl567"/>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8">
    <w:name w:val="xl568"/>
    <w:basedOn w:val="Normal"/>
    <w:uiPriority w:val="99"/>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69">
    <w:name w:val="xl569"/>
    <w:basedOn w:val="Normal"/>
    <w:uiPriority w:val="99"/>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70">
    <w:name w:val="xl570"/>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71">
    <w:name w:val="xl57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72">
    <w:name w:val="xl57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73">
    <w:name w:val="xl573"/>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4">
    <w:name w:val="xl574"/>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5">
    <w:name w:val="xl575"/>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576">
    <w:name w:val="xl57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77">
    <w:name w:val="xl577"/>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78">
    <w:name w:val="xl578"/>
    <w:basedOn w:val="Normal"/>
    <w:uiPriority w:val="99"/>
    <w:pPr>
      <w:spacing w:before="100" w:beforeAutospacing="1" w:after="100" w:afterAutospacing="1"/>
      <w:jc w:val="right"/>
    </w:pPr>
    <w:rPr>
      <w:rFonts w:eastAsia="Times New Roman"/>
      <w:sz w:val="18"/>
      <w:szCs w:val="18"/>
      <w:lang w:eastAsia="en-GB"/>
    </w:rPr>
  </w:style>
  <w:style w:type="paragraph" w:customStyle="1" w:styleId="xl579">
    <w:name w:val="xl57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80">
    <w:name w:val="xl58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81">
    <w:name w:val="xl581"/>
    <w:basedOn w:val="Normal"/>
    <w:uiPriority w:val="99"/>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82">
    <w:name w:val="xl582"/>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83">
    <w:name w:val="xl583"/>
    <w:basedOn w:val="Normal"/>
    <w:uiPriority w:val="99"/>
    <w:pPr>
      <w:spacing w:before="100" w:beforeAutospacing="1" w:after="100" w:afterAutospacing="1"/>
      <w:jc w:val="right"/>
    </w:pPr>
    <w:rPr>
      <w:rFonts w:eastAsia="Times New Roman"/>
      <w:sz w:val="18"/>
      <w:szCs w:val="18"/>
      <w:lang w:eastAsia="en-GB"/>
    </w:rPr>
  </w:style>
  <w:style w:type="paragraph" w:customStyle="1" w:styleId="xl584">
    <w:name w:val="xl58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85">
    <w:name w:val="xl585"/>
    <w:basedOn w:val="Normal"/>
    <w:uiPriority w:val="99"/>
    <w:pPr>
      <w:spacing w:before="100" w:beforeAutospacing="1" w:after="100" w:afterAutospacing="1"/>
      <w:jc w:val="left"/>
    </w:pPr>
    <w:rPr>
      <w:rFonts w:eastAsia="Times New Roman"/>
      <w:sz w:val="18"/>
      <w:szCs w:val="18"/>
      <w:lang w:eastAsia="en-GB"/>
    </w:rPr>
  </w:style>
  <w:style w:type="paragraph" w:customStyle="1" w:styleId="xl586">
    <w:name w:val="xl58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87">
    <w:name w:val="xl587"/>
    <w:basedOn w:val="Normal"/>
    <w:uiPriority w:val="99"/>
    <w:pPr>
      <w:spacing w:before="100" w:beforeAutospacing="1" w:after="100" w:afterAutospacing="1"/>
      <w:jc w:val="left"/>
    </w:pPr>
    <w:rPr>
      <w:rFonts w:eastAsia="Times New Roman"/>
      <w:i/>
      <w:iCs/>
      <w:color w:val="000000"/>
      <w:sz w:val="18"/>
      <w:szCs w:val="18"/>
      <w:lang w:eastAsia="en-GB"/>
    </w:rPr>
  </w:style>
  <w:style w:type="paragraph" w:customStyle="1" w:styleId="xl588">
    <w:name w:val="xl588"/>
    <w:basedOn w:val="Normal"/>
    <w:uiPriority w:val="99"/>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89">
    <w:name w:val="xl589"/>
    <w:basedOn w:val="Normal"/>
    <w:uiPriority w:val="99"/>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0">
    <w:name w:val="xl590"/>
    <w:basedOn w:val="Normal"/>
    <w:uiPriority w:val="99"/>
    <w:pPr>
      <w:spacing w:before="100" w:beforeAutospacing="1" w:after="100" w:afterAutospacing="1"/>
      <w:jc w:val="right"/>
    </w:pPr>
    <w:rPr>
      <w:rFonts w:eastAsia="Times New Roman"/>
      <w:color w:val="000000"/>
      <w:sz w:val="12"/>
      <w:szCs w:val="12"/>
      <w:lang w:eastAsia="en-GB"/>
    </w:rPr>
  </w:style>
  <w:style w:type="paragraph" w:customStyle="1" w:styleId="xl591">
    <w:name w:val="xl591"/>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2">
    <w:name w:val="xl592"/>
    <w:basedOn w:val="Normal"/>
    <w:uiPriority w:val="99"/>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3">
    <w:name w:val="xl593"/>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4">
    <w:name w:val="xl59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95">
    <w:name w:val="xl595"/>
    <w:basedOn w:val="Normal"/>
    <w:uiPriority w:val="99"/>
    <w:pPr>
      <w:spacing w:before="100" w:beforeAutospacing="1" w:after="100" w:afterAutospacing="1"/>
      <w:jc w:val="right"/>
    </w:pPr>
    <w:rPr>
      <w:rFonts w:eastAsia="Times New Roman"/>
      <w:sz w:val="18"/>
      <w:szCs w:val="18"/>
      <w:lang w:eastAsia="en-GB"/>
    </w:rPr>
  </w:style>
  <w:style w:type="paragraph" w:customStyle="1" w:styleId="xl596">
    <w:name w:val="xl59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97">
    <w:name w:val="xl59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98">
    <w:name w:val="xl59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9">
    <w:name w:val="xl5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600">
    <w:name w:val="xl600"/>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1">
    <w:name w:val="xl601"/>
    <w:basedOn w:val="Normal"/>
    <w:uiPriority w:val="99"/>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602">
    <w:name w:val="xl602"/>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3">
    <w:name w:val="xl603"/>
    <w:basedOn w:val="Normal"/>
    <w:uiPriority w:val="99"/>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4">
    <w:name w:val="xl604"/>
    <w:basedOn w:val="Normal"/>
    <w:uiPriority w:val="99"/>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5">
    <w:name w:val="xl605"/>
    <w:basedOn w:val="Normal"/>
    <w:uiPriority w:val="99"/>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6">
    <w:name w:val="xl606"/>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607">
    <w:name w:val="xl607"/>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8">
    <w:name w:val="xl608"/>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9">
    <w:name w:val="xl609"/>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0">
    <w:name w:val="xl610"/>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1">
    <w:name w:val="xl611"/>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612">
    <w:name w:val="xl612"/>
    <w:basedOn w:val="Normal"/>
    <w:uiPriority w:val="99"/>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613">
    <w:name w:val="xl613"/>
    <w:basedOn w:val="Normal"/>
    <w:uiPriority w:val="99"/>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614">
    <w:name w:val="xl61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15">
    <w:name w:val="xl615"/>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6">
    <w:name w:val="xl61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7">
    <w:name w:val="xl6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18">
    <w:name w:val="xl618"/>
    <w:basedOn w:val="Normal"/>
    <w:uiPriority w:val="99"/>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619">
    <w:name w:val="xl61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0">
    <w:name w:val="xl620"/>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1">
    <w:name w:val="xl62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22">
    <w:name w:val="xl622"/>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23">
    <w:name w:val="xl623"/>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4">
    <w:name w:val="xl624"/>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5">
    <w:name w:val="xl625"/>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6">
    <w:name w:val="xl626"/>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7">
    <w:name w:val="xl627"/>
    <w:basedOn w:val="Normal"/>
    <w:uiPriority w:val="99"/>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628">
    <w:name w:val="xl628"/>
    <w:basedOn w:val="Normal"/>
    <w:uiPriority w:val="99"/>
    <w:pPr>
      <w:spacing w:before="100" w:beforeAutospacing="1" w:after="100" w:afterAutospacing="1"/>
      <w:jc w:val="left"/>
    </w:pPr>
    <w:rPr>
      <w:rFonts w:eastAsia="Times New Roman"/>
      <w:sz w:val="18"/>
      <w:szCs w:val="18"/>
      <w:lang w:eastAsia="en-GB"/>
    </w:rPr>
  </w:style>
  <w:style w:type="paragraph" w:customStyle="1" w:styleId="xl629">
    <w:name w:val="xl62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30">
    <w:name w:val="xl630"/>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631">
    <w:name w:val="xl631"/>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32">
    <w:name w:val="xl63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3">
    <w:name w:val="xl633"/>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4">
    <w:name w:val="xl634"/>
    <w:basedOn w:val="Normal"/>
    <w:uiPriority w:val="99"/>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5">
    <w:name w:val="xl635"/>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6">
    <w:name w:val="xl636"/>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7">
    <w:name w:val="xl637"/>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8">
    <w:name w:val="xl638"/>
    <w:basedOn w:val="Normal"/>
    <w:uiPriority w:val="99"/>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9">
    <w:name w:val="xl639"/>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40">
    <w:name w:val="xl640"/>
    <w:basedOn w:val="Normal"/>
    <w:uiPriority w:val="99"/>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41">
    <w:name w:val="xl641"/>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42">
    <w:name w:val="xl64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3">
    <w:name w:val="xl643"/>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4">
    <w:name w:val="xl644"/>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45">
    <w:name w:val="xl645"/>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46">
    <w:name w:val="xl646"/>
    <w:basedOn w:val="Normal"/>
    <w:uiPriority w:val="99"/>
    <w:pPr>
      <w:pBdr>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7">
    <w:name w:val="xl647"/>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8">
    <w:name w:val="xl648"/>
    <w:basedOn w:val="Normal"/>
    <w:uiPriority w:val="99"/>
    <w:pPr>
      <w:pBdr>
        <w:left w:val="single" w:sz="4" w:space="0" w:color="auto"/>
        <w:right w:val="single" w:sz="4" w:space="0" w:color="auto"/>
      </w:pBdr>
      <w:spacing w:before="100" w:beforeAutospacing="1" w:after="100" w:afterAutospacing="1"/>
      <w:jc w:val="right"/>
    </w:pPr>
    <w:rPr>
      <w:rFonts w:eastAsia="Times New Roman"/>
      <w:szCs w:val="24"/>
      <w:lang w:eastAsia="en-GB"/>
    </w:rPr>
  </w:style>
  <w:style w:type="paragraph" w:customStyle="1" w:styleId="xl649">
    <w:name w:val="xl64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0">
    <w:name w:val="xl650"/>
    <w:basedOn w:val="Normal"/>
    <w:uiPriority w:val="99"/>
    <w:pPr>
      <w:pBdr>
        <w:top w:val="single" w:sz="8" w:space="0" w:color="auto"/>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1">
    <w:name w:val="xl651"/>
    <w:basedOn w:val="Normal"/>
    <w:uiPriority w:val="99"/>
    <w:pPr>
      <w:pBdr>
        <w:left w:val="single" w:sz="4"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52">
    <w:name w:val="xl652"/>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3">
    <w:name w:val="xl653"/>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54">
    <w:name w:val="xl65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55">
    <w:name w:val="xl655"/>
    <w:basedOn w:val="Normal"/>
    <w:uiPriority w:val="99"/>
    <w:pPr>
      <w:pBdr>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6">
    <w:name w:val="xl656"/>
    <w:basedOn w:val="Normal"/>
    <w:uiPriority w:val="99"/>
    <w:pPr>
      <w:pBdr>
        <w:left w:val="single" w:sz="4" w:space="0" w:color="auto"/>
        <w:bottom w:val="single" w:sz="8" w:space="0" w:color="auto"/>
      </w:pBdr>
      <w:shd w:val="clear" w:color="auto" w:fill="FFFF00"/>
      <w:spacing w:before="100" w:beforeAutospacing="1" w:after="100" w:afterAutospacing="1"/>
      <w:jc w:val="left"/>
    </w:pPr>
    <w:rPr>
      <w:rFonts w:eastAsia="Times New Roman"/>
      <w:color w:val="000000"/>
      <w:sz w:val="18"/>
      <w:szCs w:val="18"/>
      <w:lang w:eastAsia="en-GB"/>
    </w:rPr>
  </w:style>
  <w:style w:type="paragraph" w:customStyle="1" w:styleId="xl657">
    <w:name w:val="xl657"/>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8">
    <w:name w:val="xl658"/>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9">
    <w:name w:val="xl659"/>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60">
    <w:name w:val="xl660"/>
    <w:basedOn w:val="Normal"/>
    <w:uiPriority w:val="99"/>
    <w:pPr>
      <w:pBdr>
        <w:top w:val="single" w:sz="8" w:space="0" w:color="000000"/>
        <w:left w:val="single" w:sz="4" w:space="0" w:color="auto"/>
      </w:pBdr>
      <w:spacing w:before="100" w:beforeAutospacing="1" w:after="100" w:afterAutospacing="1"/>
      <w:jc w:val="left"/>
    </w:pPr>
    <w:rPr>
      <w:rFonts w:eastAsia="Times New Roman"/>
      <w:sz w:val="18"/>
      <w:szCs w:val="18"/>
      <w:lang w:eastAsia="en-GB"/>
    </w:rPr>
  </w:style>
  <w:style w:type="paragraph" w:customStyle="1" w:styleId="xl661">
    <w:name w:val="xl661"/>
    <w:basedOn w:val="Normal"/>
    <w:uiPriority w:val="99"/>
    <w:pPr>
      <w:pBdr>
        <w:left w:val="single" w:sz="4" w:space="0" w:color="auto"/>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662">
    <w:name w:val="xl662"/>
    <w:basedOn w:val="Normal"/>
    <w:uiPriority w:val="99"/>
    <w:pPr>
      <w:pBdr>
        <w:top w:val="single" w:sz="8" w:space="0" w:color="000000"/>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3">
    <w:name w:val="xl663"/>
    <w:basedOn w:val="Normal"/>
    <w:uiPriority w:val="99"/>
    <w:pPr>
      <w:pBdr>
        <w:left w:val="single" w:sz="4" w:space="0" w:color="auto"/>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64">
    <w:name w:val="xl664"/>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65">
    <w:name w:val="xl665"/>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66">
    <w:name w:val="xl666"/>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67">
    <w:name w:val="xl667"/>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8">
    <w:name w:val="xl668"/>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9">
    <w:name w:val="xl66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0">
    <w:name w:val="xl670"/>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1">
    <w:name w:val="xl671"/>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72">
    <w:name w:val="xl672"/>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73">
    <w:name w:val="xl673"/>
    <w:basedOn w:val="Normal"/>
    <w:uiPriority w:val="99"/>
    <w:pPr>
      <w:pBdr>
        <w:top w:val="single" w:sz="8"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74">
    <w:name w:val="xl67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75">
    <w:name w:val="xl675"/>
    <w:basedOn w:val="Normal"/>
    <w:uiPriority w:val="99"/>
    <w:pPr>
      <w:pBdr>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DESignature">
    <w:name w:val="DE Signature"/>
    <w:basedOn w:val="Normal"/>
    <w:next w:val="Normal"/>
    <w:uiPriority w:val="99"/>
    <w:pPr>
      <w:tabs>
        <w:tab w:val="center" w:pos="5953"/>
      </w:tabs>
      <w:spacing w:before="720" w:line="360" w:lineRule="auto"/>
      <w:jc w:val="left"/>
    </w:pPr>
  </w:style>
  <w:style w:type="paragraph" w:customStyle="1" w:styleId="xl51867">
    <w:name w:val="xl5186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8">
    <w:name w:val="xl5186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9">
    <w:name w:val="xl5186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0">
    <w:name w:val="xl51870"/>
    <w:basedOn w:val="Normal"/>
    <w:pPr>
      <w:spacing w:before="100" w:beforeAutospacing="1" w:after="100" w:afterAutospacing="1"/>
      <w:jc w:val="left"/>
    </w:pPr>
    <w:rPr>
      <w:rFonts w:eastAsia="Times New Roman"/>
      <w:color w:val="000000"/>
      <w:sz w:val="18"/>
      <w:szCs w:val="18"/>
      <w:lang w:eastAsia="en-GB"/>
    </w:rPr>
  </w:style>
  <w:style w:type="paragraph" w:customStyle="1" w:styleId="xl51871">
    <w:name w:val="xl51871"/>
    <w:basedOn w:val="Normal"/>
    <w:pPr>
      <w:spacing w:before="100" w:beforeAutospacing="1" w:after="100" w:afterAutospacing="1"/>
      <w:jc w:val="left"/>
    </w:pPr>
    <w:rPr>
      <w:rFonts w:eastAsia="Times New Roman"/>
      <w:sz w:val="18"/>
      <w:szCs w:val="18"/>
      <w:lang w:eastAsia="en-GB"/>
    </w:rPr>
  </w:style>
  <w:style w:type="paragraph" w:customStyle="1" w:styleId="xl51872">
    <w:name w:val="xl51872"/>
    <w:basedOn w:val="Normal"/>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1873">
    <w:name w:val="xl51873"/>
    <w:basedOn w:val="Normal"/>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4">
    <w:name w:val="xl51874"/>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875">
    <w:name w:val="xl51875"/>
    <w:basedOn w:val="Normal"/>
    <w:pPr>
      <w:spacing w:before="100" w:beforeAutospacing="1" w:after="100" w:afterAutospacing="1"/>
      <w:jc w:val="left"/>
    </w:pPr>
    <w:rPr>
      <w:rFonts w:ascii="Calibri" w:eastAsia="Times New Roman" w:hAnsi="Calibri"/>
      <w:color w:val="000000"/>
      <w:sz w:val="18"/>
      <w:szCs w:val="18"/>
      <w:lang w:eastAsia="en-GB"/>
    </w:rPr>
  </w:style>
  <w:style w:type="paragraph" w:customStyle="1" w:styleId="xl51876">
    <w:name w:val="xl5187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7">
    <w:name w:val="xl51877"/>
    <w:basedOn w:val="Normal"/>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8">
    <w:name w:val="xl51878"/>
    <w:basedOn w:val="Normal"/>
    <w:pPr>
      <w:spacing w:before="100" w:beforeAutospacing="1" w:after="100" w:afterAutospacing="1"/>
      <w:jc w:val="left"/>
    </w:pPr>
    <w:rPr>
      <w:rFonts w:eastAsia="Times New Roman"/>
      <w:color w:val="000000"/>
      <w:sz w:val="18"/>
      <w:szCs w:val="18"/>
      <w:lang w:eastAsia="en-GB"/>
    </w:rPr>
  </w:style>
  <w:style w:type="paragraph" w:customStyle="1" w:styleId="xl51879">
    <w:name w:val="xl51879"/>
    <w:basedOn w:val="Normal"/>
    <w:pPr>
      <w:spacing w:before="100" w:beforeAutospacing="1" w:after="100" w:afterAutospacing="1"/>
      <w:jc w:val="left"/>
    </w:pPr>
    <w:rPr>
      <w:rFonts w:eastAsia="Times New Roman"/>
      <w:color w:val="000000"/>
      <w:sz w:val="18"/>
      <w:szCs w:val="18"/>
      <w:lang w:eastAsia="en-GB"/>
    </w:rPr>
  </w:style>
  <w:style w:type="paragraph" w:customStyle="1" w:styleId="xl51880">
    <w:name w:val="xl51880"/>
    <w:basedOn w:val="Normal"/>
    <w:pPr>
      <w:spacing w:before="100" w:beforeAutospacing="1" w:after="100" w:afterAutospacing="1"/>
      <w:jc w:val="left"/>
    </w:pPr>
    <w:rPr>
      <w:rFonts w:eastAsia="Times New Roman"/>
      <w:color w:val="000000"/>
      <w:sz w:val="18"/>
      <w:szCs w:val="18"/>
      <w:lang w:eastAsia="en-GB"/>
    </w:rPr>
  </w:style>
  <w:style w:type="paragraph" w:customStyle="1" w:styleId="xl51881">
    <w:name w:val="xl51881"/>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2">
    <w:name w:val="xl51882"/>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3">
    <w:name w:val="xl51883"/>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4">
    <w:name w:val="xl51884"/>
    <w:basedOn w:val="Normal"/>
    <w:pPr>
      <w:pBdr>
        <w:top w:val="single" w:sz="8" w:space="0" w:color="auto"/>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5">
    <w:name w:val="xl5188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6">
    <w:name w:val="xl5188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7">
    <w:name w:val="xl5188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8">
    <w:name w:val="xl51888"/>
    <w:basedOn w:val="Normal"/>
    <w:pPr>
      <w:pBdr>
        <w:left w:val="single" w:sz="8"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9">
    <w:name w:val="xl51889"/>
    <w:basedOn w:val="Normal"/>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1890">
    <w:name w:val="xl51890"/>
    <w:basedOn w:val="Normal"/>
    <w:pPr>
      <w:spacing w:before="100" w:beforeAutospacing="1" w:after="100" w:afterAutospacing="1"/>
      <w:jc w:val="right"/>
    </w:pPr>
    <w:rPr>
      <w:rFonts w:eastAsia="Times New Roman"/>
      <w:color w:val="000000"/>
      <w:sz w:val="18"/>
      <w:szCs w:val="18"/>
      <w:lang w:eastAsia="en-GB"/>
    </w:rPr>
  </w:style>
  <w:style w:type="paragraph" w:customStyle="1" w:styleId="xl51891">
    <w:name w:val="xl51891"/>
    <w:basedOn w:val="Normal"/>
    <w:pPr>
      <w:spacing w:before="100" w:beforeAutospacing="1" w:after="100" w:afterAutospacing="1"/>
      <w:jc w:val="right"/>
    </w:pPr>
    <w:rPr>
      <w:rFonts w:eastAsia="Times New Roman"/>
      <w:color w:val="000000"/>
      <w:sz w:val="18"/>
      <w:szCs w:val="18"/>
      <w:lang w:eastAsia="en-GB"/>
    </w:rPr>
  </w:style>
  <w:style w:type="paragraph" w:customStyle="1" w:styleId="xl51892">
    <w:name w:val="xl51892"/>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3">
    <w:name w:val="xl51893"/>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894">
    <w:name w:val="xl51894"/>
    <w:basedOn w:val="Normal"/>
    <w:pPr>
      <w:spacing w:before="100" w:beforeAutospacing="1" w:after="100" w:afterAutospacing="1"/>
      <w:jc w:val="left"/>
    </w:pPr>
    <w:rPr>
      <w:rFonts w:eastAsia="Times New Roman"/>
      <w:color w:val="000000"/>
      <w:sz w:val="18"/>
      <w:szCs w:val="18"/>
      <w:lang w:eastAsia="en-GB"/>
    </w:rPr>
  </w:style>
  <w:style w:type="paragraph" w:customStyle="1" w:styleId="xl51895">
    <w:name w:val="xl5189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96">
    <w:name w:val="xl51896"/>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7">
    <w:name w:val="xl51897"/>
    <w:basedOn w:val="Normal"/>
    <w:pPr>
      <w:spacing w:before="100" w:beforeAutospacing="1" w:after="100" w:afterAutospacing="1"/>
      <w:jc w:val="left"/>
    </w:pPr>
    <w:rPr>
      <w:rFonts w:eastAsia="Times New Roman"/>
      <w:sz w:val="18"/>
      <w:szCs w:val="18"/>
      <w:lang w:eastAsia="en-GB"/>
    </w:rPr>
  </w:style>
  <w:style w:type="paragraph" w:customStyle="1" w:styleId="xl51898">
    <w:name w:val="xl51898"/>
    <w:basedOn w:val="Normal"/>
    <w:pPr>
      <w:spacing w:before="100" w:beforeAutospacing="1" w:after="100" w:afterAutospacing="1"/>
      <w:jc w:val="right"/>
    </w:pPr>
    <w:rPr>
      <w:rFonts w:eastAsia="Times New Roman"/>
      <w:sz w:val="18"/>
      <w:szCs w:val="18"/>
      <w:lang w:eastAsia="en-GB"/>
    </w:rPr>
  </w:style>
  <w:style w:type="paragraph" w:customStyle="1" w:styleId="xl51899">
    <w:name w:val="xl5189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00">
    <w:name w:val="xl5190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01">
    <w:name w:val="xl51901"/>
    <w:basedOn w:val="Normal"/>
    <w:pPr>
      <w:spacing w:before="100" w:beforeAutospacing="1" w:after="100" w:afterAutospacing="1"/>
      <w:jc w:val="left"/>
    </w:pPr>
    <w:rPr>
      <w:rFonts w:eastAsia="Times New Roman"/>
      <w:color w:val="FF0000"/>
      <w:sz w:val="18"/>
      <w:szCs w:val="18"/>
      <w:lang w:eastAsia="en-GB"/>
    </w:rPr>
  </w:style>
  <w:style w:type="paragraph" w:customStyle="1" w:styleId="xl51902">
    <w:name w:val="xl51902"/>
    <w:basedOn w:val="Normal"/>
    <w:pPr>
      <w:spacing w:before="100" w:beforeAutospacing="1" w:after="100" w:afterAutospacing="1"/>
      <w:jc w:val="right"/>
    </w:pPr>
    <w:rPr>
      <w:rFonts w:eastAsia="Times New Roman"/>
      <w:color w:val="FF0000"/>
      <w:sz w:val="18"/>
      <w:szCs w:val="18"/>
      <w:lang w:eastAsia="en-GB"/>
    </w:rPr>
  </w:style>
  <w:style w:type="paragraph" w:customStyle="1" w:styleId="xl51903">
    <w:name w:val="xl51903"/>
    <w:basedOn w:val="Normal"/>
    <w:pPr>
      <w:spacing w:before="100" w:beforeAutospacing="1" w:after="100" w:afterAutospacing="1"/>
      <w:jc w:val="left"/>
    </w:pPr>
    <w:rPr>
      <w:rFonts w:eastAsia="Times New Roman"/>
      <w:b/>
      <w:bCs/>
      <w:color w:val="FF0000"/>
      <w:sz w:val="18"/>
      <w:szCs w:val="18"/>
      <w:lang w:eastAsia="en-GB"/>
    </w:rPr>
  </w:style>
  <w:style w:type="paragraph" w:customStyle="1" w:styleId="xl51904">
    <w:name w:val="xl51904"/>
    <w:basedOn w:val="Normal"/>
    <w:pPr>
      <w:spacing w:before="100" w:beforeAutospacing="1" w:after="100" w:afterAutospacing="1"/>
      <w:jc w:val="left"/>
    </w:pPr>
    <w:rPr>
      <w:rFonts w:eastAsia="Times New Roman"/>
      <w:b/>
      <w:bCs/>
      <w:color w:val="000000"/>
      <w:sz w:val="18"/>
      <w:szCs w:val="18"/>
      <w:lang w:eastAsia="en-GB"/>
    </w:rPr>
  </w:style>
  <w:style w:type="paragraph" w:customStyle="1" w:styleId="xl51905">
    <w:name w:val="xl51905"/>
    <w:basedOn w:val="Normal"/>
    <w:pPr>
      <w:spacing w:before="100" w:beforeAutospacing="1" w:after="100" w:afterAutospacing="1"/>
      <w:jc w:val="left"/>
    </w:pPr>
    <w:rPr>
      <w:rFonts w:eastAsia="Times New Roman"/>
      <w:b/>
      <w:bCs/>
      <w:sz w:val="18"/>
      <w:szCs w:val="18"/>
      <w:lang w:eastAsia="en-GB"/>
    </w:rPr>
  </w:style>
  <w:style w:type="paragraph" w:customStyle="1" w:styleId="xl51906">
    <w:name w:val="xl51906"/>
    <w:basedOn w:val="Normal"/>
    <w:pPr>
      <w:spacing w:before="100" w:beforeAutospacing="1" w:after="100" w:afterAutospacing="1"/>
      <w:jc w:val="left"/>
    </w:pPr>
    <w:rPr>
      <w:rFonts w:eastAsia="Times New Roman"/>
      <w:sz w:val="18"/>
      <w:szCs w:val="18"/>
      <w:lang w:eastAsia="en-GB"/>
    </w:rPr>
  </w:style>
  <w:style w:type="paragraph" w:customStyle="1" w:styleId="xl51907">
    <w:name w:val="xl51907"/>
    <w:basedOn w:val="Normal"/>
    <w:pPr>
      <w:spacing w:before="100" w:beforeAutospacing="1" w:after="100" w:afterAutospacing="1"/>
      <w:jc w:val="left"/>
    </w:pPr>
    <w:rPr>
      <w:rFonts w:eastAsia="Times New Roman"/>
      <w:sz w:val="18"/>
      <w:szCs w:val="18"/>
      <w:lang w:eastAsia="en-GB"/>
    </w:rPr>
  </w:style>
  <w:style w:type="paragraph" w:customStyle="1" w:styleId="xl51908">
    <w:name w:val="xl51908"/>
    <w:basedOn w:val="Normal"/>
    <w:pPr>
      <w:spacing w:before="100" w:beforeAutospacing="1" w:after="100" w:afterAutospacing="1"/>
      <w:jc w:val="right"/>
    </w:pPr>
    <w:rPr>
      <w:rFonts w:eastAsia="Times New Roman"/>
      <w:b/>
      <w:bCs/>
      <w:sz w:val="18"/>
      <w:szCs w:val="18"/>
      <w:lang w:eastAsia="en-GB"/>
    </w:rPr>
  </w:style>
  <w:style w:type="paragraph" w:customStyle="1" w:styleId="xl51909">
    <w:name w:val="xl51909"/>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10">
    <w:name w:val="xl51910"/>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11">
    <w:name w:val="xl51911"/>
    <w:basedOn w:val="Normal"/>
    <w:pPr>
      <w:spacing w:before="100" w:beforeAutospacing="1" w:after="100" w:afterAutospacing="1"/>
      <w:jc w:val="right"/>
    </w:pPr>
    <w:rPr>
      <w:rFonts w:eastAsia="Times New Roman"/>
      <w:color w:val="000000"/>
      <w:sz w:val="18"/>
      <w:szCs w:val="18"/>
      <w:lang w:eastAsia="en-GB"/>
    </w:rPr>
  </w:style>
  <w:style w:type="paragraph" w:customStyle="1" w:styleId="xl51912">
    <w:name w:val="xl51912"/>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1913">
    <w:name w:val="xl51913"/>
    <w:basedOn w:val="Normal"/>
    <w:pPr>
      <w:pBdr>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14">
    <w:name w:val="xl51914"/>
    <w:basedOn w:val="Normal"/>
    <w:pPr>
      <w:pBdr>
        <w:bottom w:val="single" w:sz="8" w:space="0" w:color="auto"/>
      </w:pBdr>
      <w:spacing w:before="100" w:beforeAutospacing="1" w:after="100" w:afterAutospacing="1"/>
      <w:jc w:val="left"/>
    </w:pPr>
    <w:rPr>
      <w:rFonts w:eastAsia="Times New Roman"/>
      <w:color w:val="FF0000"/>
      <w:sz w:val="18"/>
      <w:szCs w:val="18"/>
      <w:lang w:eastAsia="en-GB"/>
    </w:rPr>
  </w:style>
  <w:style w:type="paragraph" w:customStyle="1" w:styleId="xl51915">
    <w:name w:val="xl51915"/>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16">
    <w:name w:val="xl51916"/>
    <w:basedOn w:val="Normal"/>
    <w:pPr>
      <w:spacing w:before="100" w:beforeAutospacing="1" w:after="100" w:afterAutospacing="1"/>
      <w:jc w:val="left"/>
    </w:pPr>
    <w:rPr>
      <w:rFonts w:eastAsia="Times New Roman"/>
      <w:color w:val="FF0000"/>
      <w:sz w:val="18"/>
      <w:szCs w:val="18"/>
      <w:lang w:eastAsia="en-GB"/>
    </w:rPr>
  </w:style>
  <w:style w:type="paragraph" w:customStyle="1" w:styleId="xl51917">
    <w:name w:val="xl51917"/>
    <w:basedOn w:val="Normal"/>
    <w:pPr>
      <w:spacing w:before="100" w:beforeAutospacing="1" w:after="100" w:afterAutospacing="1"/>
      <w:jc w:val="left"/>
    </w:pPr>
    <w:rPr>
      <w:rFonts w:eastAsia="Times New Roman"/>
      <w:color w:val="000000"/>
      <w:sz w:val="18"/>
      <w:szCs w:val="18"/>
      <w:lang w:eastAsia="en-GB"/>
    </w:rPr>
  </w:style>
  <w:style w:type="paragraph" w:customStyle="1" w:styleId="xl51918">
    <w:name w:val="xl51918"/>
    <w:basedOn w:val="Normal"/>
    <w:pPr>
      <w:spacing w:before="100" w:beforeAutospacing="1" w:after="100" w:afterAutospacing="1"/>
      <w:jc w:val="left"/>
    </w:pPr>
    <w:rPr>
      <w:rFonts w:eastAsia="Times New Roman"/>
      <w:color w:val="000000"/>
      <w:sz w:val="18"/>
      <w:szCs w:val="18"/>
      <w:lang w:eastAsia="en-GB"/>
    </w:rPr>
  </w:style>
  <w:style w:type="paragraph" w:customStyle="1" w:styleId="xl51919">
    <w:name w:val="xl51919"/>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20">
    <w:name w:val="xl51920"/>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1">
    <w:name w:val="xl51921"/>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2">
    <w:name w:val="xl51922"/>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3">
    <w:name w:val="xl51923"/>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4">
    <w:name w:val="xl5192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5">
    <w:name w:val="xl51925"/>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26">
    <w:name w:val="xl51926"/>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27">
    <w:name w:val="xl51927"/>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28">
    <w:name w:val="xl51928"/>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Sous-titreobjet">
    <w:name w:val="Sous-titre objet"/>
    <w:basedOn w:val="Normal"/>
    <w:uiPriority w:val="99"/>
    <w:pPr>
      <w:spacing w:before="0" w:after="0"/>
      <w:jc w:val="center"/>
    </w:pPr>
    <w:rPr>
      <w:b/>
    </w:rPr>
  </w:style>
  <w:style w:type="paragraph" w:customStyle="1" w:styleId="Titreobjet">
    <w:name w:val="Titre objet"/>
    <w:basedOn w:val="Normal"/>
    <w:next w:val="Sous-titreobjet"/>
    <w:uiPriority w:val="99"/>
    <w:pPr>
      <w:spacing w:before="180" w:after="180"/>
      <w:jc w:val="center"/>
    </w:pPr>
    <w:rPr>
      <w:b/>
    </w:rPr>
  </w:style>
  <w:style w:type="paragraph" w:customStyle="1" w:styleId="Sous-titreobjetPagedecouverture">
    <w:name w:val="Sous-titre objet (Page de couverture)"/>
    <w:basedOn w:val="Sous-titreobjet"/>
    <w:uiPriority w:val="99"/>
  </w:style>
  <w:style w:type="paragraph" w:customStyle="1" w:styleId="TitreobjetPagedecouverture">
    <w:name w:val="Titre objet (Page de couverture)"/>
    <w:basedOn w:val="Titreobjet"/>
    <w:next w:val="Sous-titreobjetPagedecouverture"/>
  </w:style>
  <w:style w:type="character" w:styleId="PlaceholderText">
    <w:name w:val="Placeholder Text"/>
    <w:basedOn w:val="DefaultParagraphFont"/>
    <w:uiPriority w:val="99"/>
    <w:semiHidden/>
    <w:rPr>
      <w:color w:val="808080"/>
    </w:rPr>
  </w:style>
  <w:style w:type="paragraph" w:customStyle="1" w:styleId="Jardin">
    <w:name w:val="Jardin"/>
    <w:basedOn w:val="Normal"/>
    <w:uiPriority w:val="99"/>
    <w:pPr>
      <w:spacing w:before="200" w:after="0"/>
      <w:jc w:val="center"/>
    </w:pPr>
    <w:rPr>
      <w:rFonts w:eastAsia="Times New Roman"/>
      <w:szCs w:val="24"/>
    </w:rPr>
  </w:style>
  <w:style w:type="paragraph" w:customStyle="1" w:styleId="NormalCompact">
    <w:name w:val="Normal Compact"/>
    <w:basedOn w:val="Normal"/>
    <w:next w:val="Normal"/>
    <w:uiPriority w:val="99"/>
    <w:pPr>
      <w:jc w:val="left"/>
    </w:pPr>
    <w:rPr>
      <w:rFonts w:eastAsia="Times New Roman"/>
      <w:szCs w:val="24"/>
    </w:rPr>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numbering" w:customStyle="1" w:styleId="NoList1111">
    <w:name w:val="No List1111"/>
    <w:next w:val="NoList"/>
    <w:uiPriority w:val="99"/>
    <w:semiHidden/>
    <w:unhideWhenUsed/>
  </w:style>
  <w:style w:type="paragraph" w:customStyle="1" w:styleId="xl51929">
    <w:name w:val="xl51929"/>
    <w:basedOn w:val="Normal"/>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30">
    <w:name w:val="xl51930"/>
    <w:basedOn w:val="Normal"/>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931">
    <w:name w:val="xl51931"/>
    <w:basedOn w:val="Normal"/>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932">
    <w:name w:val="xl51932"/>
    <w:basedOn w:val="Normal"/>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33">
    <w:name w:val="xl51933"/>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4">
    <w:name w:val="xl51934"/>
    <w:basedOn w:val="Normal"/>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5">
    <w:name w:val="xl51935"/>
    <w:basedOn w:val="Normal"/>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6">
    <w:name w:val="xl51936"/>
    <w:basedOn w:val="Normal"/>
    <w:pPr>
      <w:spacing w:before="100" w:beforeAutospacing="1" w:after="100" w:afterAutospacing="1"/>
      <w:jc w:val="right"/>
    </w:pPr>
    <w:rPr>
      <w:rFonts w:eastAsia="Times New Roman"/>
      <w:color w:val="000000"/>
      <w:sz w:val="18"/>
      <w:szCs w:val="18"/>
      <w:lang w:eastAsia="en-GB"/>
    </w:rPr>
  </w:style>
  <w:style w:type="paragraph" w:customStyle="1" w:styleId="xl51937">
    <w:name w:val="xl5193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8">
    <w:name w:val="xl51938"/>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1939">
    <w:name w:val="xl51939"/>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40">
    <w:name w:val="xl5194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1">
    <w:name w:val="xl51941"/>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2">
    <w:name w:val="xl51942"/>
    <w:basedOn w:val="Normal"/>
    <w:pPr>
      <w:spacing w:before="100" w:beforeAutospacing="1" w:after="100" w:afterAutospacing="1"/>
      <w:jc w:val="right"/>
    </w:pPr>
    <w:rPr>
      <w:rFonts w:eastAsia="Times New Roman"/>
      <w:sz w:val="18"/>
      <w:szCs w:val="18"/>
      <w:lang w:eastAsia="en-GB"/>
    </w:rPr>
  </w:style>
  <w:style w:type="paragraph" w:customStyle="1" w:styleId="xl51943">
    <w:name w:val="xl51943"/>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44">
    <w:name w:val="xl51944"/>
    <w:basedOn w:val="Normal"/>
    <w:pPr>
      <w:spacing w:before="100" w:beforeAutospacing="1" w:after="100" w:afterAutospacing="1"/>
      <w:jc w:val="left"/>
    </w:pPr>
    <w:rPr>
      <w:rFonts w:eastAsia="Times New Roman"/>
      <w:color w:val="000000"/>
      <w:sz w:val="18"/>
      <w:szCs w:val="18"/>
      <w:lang w:eastAsia="en-GB"/>
    </w:rPr>
  </w:style>
  <w:style w:type="paragraph" w:customStyle="1" w:styleId="xl51945">
    <w:name w:val="xl51945"/>
    <w:basedOn w:val="Normal"/>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6">
    <w:name w:val="xl51946"/>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947">
    <w:name w:val="xl5194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8">
    <w:name w:val="xl51948"/>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9">
    <w:name w:val="xl51949"/>
    <w:basedOn w:val="Normal"/>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1950">
    <w:name w:val="xl5195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51">
    <w:name w:val="xl51951"/>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52">
    <w:name w:val="xl51952"/>
    <w:basedOn w:val="Normal"/>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53">
    <w:name w:val="xl51953"/>
    <w:basedOn w:val="Normal"/>
    <w:pPr>
      <w:spacing w:before="100" w:beforeAutospacing="1" w:after="100" w:afterAutospacing="1"/>
      <w:jc w:val="left"/>
    </w:pPr>
    <w:rPr>
      <w:rFonts w:eastAsia="Times New Roman"/>
      <w:color w:val="000000"/>
      <w:sz w:val="18"/>
      <w:szCs w:val="18"/>
      <w:lang w:eastAsia="en-GB"/>
    </w:rPr>
  </w:style>
  <w:style w:type="paragraph" w:customStyle="1" w:styleId="xl51954">
    <w:name w:val="xl51954"/>
    <w:basedOn w:val="Normal"/>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1955">
    <w:name w:val="xl51955"/>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56">
    <w:name w:val="xl51956"/>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7">
    <w:name w:val="xl51957"/>
    <w:basedOn w:val="Normal"/>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1958">
    <w:name w:val="xl51958"/>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9">
    <w:name w:val="xl51959"/>
    <w:basedOn w:val="Normal"/>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1960">
    <w:name w:val="xl519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1">
    <w:name w:val="xl519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1962">
    <w:name w:val="xl519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3">
    <w:name w:val="xl5196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4">
    <w:name w:val="xl519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65">
    <w:name w:val="xl51965"/>
    <w:basedOn w:val="Normal"/>
    <w:pPr>
      <w:spacing w:before="100" w:beforeAutospacing="1" w:after="100" w:afterAutospacing="1"/>
      <w:jc w:val="left"/>
    </w:pPr>
    <w:rPr>
      <w:rFonts w:eastAsia="Times New Roman"/>
      <w:color w:val="000000"/>
      <w:sz w:val="12"/>
      <w:szCs w:val="12"/>
      <w:lang w:eastAsia="en-GB"/>
    </w:rPr>
  </w:style>
  <w:style w:type="paragraph" w:customStyle="1" w:styleId="xl51966">
    <w:name w:val="xl5196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1967">
    <w:name w:val="xl5196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1968">
    <w:name w:val="xl5196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9">
    <w:name w:val="xl5196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70">
    <w:name w:val="xl51970"/>
    <w:basedOn w:val="Normal"/>
    <w:pPr>
      <w:spacing w:before="100" w:beforeAutospacing="1" w:after="100" w:afterAutospacing="1"/>
      <w:jc w:val="left"/>
    </w:pPr>
    <w:rPr>
      <w:rFonts w:eastAsia="Times New Roman"/>
      <w:color w:val="000000"/>
      <w:sz w:val="12"/>
      <w:szCs w:val="12"/>
      <w:lang w:eastAsia="en-GB"/>
    </w:rPr>
  </w:style>
  <w:style w:type="paragraph" w:customStyle="1" w:styleId="xl51971">
    <w:name w:val="xl5197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72">
    <w:name w:val="xl51972"/>
    <w:basedOn w:val="Normal"/>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1973">
    <w:name w:val="xl51973"/>
    <w:basedOn w:val="Normal"/>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1974">
    <w:name w:val="xl51974"/>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5">
    <w:name w:val="xl51975"/>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6">
    <w:name w:val="xl51976"/>
    <w:basedOn w:val="Normal"/>
    <w:pPr>
      <w:spacing w:before="100" w:beforeAutospacing="1" w:after="100" w:afterAutospacing="1"/>
      <w:jc w:val="left"/>
    </w:pPr>
    <w:rPr>
      <w:rFonts w:eastAsia="Times New Roman"/>
      <w:color w:val="000000"/>
      <w:sz w:val="12"/>
      <w:szCs w:val="12"/>
      <w:lang w:eastAsia="en-GB"/>
    </w:rPr>
  </w:style>
  <w:style w:type="paragraph" w:customStyle="1" w:styleId="xl51977">
    <w:name w:val="xl51977"/>
    <w:basedOn w:val="Normal"/>
    <w:pPr>
      <w:spacing w:before="100" w:beforeAutospacing="1" w:after="100" w:afterAutospacing="1"/>
      <w:jc w:val="left"/>
    </w:pPr>
    <w:rPr>
      <w:rFonts w:ascii="Calibri" w:eastAsia="Times New Roman" w:hAnsi="Calibri"/>
      <w:b/>
      <w:bCs/>
      <w:sz w:val="12"/>
      <w:szCs w:val="12"/>
      <w:lang w:eastAsia="en-GB"/>
    </w:rPr>
  </w:style>
  <w:style w:type="paragraph" w:customStyle="1" w:styleId="xl51978">
    <w:name w:val="xl51978"/>
    <w:basedOn w:val="Normal"/>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79">
    <w:name w:val="xl51979"/>
    <w:basedOn w:val="Normal"/>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80">
    <w:name w:val="xl51980"/>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1">
    <w:name w:val="xl51981"/>
    <w:basedOn w:val="Normal"/>
    <w:pPr>
      <w:spacing w:before="100" w:beforeAutospacing="1" w:after="100" w:afterAutospacing="1"/>
      <w:jc w:val="center"/>
    </w:pPr>
    <w:rPr>
      <w:rFonts w:eastAsia="Times New Roman"/>
      <w:color w:val="000000"/>
      <w:sz w:val="12"/>
      <w:szCs w:val="12"/>
      <w:lang w:eastAsia="en-GB"/>
    </w:rPr>
  </w:style>
  <w:style w:type="paragraph" w:customStyle="1" w:styleId="xl51982">
    <w:name w:val="xl51982"/>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1983">
    <w:name w:val="xl51983"/>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4">
    <w:name w:val="xl51984"/>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5">
    <w:name w:val="xl51985"/>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6">
    <w:name w:val="xl51986"/>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7">
    <w:name w:val="xl51987"/>
    <w:basedOn w:val="Normal"/>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8">
    <w:name w:val="xl51988"/>
    <w:basedOn w:val="Normal"/>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9">
    <w:name w:val="xl51989"/>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1990">
    <w:name w:val="xl5199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1991">
    <w:name w:val="xl5199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1992">
    <w:name w:val="xl51992"/>
    <w:basedOn w:val="Normal"/>
    <w:pPr>
      <w:spacing w:before="100" w:beforeAutospacing="1" w:after="100" w:afterAutospacing="1"/>
      <w:jc w:val="right"/>
    </w:pPr>
    <w:rPr>
      <w:rFonts w:eastAsia="Times New Roman"/>
      <w:color w:val="000000"/>
      <w:sz w:val="18"/>
      <w:szCs w:val="18"/>
      <w:lang w:eastAsia="en-GB"/>
    </w:rPr>
  </w:style>
  <w:style w:type="paragraph" w:customStyle="1" w:styleId="xl51993">
    <w:name w:val="xl51993"/>
    <w:basedOn w:val="Normal"/>
    <w:pPr>
      <w:spacing w:before="100" w:beforeAutospacing="1" w:after="100" w:afterAutospacing="1"/>
      <w:jc w:val="right"/>
    </w:pPr>
    <w:rPr>
      <w:rFonts w:eastAsia="Times New Roman"/>
      <w:color w:val="000000"/>
      <w:sz w:val="18"/>
      <w:szCs w:val="18"/>
      <w:lang w:eastAsia="en-GB"/>
    </w:rPr>
  </w:style>
  <w:style w:type="paragraph" w:customStyle="1" w:styleId="xl51994">
    <w:name w:val="xl51994"/>
    <w:basedOn w:val="Normal"/>
    <w:pPr>
      <w:spacing w:before="100" w:beforeAutospacing="1" w:after="100" w:afterAutospacing="1"/>
      <w:jc w:val="left"/>
    </w:pPr>
    <w:rPr>
      <w:rFonts w:ascii="Calibri" w:eastAsia="Times New Roman" w:hAnsi="Calibri"/>
      <w:sz w:val="18"/>
      <w:szCs w:val="18"/>
      <w:lang w:eastAsia="en-GB"/>
    </w:rPr>
  </w:style>
  <w:style w:type="paragraph" w:customStyle="1" w:styleId="xl51995">
    <w:name w:val="xl51995"/>
    <w:basedOn w:val="Normal"/>
    <w:pPr>
      <w:spacing w:before="100" w:beforeAutospacing="1" w:after="100" w:afterAutospacing="1"/>
      <w:jc w:val="left"/>
    </w:pPr>
    <w:rPr>
      <w:rFonts w:eastAsia="Times New Roman"/>
      <w:color w:val="FF0000"/>
      <w:sz w:val="18"/>
      <w:szCs w:val="18"/>
      <w:lang w:eastAsia="en-GB"/>
    </w:rPr>
  </w:style>
  <w:style w:type="paragraph" w:customStyle="1" w:styleId="xl51996">
    <w:name w:val="xl51996"/>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97">
    <w:name w:val="xl51997"/>
    <w:basedOn w:val="Normal"/>
    <w:pPr>
      <w:spacing w:before="100" w:beforeAutospacing="1" w:after="100" w:afterAutospacing="1"/>
      <w:jc w:val="right"/>
    </w:pPr>
    <w:rPr>
      <w:rFonts w:eastAsia="Times New Roman"/>
      <w:sz w:val="18"/>
      <w:szCs w:val="18"/>
      <w:lang w:eastAsia="en-GB"/>
    </w:rPr>
  </w:style>
  <w:style w:type="paragraph" w:customStyle="1" w:styleId="xl51998">
    <w:name w:val="xl5199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999">
    <w:name w:val="xl5199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2000">
    <w:name w:val="xl52000"/>
    <w:basedOn w:val="Normal"/>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01">
    <w:name w:val="xl52001"/>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02">
    <w:name w:val="xl52002"/>
    <w:basedOn w:val="Normal"/>
    <w:pPr>
      <w:spacing w:before="100" w:beforeAutospacing="1" w:after="100" w:afterAutospacing="1"/>
      <w:jc w:val="right"/>
    </w:pPr>
    <w:rPr>
      <w:rFonts w:eastAsia="Times New Roman"/>
      <w:sz w:val="18"/>
      <w:szCs w:val="18"/>
      <w:lang w:eastAsia="en-GB"/>
    </w:rPr>
  </w:style>
  <w:style w:type="paragraph" w:customStyle="1" w:styleId="xl52003">
    <w:name w:val="xl52003"/>
    <w:basedOn w:val="Normal"/>
    <w:pPr>
      <w:spacing w:before="100" w:beforeAutospacing="1" w:after="100" w:afterAutospacing="1"/>
      <w:jc w:val="left"/>
    </w:pPr>
    <w:rPr>
      <w:rFonts w:eastAsia="Times New Roman"/>
      <w:color w:val="000000"/>
      <w:sz w:val="18"/>
      <w:szCs w:val="18"/>
      <w:lang w:eastAsia="en-GB"/>
    </w:rPr>
  </w:style>
  <w:style w:type="paragraph" w:customStyle="1" w:styleId="xl52004">
    <w:name w:val="xl52004"/>
    <w:basedOn w:val="Normal"/>
    <w:pPr>
      <w:spacing w:before="100" w:beforeAutospacing="1" w:after="100" w:afterAutospacing="1"/>
      <w:jc w:val="left"/>
    </w:pPr>
    <w:rPr>
      <w:rFonts w:eastAsia="Times New Roman"/>
      <w:sz w:val="18"/>
      <w:szCs w:val="18"/>
      <w:lang w:eastAsia="en-GB"/>
    </w:rPr>
  </w:style>
  <w:style w:type="paragraph" w:customStyle="1" w:styleId="xl52005">
    <w:name w:val="xl52005"/>
    <w:basedOn w:val="Normal"/>
    <w:pPr>
      <w:spacing w:before="100" w:beforeAutospacing="1" w:after="100" w:afterAutospacing="1"/>
      <w:jc w:val="left"/>
    </w:pPr>
    <w:rPr>
      <w:rFonts w:eastAsia="Times New Roman"/>
      <w:color w:val="FF0000"/>
      <w:sz w:val="18"/>
      <w:szCs w:val="18"/>
      <w:lang w:eastAsia="en-GB"/>
    </w:rPr>
  </w:style>
  <w:style w:type="paragraph" w:customStyle="1" w:styleId="xl52006">
    <w:name w:val="xl52006"/>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2007">
    <w:name w:val="xl52007"/>
    <w:basedOn w:val="Normal"/>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08">
    <w:name w:val="xl52008"/>
    <w:basedOn w:val="Normal"/>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09">
    <w:name w:val="xl52009"/>
    <w:basedOn w:val="Normal"/>
    <w:pPr>
      <w:spacing w:before="100" w:beforeAutospacing="1" w:after="100" w:afterAutospacing="1"/>
      <w:jc w:val="right"/>
    </w:pPr>
    <w:rPr>
      <w:rFonts w:eastAsia="Times New Roman"/>
      <w:color w:val="000000"/>
      <w:sz w:val="12"/>
      <w:szCs w:val="12"/>
      <w:lang w:eastAsia="en-GB"/>
    </w:rPr>
  </w:style>
  <w:style w:type="paragraph" w:customStyle="1" w:styleId="xl52010">
    <w:name w:val="xl52010"/>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1">
    <w:name w:val="xl52011"/>
    <w:basedOn w:val="Normal"/>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2">
    <w:name w:val="xl52012"/>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3">
    <w:name w:val="xl5201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14">
    <w:name w:val="xl52014"/>
    <w:basedOn w:val="Normal"/>
    <w:pPr>
      <w:spacing w:before="100" w:beforeAutospacing="1" w:after="100" w:afterAutospacing="1"/>
      <w:jc w:val="right"/>
    </w:pPr>
    <w:rPr>
      <w:rFonts w:eastAsia="Times New Roman"/>
      <w:sz w:val="18"/>
      <w:szCs w:val="18"/>
      <w:lang w:eastAsia="en-GB"/>
    </w:rPr>
  </w:style>
  <w:style w:type="paragraph" w:customStyle="1" w:styleId="xl52015">
    <w:name w:val="xl52015"/>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2016">
    <w:name w:val="xl5201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2017">
    <w:name w:val="xl5201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8">
    <w:name w:val="xl5201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52019">
    <w:name w:val="xl52019"/>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0">
    <w:name w:val="xl52020"/>
    <w:basedOn w:val="Normal"/>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52021">
    <w:name w:val="xl52021"/>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2">
    <w:name w:val="xl52022"/>
    <w:basedOn w:val="Normal"/>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3">
    <w:name w:val="xl52023"/>
    <w:basedOn w:val="Normal"/>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4">
    <w:name w:val="xl52024"/>
    <w:basedOn w:val="Normal"/>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5">
    <w:name w:val="xl52025"/>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2026">
    <w:name w:val="xl52026"/>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7">
    <w:name w:val="xl52027"/>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8">
    <w:name w:val="xl52028"/>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29">
    <w:name w:val="xl52029"/>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30">
    <w:name w:val="xl52030"/>
    <w:basedOn w:val="Normal"/>
    <w:pPr>
      <w:spacing w:before="100" w:beforeAutospacing="1" w:after="100" w:afterAutospacing="1"/>
      <w:jc w:val="left"/>
    </w:pPr>
    <w:rPr>
      <w:rFonts w:ascii="Calibri" w:eastAsia="Times New Roman" w:hAnsi="Calibri"/>
      <w:color w:val="1F497D"/>
      <w:sz w:val="22"/>
      <w:szCs w:val="24"/>
      <w:lang w:eastAsia="en-GB"/>
    </w:rPr>
  </w:style>
  <w:style w:type="paragraph" w:customStyle="1" w:styleId="xl52031">
    <w:name w:val="xl52031"/>
    <w:basedOn w:val="Normal"/>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52032">
    <w:name w:val="xl52032"/>
    <w:basedOn w:val="Normal"/>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2033">
    <w:name w:val="xl5203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34">
    <w:name w:val="xl5203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5">
    <w:name w:val="xl5203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6">
    <w:name w:val="xl52036"/>
    <w:basedOn w:val="Normal"/>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52037">
    <w:name w:val="xl52037"/>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8">
    <w:name w:val="xl5203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9">
    <w:name w:val="xl52039"/>
    <w:basedOn w:val="Normal"/>
    <w:pPr>
      <w:spacing w:before="100" w:beforeAutospacing="1" w:after="100" w:afterAutospacing="1"/>
      <w:jc w:val="right"/>
    </w:pPr>
    <w:rPr>
      <w:rFonts w:eastAsia="Times New Roman"/>
      <w:color w:val="000000"/>
      <w:sz w:val="18"/>
      <w:szCs w:val="18"/>
      <w:lang w:eastAsia="en-GB"/>
    </w:rPr>
  </w:style>
  <w:style w:type="paragraph" w:customStyle="1" w:styleId="xl52040">
    <w:name w:val="xl52040"/>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1">
    <w:name w:val="xl52041"/>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42">
    <w:name w:val="xl52042"/>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43">
    <w:name w:val="xl52043"/>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4">
    <w:name w:val="xl52044"/>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5">
    <w:name w:val="xl52045"/>
    <w:basedOn w:val="Normal"/>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2046">
    <w:name w:val="xl52046"/>
    <w:basedOn w:val="Normal"/>
    <w:pPr>
      <w:spacing w:before="100" w:beforeAutospacing="1" w:after="100" w:afterAutospacing="1"/>
      <w:jc w:val="left"/>
    </w:pPr>
    <w:rPr>
      <w:rFonts w:eastAsia="Times New Roman"/>
      <w:sz w:val="18"/>
      <w:szCs w:val="18"/>
      <w:lang w:eastAsia="en-GB"/>
    </w:rPr>
  </w:style>
  <w:style w:type="paragraph" w:customStyle="1" w:styleId="xl52047">
    <w:name w:val="xl52047"/>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48">
    <w:name w:val="xl52048"/>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49">
    <w:name w:val="xl52049"/>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50">
    <w:name w:val="xl5205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1">
    <w:name w:val="xl52051"/>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2">
    <w:name w:val="xl52052"/>
    <w:basedOn w:val="Normal"/>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3">
    <w:name w:val="xl52053"/>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4">
    <w:name w:val="xl52054"/>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5">
    <w:name w:val="xl52055"/>
    <w:basedOn w:val="Normal"/>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6">
    <w:name w:val="xl52056"/>
    <w:basedOn w:val="Normal"/>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7">
    <w:name w:val="xl52057"/>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8">
    <w:name w:val="xl52058"/>
    <w:basedOn w:val="Normal"/>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59">
    <w:name w:val="xl52059"/>
    <w:basedOn w:val="Normal"/>
    <w:pPr>
      <w:spacing w:before="100" w:beforeAutospacing="1" w:after="100" w:afterAutospacing="1"/>
      <w:jc w:val="right"/>
    </w:pPr>
    <w:rPr>
      <w:rFonts w:eastAsia="Times New Roman"/>
      <w:color w:val="000000"/>
      <w:sz w:val="18"/>
      <w:szCs w:val="18"/>
      <w:lang w:eastAsia="en-GB"/>
    </w:rPr>
  </w:style>
  <w:style w:type="paragraph" w:customStyle="1" w:styleId="xl52060">
    <w:name w:val="xl520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sz w:val="14"/>
      <w:szCs w:val="14"/>
      <w:lang w:eastAsia="en-GB"/>
    </w:rPr>
  </w:style>
  <w:style w:type="paragraph" w:customStyle="1" w:styleId="xl52061">
    <w:name w:val="xl520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2">
    <w:name w:val="xl520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3">
    <w:name w:val="xl52063"/>
    <w:basedOn w:val="Normal"/>
    <w:pPr>
      <w:pBdr>
        <w:bottom w:val="single" w:sz="4"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2064">
    <w:name w:val="xl520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52065">
    <w:name w:val="xl52065"/>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6">
    <w:name w:val="xl52066"/>
    <w:basedOn w:val="Normal"/>
    <w:pPr>
      <w:pBdr>
        <w:top w:val="single" w:sz="8" w:space="0" w:color="auto"/>
      </w:pBdr>
      <w:spacing w:before="100" w:beforeAutospacing="1" w:after="100" w:afterAutospacing="1"/>
      <w:jc w:val="right"/>
    </w:pPr>
    <w:rPr>
      <w:rFonts w:eastAsia="Times New Roman"/>
      <w:sz w:val="18"/>
      <w:szCs w:val="18"/>
      <w:lang w:eastAsia="en-GB"/>
    </w:rPr>
  </w:style>
  <w:style w:type="paragraph" w:customStyle="1" w:styleId="xl52067">
    <w:name w:val="xl52067"/>
    <w:basedOn w:val="Normal"/>
    <w:pPr>
      <w:pBdr>
        <w:top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8">
    <w:name w:val="xl52068"/>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69">
    <w:name w:val="xl52069"/>
    <w:basedOn w:val="Normal"/>
    <w:pPr>
      <w:pBdr>
        <w:bottom w:val="single" w:sz="8" w:space="0" w:color="auto"/>
      </w:pBdr>
      <w:spacing w:before="100" w:beforeAutospacing="1" w:after="100" w:afterAutospacing="1"/>
      <w:jc w:val="center"/>
    </w:pPr>
    <w:rPr>
      <w:rFonts w:eastAsia="Times New Roman"/>
      <w:sz w:val="18"/>
      <w:szCs w:val="18"/>
      <w:lang w:eastAsia="en-GB"/>
    </w:rPr>
  </w:style>
  <w:style w:type="paragraph" w:customStyle="1" w:styleId="xl52070">
    <w:name w:val="xl52070"/>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1">
    <w:name w:val="xl52071"/>
    <w:basedOn w:val="Normal"/>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72">
    <w:name w:val="xl52072"/>
    <w:basedOn w:val="Normal"/>
    <w:pPr>
      <w:pBdr>
        <w:bottom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73">
    <w:name w:val="xl52073"/>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4">
    <w:name w:val="xl52074"/>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5">
    <w:name w:val="xl52075"/>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numbering" w:customStyle="1" w:styleId="NoList3">
    <w:name w:val="No List3"/>
    <w:next w:val="NoList"/>
    <w:uiPriority w:val="99"/>
    <w:semiHidden/>
    <w:unhideWhenUsed/>
  </w:style>
  <w:style w:type="numbering" w:customStyle="1" w:styleId="NoList12">
    <w:name w:val="No List12"/>
    <w:next w:val="NoList"/>
    <w:uiPriority w:val="99"/>
    <w:semiHidden/>
    <w:unhideWhenUsed/>
  </w:style>
  <w:style w:type="numbering" w:customStyle="1" w:styleId="NoList112">
    <w:name w:val="No List112"/>
    <w:next w:val="NoList"/>
    <w:uiPriority w:val="99"/>
    <w:semiHidden/>
    <w:unhideWhenUsed/>
  </w:style>
  <w:style w:type="numbering" w:customStyle="1" w:styleId="NoList21">
    <w:name w:val="No List21"/>
    <w:next w:val="NoList"/>
    <w:uiPriority w:val="99"/>
    <w:semiHidden/>
    <w:unhideWhenUsed/>
  </w:style>
  <w:style w:type="numbering" w:customStyle="1" w:styleId="NoList1112">
    <w:name w:val="No List1112"/>
    <w:next w:val="NoList"/>
    <w:uiPriority w:val="99"/>
    <w:semiHidden/>
    <w:unhideWhenUsed/>
  </w:style>
  <w:style w:type="paragraph" w:customStyle="1" w:styleId="xl52076">
    <w:name w:val="xl52076"/>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7">
    <w:name w:val="xl5207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8">
    <w:name w:val="xl52078"/>
    <w:basedOn w:val="Normal"/>
    <w:pPr>
      <w:pBdr>
        <w:bottom w:val="single" w:sz="4"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79">
    <w:name w:val="xl5207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0">
    <w:name w:val="xl5208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1">
    <w:name w:val="xl5208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082">
    <w:name w:val="xl52082"/>
    <w:basedOn w:val="Normal"/>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83">
    <w:name w:val="xl52083"/>
    <w:basedOn w:val="Normal"/>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84">
    <w:name w:val="xl5208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5">
    <w:name w:val="xl52085"/>
    <w:basedOn w:val="Normal"/>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52086">
    <w:name w:val="xl5208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7">
    <w:name w:val="xl52087"/>
    <w:basedOn w:val="Normal"/>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88">
    <w:name w:val="xl52088"/>
    <w:basedOn w:val="Normal"/>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52089">
    <w:name w:val="xl52089"/>
    <w:basedOn w:val="Normal"/>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0">
    <w:name w:val="xl52090"/>
    <w:basedOn w:val="Normal"/>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1">
    <w:name w:val="xl52091"/>
    <w:basedOn w:val="Normal"/>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52092">
    <w:name w:val="xl52092"/>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3">
    <w:name w:val="xl52093"/>
    <w:basedOn w:val="Normal"/>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52094">
    <w:name w:val="xl52094"/>
    <w:basedOn w:val="Normal"/>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095">
    <w:name w:val="xl52095"/>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6">
    <w:name w:val="xl52096"/>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7">
    <w:name w:val="xl52097"/>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8">
    <w:name w:val="xl52098"/>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9">
    <w:name w:val="xl520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100">
    <w:name w:val="xl5210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101">
    <w:name w:val="xl5210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102">
    <w:name w:val="xl52102"/>
    <w:basedOn w:val="Normal"/>
    <w:uiPriority w:val="99"/>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103">
    <w:name w:val="xl52103"/>
    <w:basedOn w:val="Normal"/>
    <w:uiPriority w:val="99"/>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4">
    <w:name w:val="xl52104"/>
    <w:basedOn w:val="Normal"/>
    <w:uiPriority w:val="99"/>
    <w:pPr>
      <w:pBdr>
        <w:bottom w:val="single" w:sz="8" w:space="0" w:color="auto"/>
      </w:pBdr>
      <w:shd w:val="clear" w:color="000000" w:fill="808080"/>
      <w:spacing w:before="100" w:beforeAutospacing="1" w:after="100" w:afterAutospacing="1"/>
      <w:jc w:val="left"/>
      <w:textAlignment w:val="top"/>
    </w:pPr>
    <w:rPr>
      <w:rFonts w:eastAsia="Times New Roman"/>
      <w:sz w:val="18"/>
      <w:szCs w:val="18"/>
      <w:lang w:eastAsia="en-GB"/>
    </w:rPr>
  </w:style>
  <w:style w:type="paragraph" w:customStyle="1" w:styleId="xl52105">
    <w:name w:val="xl52105"/>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6">
    <w:name w:val="xl52106"/>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52107">
    <w:name w:val="xl5210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108">
    <w:name w:val="xl52108"/>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msonormal0">
    <w:name w:val="msonormal"/>
    <w:basedOn w:val="Normal"/>
    <w:pPr>
      <w:spacing w:before="100" w:beforeAutospacing="1" w:after="100" w:afterAutospacing="1"/>
      <w:jc w:val="left"/>
    </w:pPr>
    <w:rPr>
      <w:rFonts w:eastAsia="Times New Roman"/>
      <w:szCs w:val="24"/>
      <w:lang w:eastAsia="en-GB"/>
    </w:rPr>
  </w:style>
  <w:style w:type="paragraph" w:customStyle="1" w:styleId="CMMLevel1">
    <w:name w:val="CMM Level1"/>
    <w:link w:val="CMMLevel1Char"/>
    <w:autoRedefine/>
    <w:uiPriority w:val="99"/>
    <w:qFormat/>
    <w:pPr>
      <w:numPr>
        <w:numId w:val="35"/>
      </w:numPr>
      <w:tabs>
        <w:tab w:val="left" w:pos="586"/>
      </w:tabs>
      <w:spacing w:after="160" w:line="240" w:lineRule="auto"/>
      <w:ind w:left="357" w:hanging="357"/>
    </w:pPr>
    <w:rPr>
      <w:rFonts w:ascii="Cambria" w:eastAsia="Cambria" w:hAnsi="Cambria"/>
      <w:spacing w:val="-2"/>
    </w:rPr>
  </w:style>
  <w:style w:type="character" w:customStyle="1" w:styleId="CMMLevel1Char">
    <w:name w:val="CMM Level1 Char"/>
    <w:basedOn w:val="DefaultParagraphFont"/>
    <w:link w:val="CMMLevel1"/>
    <w:uiPriority w:val="99"/>
    <w:rPr>
      <w:rFonts w:ascii="Cambria" w:eastAsia="Cambria" w:hAnsi="Cambria"/>
      <w:spacing w:val="-2"/>
    </w:rPr>
  </w:style>
  <w:style w:type="paragraph" w:styleId="Quote">
    <w:name w:val="Quote"/>
    <w:basedOn w:val="Normal"/>
    <w:next w:val="Normal"/>
    <w:link w:val="QuoteChar"/>
    <w:uiPriority w:val="29"/>
    <w:qFormat/>
    <w:pPr>
      <w:spacing w:before="0" w:after="0"/>
      <w:jc w:val="left"/>
    </w:pPr>
    <w:rPr>
      <w:rFonts w:ascii="Calibri" w:eastAsia="Times New Roman" w:hAnsi="Calibri"/>
      <w:i/>
      <w:iCs/>
      <w:color w:val="000000" w:themeColor="text1"/>
      <w:sz w:val="22"/>
      <w:szCs w:val="24"/>
    </w:rPr>
  </w:style>
  <w:style w:type="character" w:customStyle="1" w:styleId="QuoteChar">
    <w:name w:val="Quote Char"/>
    <w:basedOn w:val="DefaultParagraphFont"/>
    <w:link w:val="Quote"/>
    <w:uiPriority w:val="29"/>
    <w:rPr>
      <w:rFonts w:ascii="Calibri" w:eastAsia="Times New Roman" w:hAnsi="Calibri" w:cs="Times New Roman"/>
      <w:i/>
      <w:iCs/>
      <w:color w:val="000000" w:themeColor="text1"/>
      <w:szCs w:val="24"/>
      <w:lang w:val="bg-BG"/>
    </w:rPr>
  </w:style>
  <w:style w:type="paragraph" w:customStyle="1" w:styleId="hidden">
    <w:name w:val="hidden"/>
    <w:basedOn w:val="Normal"/>
    <w:uiPriority w:val="99"/>
    <w:pPr>
      <w:spacing w:before="0" w:after="150"/>
      <w:jc w:val="left"/>
    </w:pPr>
    <w:rPr>
      <w:rFonts w:eastAsia="Times New Roman"/>
      <w:vanish/>
      <w:szCs w:val="24"/>
      <w:lang w:eastAsia="en-GB"/>
    </w:rPr>
  </w:style>
  <w:style w:type="character" w:customStyle="1" w:styleId="nbborderedChar">
    <w:name w:val="nb bordered Char"/>
    <w:basedOn w:val="TechnicalBlockChar"/>
    <w:link w:val="nbbordered"/>
    <w:locked/>
    <w:rPr>
      <w:rFonts w:ascii="Times New Roman" w:eastAsia="Times New Roman" w:hAnsi="Times New Roman" w:cs="Times New Roman"/>
      <w:b/>
      <w:sz w:val="24"/>
      <w:szCs w:val="24"/>
      <w:lang w:val="bg-BG"/>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szCs w:val="24"/>
    </w:rPr>
  </w:style>
  <w:style w:type="paragraph" w:customStyle="1" w:styleId="TableParagraph">
    <w:name w:val="Table Paragraph"/>
    <w:basedOn w:val="Normal"/>
    <w:uiPriority w:val="1"/>
    <w:qFormat/>
    <w:pPr>
      <w:widowControl w:val="0"/>
      <w:autoSpaceDE w:val="0"/>
      <w:autoSpaceDN w:val="0"/>
      <w:spacing w:before="0" w:after="0"/>
      <w:jc w:val="left"/>
    </w:pPr>
    <w:rPr>
      <w:rFonts w:eastAsia="Times New Roman"/>
      <w:sz w:val="22"/>
      <w:szCs w:val="24"/>
      <w:lang w:eastAsia="en-GB" w:bidi="en-GB"/>
    </w:rPr>
  </w:style>
  <w:style w:type="paragraph" w:customStyle="1" w:styleId="Tiret00">
    <w:name w:val="Tiret 00"/>
    <w:basedOn w:val="Normal"/>
    <w:autoRedefine/>
    <w:uiPriority w:val="99"/>
    <w:qFormat/>
    <w:pPr>
      <w:numPr>
        <w:numId w:val="36"/>
      </w:numPr>
      <w:spacing w:line="360" w:lineRule="auto"/>
      <w:jc w:val="left"/>
      <w:outlineLvl w:val="0"/>
    </w:pPr>
    <w:rPr>
      <w:rFonts w:eastAsia="Times New Roman"/>
      <w:szCs w:val="24"/>
    </w:rPr>
  </w:style>
  <w:style w:type="character" w:styleId="BookTitle">
    <w:name w:val="Book Title"/>
    <w:basedOn w:val="DefaultParagraphFont"/>
    <w:uiPriority w:val="33"/>
    <w:qFormat/>
    <w:rPr>
      <w:b/>
      <w:bCs/>
      <w:smallCaps/>
      <w:spacing w:val="5"/>
    </w:rPr>
  </w:style>
  <w:style w:type="character" w:customStyle="1" w:styleId="HeaderChar1">
    <w:name w:val="Header Char1"/>
    <w:basedOn w:val="DefaultParagraphFont"/>
    <w:uiPriority w:val="99"/>
    <w:semiHidden/>
    <w:locked/>
    <w:rPr>
      <w:rFonts w:ascii="Times New Roman" w:eastAsia="Times New Roman" w:hAnsi="Times New Roman" w:cs="Times New Roman"/>
      <w:sz w:val="24"/>
      <w:szCs w:val="24"/>
      <w:lang w:val="bg-BG"/>
    </w:rPr>
  </w:style>
  <w:style w:type="character" w:customStyle="1" w:styleId="FooterChar1">
    <w:name w:val="Footer Char1"/>
    <w:basedOn w:val="DefaultParagraphFont"/>
    <w:uiPriority w:val="99"/>
    <w:semiHidden/>
    <w:locked/>
    <w:rPr>
      <w:rFonts w:ascii="Times New Roman" w:eastAsia="Times New Roman" w:hAnsi="Times New Roman" w:cs="Times New Roman"/>
      <w:sz w:val="24"/>
      <w:szCs w:val="24"/>
      <w:lang w:val="bg-BG"/>
    </w:rPr>
  </w:style>
  <w:style w:type="character" w:customStyle="1" w:styleId="FootnoteTextChar1">
    <w:name w:val="Footnote Text Char1"/>
    <w:basedOn w:val="DefaultParagraphFont"/>
    <w:uiPriority w:val="99"/>
    <w:semiHidden/>
    <w:locked/>
    <w:rPr>
      <w:rFonts w:ascii="Times New Roman" w:eastAsia="Times New Roman" w:hAnsi="Times New Roman" w:cs="Times New Roman"/>
      <w:sz w:val="24"/>
      <w:szCs w:val="20"/>
      <w:lang w:val="bg-BG"/>
    </w:rPr>
  </w:style>
  <w:style w:type="table" w:customStyle="1" w:styleId="TableGrid0">
    <w:name w:val="TableGrid"/>
    <w:pPr>
      <w:spacing w:after="0" w:line="240" w:lineRule="auto"/>
    </w:pPr>
    <w:rPr>
      <w:rFonts w:ascii="Times New Roman" w:eastAsiaTheme="minorEastAsia" w:hAnsi="Times New Roman" w:cs="Times New Roman"/>
      <w:sz w:val="20"/>
      <w:szCs w:val="20"/>
      <w:lang w:eastAsia="de-DE"/>
    </w:rPr>
    <w:tblPr>
      <w:tblCellMar>
        <w:top w:w="0" w:type="dxa"/>
        <w:left w:w="0" w:type="dxa"/>
        <w:bottom w:w="0" w:type="dxa"/>
        <w:right w:w="0" w:type="dxa"/>
      </w:tblCellMar>
    </w:tblPr>
  </w:style>
  <w:style w:type="paragraph" w:customStyle="1" w:styleId="Numpar">
    <w:name w:val="Numpar"/>
    <w:basedOn w:val="ManualNumPar1"/>
    <w:uiPriority w:val="99"/>
    <w:pPr>
      <w:outlineLvl w:val="0"/>
    </w:pPr>
    <w:rPr>
      <w:rFonts w:eastAsia="Times New Roman"/>
      <w:szCs w:val="24"/>
    </w:rPr>
  </w:style>
  <w:style w:type="character" w:styleId="Emphasis">
    <w:name w:val="Emphasis"/>
    <w:basedOn w:val="DefaultParagraphFont"/>
    <w:uiPriority w:val="20"/>
    <w:qFormat/>
    <w:rPr>
      <w:i/>
      <w:iCs/>
    </w:rPr>
  </w:style>
  <w:style w:type="paragraph" w:customStyle="1" w:styleId="norm">
    <w:name w:val="norm"/>
    <w:basedOn w:val="Normal"/>
    <w:pPr>
      <w:spacing w:before="100" w:beforeAutospacing="1" w:after="100" w:afterAutospacing="1"/>
      <w:jc w:val="left"/>
    </w:pPr>
    <w:rPr>
      <w:rFonts w:eastAsia="Times New Roman"/>
      <w:szCs w:val="24"/>
      <w:lang w:eastAsia="fr-BE"/>
    </w:rPr>
  </w:style>
  <w:style w:type="paragraph" w:customStyle="1" w:styleId="tbl-norm">
    <w:name w:val="tbl-norm"/>
    <w:basedOn w:val="Normal"/>
    <w:pPr>
      <w:spacing w:before="100" w:beforeAutospacing="1" w:after="100" w:afterAutospacing="1"/>
      <w:jc w:val="left"/>
    </w:pPr>
    <w:rPr>
      <w:rFonts w:eastAsia="Times New Roman"/>
      <w:szCs w:val="24"/>
      <w:lang w:eastAsia="fr-BE"/>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bg-BG"/>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bg-BG"/>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7"/>
      </w:numPr>
    </w:pPr>
  </w:style>
  <w:style w:type="paragraph" w:customStyle="1" w:styleId="Tiret1">
    <w:name w:val="Tiret 1"/>
    <w:basedOn w:val="Point1"/>
    <w:pPr>
      <w:numPr>
        <w:numId w:val="38"/>
      </w:numPr>
    </w:pPr>
  </w:style>
  <w:style w:type="paragraph" w:customStyle="1" w:styleId="Tiret2">
    <w:name w:val="Tiret 2"/>
    <w:basedOn w:val="Point2"/>
    <w:pPr>
      <w:numPr>
        <w:numId w:val="39"/>
      </w:numPr>
    </w:pPr>
  </w:style>
  <w:style w:type="paragraph" w:customStyle="1" w:styleId="Tiret3">
    <w:name w:val="Tiret 3"/>
    <w:basedOn w:val="Point3"/>
    <w:pPr>
      <w:numPr>
        <w:numId w:val="40"/>
      </w:numPr>
    </w:pPr>
  </w:style>
  <w:style w:type="paragraph" w:customStyle="1" w:styleId="Tiret4">
    <w:name w:val="Tiret 4"/>
    <w:basedOn w:val="Point4"/>
    <w:pPr>
      <w:numPr>
        <w:numId w:val="41"/>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2"/>
      </w:numPr>
    </w:pPr>
  </w:style>
  <w:style w:type="paragraph" w:customStyle="1" w:styleId="NumPar2">
    <w:name w:val="NumPar 2"/>
    <w:basedOn w:val="Normal"/>
    <w:next w:val="Text1"/>
    <w:pPr>
      <w:numPr>
        <w:ilvl w:val="1"/>
        <w:numId w:val="42"/>
      </w:numPr>
    </w:pPr>
  </w:style>
  <w:style w:type="paragraph" w:customStyle="1" w:styleId="NumPar3">
    <w:name w:val="NumPar 3"/>
    <w:basedOn w:val="Normal"/>
    <w:next w:val="Text1"/>
    <w:pPr>
      <w:numPr>
        <w:ilvl w:val="2"/>
        <w:numId w:val="42"/>
      </w:numPr>
    </w:pPr>
  </w:style>
  <w:style w:type="paragraph" w:customStyle="1" w:styleId="NumPar4">
    <w:name w:val="NumPar 4"/>
    <w:basedOn w:val="Normal"/>
    <w:next w:val="Text1"/>
    <w:pPr>
      <w:numPr>
        <w:ilvl w:val="3"/>
        <w:numId w:val="42"/>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4"/>
      </w:numPr>
    </w:pPr>
  </w:style>
  <w:style w:type="paragraph" w:customStyle="1" w:styleId="Point1number">
    <w:name w:val="Point 1 (number)"/>
    <w:basedOn w:val="Normal"/>
    <w:pPr>
      <w:numPr>
        <w:ilvl w:val="2"/>
        <w:numId w:val="44"/>
      </w:numPr>
    </w:pPr>
  </w:style>
  <w:style w:type="paragraph" w:customStyle="1" w:styleId="Point2number">
    <w:name w:val="Point 2 (number)"/>
    <w:basedOn w:val="Normal"/>
    <w:pPr>
      <w:numPr>
        <w:ilvl w:val="4"/>
        <w:numId w:val="44"/>
      </w:numPr>
    </w:pPr>
  </w:style>
  <w:style w:type="paragraph" w:customStyle="1" w:styleId="Point3number">
    <w:name w:val="Point 3 (number)"/>
    <w:basedOn w:val="Normal"/>
    <w:pPr>
      <w:numPr>
        <w:ilvl w:val="6"/>
        <w:numId w:val="44"/>
      </w:numPr>
    </w:pPr>
  </w:style>
  <w:style w:type="paragraph" w:customStyle="1" w:styleId="Point0letter">
    <w:name w:val="Point 0 (letter)"/>
    <w:basedOn w:val="Normal"/>
    <w:pPr>
      <w:numPr>
        <w:ilvl w:val="1"/>
        <w:numId w:val="44"/>
      </w:numPr>
    </w:pPr>
  </w:style>
  <w:style w:type="paragraph" w:customStyle="1" w:styleId="Point1letter">
    <w:name w:val="Point 1 (letter)"/>
    <w:basedOn w:val="Normal"/>
    <w:pPr>
      <w:numPr>
        <w:ilvl w:val="3"/>
        <w:numId w:val="44"/>
      </w:numPr>
    </w:pPr>
  </w:style>
  <w:style w:type="paragraph" w:customStyle="1" w:styleId="Point2letter">
    <w:name w:val="Point 2 (letter)"/>
    <w:basedOn w:val="Normal"/>
    <w:pPr>
      <w:numPr>
        <w:ilvl w:val="5"/>
        <w:numId w:val="44"/>
      </w:numPr>
    </w:pPr>
  </w:style>
  <w:style w:type="paragraph" w:customStyle="1" w:styleId="Point3letter">
    <w:name w:val="Point 3 (letter)"/>
    <w:basedOn w:val="Normal"/>
    <w:pPr>
      <w:numPr>
        <w:ilvl w:val="7"/>
        <w:numId w:val="44"/>
      </w:numPr>
    </w:pPr>
  </w:style>
  <w:style w:type="paragraph" w:customStyle="1" w:styleId="Point4letter">
    <w:name w:val="Point 4 (letter)"/>
    <w:basedOn w:val="Normal"/>
    <w:pPr>
      <w:numPr>
        <w:ilvl w:val="8"/>
        <w:numId w:val="44"/>
      </w:numPr>
    </w:pPr>
  </w:style>
  <w:style w:type="paragraph" w:customStyle="1" w:styleId="Bullet0">
    <w:name w:val="Bullet 0"/>
    <w:basedOn w:val="Normal"/>
    <w:pPr>
      <w:numPr>
        <w:numId w:val="45"/>
      </w:numPr>
    </w:pPr>
  </w:style>
  <w:style w:type="paragraph" w:customStyle="1" w:styleId="Bullet1">
    <w:name w:val="Bullet 1"/>
    <w:basedOn w:val="Normal"/>
    <w:pPr>
      <w:numPr>
        <w:numId w:val="46"/>
      </w:numPr>
    </w:pPr>
  </w:style>
  <w:style w:type="paragraph" w:customStyle="1" w:styleId="Bullet2">
    <w:name w:val="Bullet 2"/>
    <w:basedOn w:val="Normal"/>
    <w:pPr>
      <w:numPr>
        <w:numId w:val="47"/>
      </w:numPr>
    </w:pPr>
  </w:style>
  <w:style w:type="paragraph" w:customStyle="1" w:styleId="Bullet3">
    <w:name w:val="Bullet 3"/>
    <w:basedOn w:val="Normal"/>
    <w:pPr>
      <w:numPr>
        <w:numId w:val="48"/>
      </w:numPr>
    </w:pPr>
  </w:style>
  <w:style w:type="paragraph" w:customStyle="1" w:styleId="Bullet4">
    <w:name w:val="Bullet 4"/>
    <w:basedOn w:val="Normal"/>
    <w:pPr>
      <w:numPr>
        <w:numId w:val="49"/>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0"/>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709926">
      <w:bodyDiv w:val="1"/>
      <w:marLeft w:val="0"/>
      <w:marRight w:val="0"/>
      <w:marTop w:val="0"/>
      <w:marBottom w:val="0"/>
      <w:divBdr>
        <w:top w:val="none" w:sz="0" w:space="0" w:color="auto"/>
        <w:left w:val="none" w:sz="0" w:space="0" w:color="auto"/>
        <w:bottom w:val="none" w:sz="0" w:space="0" w:color="auto"/>
        <w:right w:val="none" w:sz="0" w:space="0" w:color="auto"/>
      </w:divBdr>
    </w:div>
    <w:div w:id="264534699">
      <w:bodyDiv w:val="1"/>
      <w:marLeft w:val="0"/>
      <w:marRight w:val="0"/>
      <w:marTop w:val="0"/>
      <w:marBottom w:val="0"/>
      <w:divBdr>
        <w:top w:val="none" w:sz="0" w:space="0" w:color="auto"/>
        <w:left w:val="none" w:sz="0" w:space="0" w:color="auto"/>
        <w:bottom w:val="none" w:sz="0" w:space="0" w:color="auto"/>
        <w:right w:val="none" w:sz="0" w:space="0" w:color="auto"/>
      </w:divBdr>
    </w:div>
    <w:div w:id="452215208">
      <w:bodyDiv w:val="1"/>
      <w:marLeft w:val="0"/>
      <w:marRight w:val="0"/>
      <w:marTop w:val="0"/>
      <w:marBottom w:val="0"/>
      <w:divBdr>
        <w:top w:val="none" w:sz="0" w:space="0" w:color="auto"/>
        <w:left w:val="none" w:sz="0" w:space="0" w:color="auto"/>
        <w:bottom w:val="none" w:sz="0" w:space="0" w:color="auto"/>
        <w:right w:val="none" w:sz="0" w:space="0" w:color="auto"/>
      </w:divBdr>
    </w:div>
    <w:div w:id="521280103">
      <w:bodyDiv w:val="1"/>
      <w:marLeft w:val="0"/>
      <w:marRight w:val="0"/>
      <w:marTop w:val="0"/>
      <w:marBottom w:val="0"/>
      <w:divBdr>
        <w:top w:val="none" w:sz="0" w:space="0" w:color="auto"/>
        <w:left w:val="none" w:sz="0" w:space="0" w:color="auto"/>
        <w:bottom w:val="none" w:sz="0" w:space="0" w:color="auto"/>
        <w:right w:val="none" w:sz="0" w:space="0" w:color="auto"/>
      </w:divBdr>
    </w:div>
    <w:div w:id="560554067">
      <w:bodyDiv w:val="1"/>
      <w:marLeft w:val="0"/>
      <w:marRight w:val="0"/>
      <w:marTop w:val="0"/>
      <w:marBottom w:val="0"/>
      <w:divBdr>
        <w:top w:val="none" w:sz="0" w:space="0" w:color="auto"/>
        <w:left w:val="none" w:sz="0" w:space="0" w:color="auto"/>
        <w:bottom w:val="none" w:sz="0" w:space="0" w:color="auto"/>
        <w:right w:val="none" w:sz="0" w:space="0" w:color="auto"/>
      </w:divBdr>
    </w:div>
    <w:div w:id="625426111">
      <w:bodyDiv w:val="1"/>
      <w:marLeft w:val="0"/>
      <w:marRight w:val="0"/>
      <w:marTop w:val="0"/>
      <w:marBottom w:val="0"/>
      <w:divBdr>
        <w:top w:val="none" w:sz="0" w:space="0" w:color="auto"/>
        <w:left w:val="none" w:sz="0" w:space="0" w:color="auto"/>
        <w:bottom w:val="none" w:sz="0" w:space="0" w:color="auto"/>
        <w:right w:val="none" w:sz="0" w:space="0" w:color="auto"/>
      </w:divBdr>
    </w:div>
    <w:div w:id="934050381">
      <w:bodyDiv w:val="1"/>
      <w:marLeft w:val="0"/>
      <w:marRight w:val="0"/>
      <w:marTop w:val="0"/>
      <w:marBottom w:val="0"/>
      <w:divBdr>
        <w:top w:val="none" w:sz="0" w:space="0" w:color="auto"/>
        <w:left w:val="none" w:sz="0" w:space="0" w:color="auto"/>
        <w:bottom w:val="none" w:sz="0" w:space="0" w:color="auto"/>
        <w:right w:val="none" w:sz="0" w:space="0" w:color="auto"/>
      </w:divBdr>
    </w:div>
    <w:div w:id="1052778395">
      <w:bodyDiv w:val="1"/>
      <w:marLeft w:val="0"/>
      <w:marRight w:val="0"/>
      <w:marTop w:val="0"/>
      <w:marBottom w:val="0"/>
      <w:divBdr>
        <w:top w:val="none" w:sz="0" w:space="0" w:color="auto"/>
        <w:left w:val="none" w:sz="0" w:space="0" w:color="auto"/>
        <w:bottom w:val="none" w:sz="0" w:space="0" w:color="auto"/>
        <w:right w:val="none" w:sz="0" w:space="0" w:color="auto"/>
      </w:divBdr>
    </w:div>
    <w:div w:id="1113355678">
      <w:bodyDiv w:val="1"/>
      <w:marLeft w:val="0"/>
      <w:marRight w:val="0"/>
      <w:marTop w:val="0"/>
      <w:marBottom w:val="0"/>
      <w:divBdr>
        <w:top w:val="none" w:sz="0" w:space="0" w:color="auto"/>
        <w:left w:val="none" w:sz="0" w:space="0" w:color="auto"/>
        <w:bottom w:val="none" w:sz="0" w:space="0" w:color="auto"/>
        <w:right w:val="none" w:sz="0" w:space="0" w:color="auto"/>
      </w:divBdr>
    </w:div>
    <w:div w:id="1125076257">
      <w:bodyDiv w:val="1"/>
      <w:marLeft w:val="0"/>
      <w:marRight w:val="0"/>
      <w:marTop w:val="0"/>
      <w:marBottom w:val="0"/>
      <w:divBdr>
        <w:top w:val="none" w:sz="0" w:space="0" w:color="auto"/>
        <w:left w:val="none" w:sz="0" w:space="0" w:color="auto"/>
        <w:bottom w:val="none" w:sz="0" w:space="0" w:color="auto"/>
        <w:right w:val="none" w:sz="0" w:space="0" w:color="auto"/>
      </w:divBdr>
    </w:div>
    <w:div w:id="1196499002">
      <w:bodyDiv w:val="1"/>
      <w:marLeft w:val="0"/>
      <w:marRight w:val="0"/>
      <w:marTop w:val="0"/>
      <w:marBottom w:val="0"/>
      <w:divBdr>
        <w:top w:val="none" w:sz="0" w:space="0" w:color="auto"/>
        <w:left w:val="none" w:sz="0" w:space="0" w:color="auto"/>
        <w:bottom w:val="none" w:sz="0" w:space="0" w:color="auto"/>
        <w:right w:val="none" w:sz="0" w:space="0" w:color="auto"/>
      </w:divBdr>
    </w:div>
    <w:div w:id="1218052149">
      <w:bodyDiv w:val="1"/>
      <w:marLeft w:val="0"/>
      <w:marRight w:val="0"/>
      <w:marTop w:val="0"/>
      <w:marBottom w:val="0"/>
      <w:divBdr>
        <w:top w:val="none" w:sz="0" w:space="0" w:color="auto"/>
        <w:left w:val="none" w:sz="0" w:space="0" w:color="auto"/>
        <w:bottom w:val="none" w:sz="0" w:space="0" w:color="auto"/>
        <w:right w:val="none" w:sz="0" w:space="0" w:color="auto"/>
      </w:divBdr>
    </w:div>
    <w:div w:id="1365790157">
      <w:bodyDiv w:val="1"/>
      <w:marLeft w:val="0"/>
      <w:marRight w:val="0"/>
      <w:marTop w:val="0"/>
      <w:marBottom w:val="0"/>
      <w:divBdr>
        <w:top w:val="none" w:sz="0" w:space="0" w:color="auto"/>
        <w:left w:val="none" w:sz="0" w:space="0" w:color="auto"/>
        <w:bottom w:val="none" w:sz="0" w:space="0" w:color="auto"/>
        <w:right w:val="none" w:sz="0" w:space="0" w:color="auto"/>
      </w:divBdr>
    </w:div>
    <w:div w:id="1703050843">
      <w:bodyDiv w:val="1"/>
      <w:marLeft w:val="0"/>
      <w:marRight w:val="0"/>
      <w:marTop w:val="0"/>
      <w:marBottom w:val="0"/>
      <w:divBdr>
        <w:top w:val="none" w:sz="0" w:space="0" w:color="auto"/>
        <w:left w:val="none" w:sz="0" w:space="0" w:color="auto"/>
        <w:bottom w:val="none" w:sz="0" w:space="0" w:color="auto"/>
        <w:right w:val="none" w:sz="0" w:space="0" w:color="auto"/>
      </w:divBdr>
    </w:div>
    <w:div w:id="1880170039">
      <w:bodyDiv w:val="1"/>
      <w:marLeft w:val="0"/>
      <w:marRight w:val="0"/>
      <w:marTop w:val="0"/>
      <w:marBottom w:val="0"/>
      <w:divBdr>
        <w:top w:val="none" w:sz="0" w:space="0" w:color="auto"/>
        <w:left w:val="none" w:sz="0" w:space="0" w:color="auto"/>
        <w:bottom w:val="none" w:sz="0" w:space="0" w:color="auto"/>
        <w:right w:val="none" w:sz="0" w:space="0" w:color="auto"/>
      </w:divBdr>
    </w:div>
    <w:div w:id="2050446745">
      <w:bodyDiv w:val="1"/>
      <w:marLeft w:val="0"/>
      <w:marRight w:val="0"/>
      <w:marTop w:val="0"/>
      <w:marBottom w:val="0"/>
      <w:divBdr>
        <w:top w:val="none" w:sz="0" w:space="0" w:color="auto"/>
        <w:left w:val="none" w:sz="0" w:space="0" w:color="auto"/>
        <w:bottom w:val="none" w:sz="0" w:space="0" w:color="auto"/>
        <w:right w:val="none" w:sz="0" w:space="0" w:color="auto"/>
      </w:divBdr>
    </w:div>
    <w:div w:id="2115439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ANNEX.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5BB05E-D831-4DD7-9FB8-76C516F2D9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ANNEX.dotm</Template>
  <TotalTime>5</TotalTime>
  <Pages>97</Pages>
  <Words>22339</Words>
  <Characters>106784</Characters>
  <Application>Microsoft Office Word</Application>
  <DocSecurity>0</DocSecurity>
  <Lines>21356</Lines>
  <Paragraphs>9223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119900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KISIELIAUSKAS Mindaugas (HR)</dc:creator>
  <cp:lastModifiedBy>WES PDFC Administrator</cp:lastModifiedBy>
  <cp:revision>9</cp:revision>
  <cp:lastPrinted>2017-10-20T14:02:00Z</cp:lastPrinted>
  <dcterms:created xsi:type="dcterms:W3CDTF">2020-10-26T14:51:00Z</dcterms:created>
  <dcterms:modified xsi:type="dcterms:W3CDTF">2020-10-27T07:53:00Z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COM/ANNEX</vt:lpwstr>
  </property>
  <property fmtid="{D5CDD505-2E9C-101B-9397-08002B2CF9AE}" pid="3" name="Version">
    <vt:lpwstr>5.84.2.0</vt:lpwstr>
  </property>
  <property fmtid="{D5CDD505-2E9C-101B-9397-08002B2CF9AE}" pid="4" name="Last edited using">
    <vt:lpwstr>LW 7.0.1, Build 20190916</vt:lpwstr>
  </property>
  <property fmtid="{D5CDD505-2E9C-101B-9397-08002B2CF9AE}" pid="5" name="Created using">
    <vt:lpwstr>LW 5.8.4, Build 20150407</vt:lpwstr>
  </property>
  <property fmtid="{D5CDD505-2E9C-101B-9397-08002B2CF9AE}" pid="6" name="First annex">
    <vt:lpwstr>1</vt:lpwstr>
  </property>
  <property fmtid="{D5CDD505-2E9C-101B-9397-08002B2CF9AE}" pid="7" name="Last annex">
    <vt:lpwstr>1</vt:lpwstr>
  </property>
  <property fmtid="{D5CDD505-2E9C-101B-9397-08002B2CF9AE}" pid="8" name="Part">
    <vt:lpwstr>1</vt:lpwstr>
  </property>
  <property fmtid="{D5CDD505-2E9C-101B-9397-08002B2CF9AE}" pid="9" name="Total parts">
    <vt:lpwstr>1</vt:lpwstr>
  </property>
  <property fmtid="{D5CDD505-2E9C-101B-9397-08002B2CF9AE}" pid="10" name="LWTemplateID">
    <vt:lpwstr>SG-017</vt:lpwstr>
  </property>
  <property fmtid="{D5CDD505-2E9C-101B-9397-08002B2CF9AE}" pid="11" name="Level of sensitivity">
    <vt:lpwstr>Standard treatment</vt:lpwstr>
  </property>
  <property fmtid="{D5CDD505-2E9C-101B-9397-08002B2CF9AE}" pid="12" name="Unique annex">
    <vt:lpwstr>0</vt:lpwstr>
  </property>
  <property fmtid="{D5CDD505-2E9C-101B-9397-08002B2CF9AE}" pid="13" name="DQCStatus">
    <vt:lpwstr>Green (DQC version 03)</vt:lpwstr>
  </property>
</Properties>
</file>