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alt="ED25F294-86E0-4A2C-AB03-3E011A3B9A5E" style="width:450.45pt;height:424.5pt">
            <v:imagedata r:id="rId9" o:title=""/>
          </v:shape>
        </w:pict>
      </w:r>
    </w:p>
    <w:p>
      <w:pPr>
        <w:rPr>
          <w:noProof/>
        </w:rPr>
        <w:sectPr>
          <w:headerReference w:type="even" r:id="rId10"/>
          <w:headerReference w:type="default" r:id="rId11"/>
          <w:footerReference w:type="even" r:id="rId12"/>
          <w:footerReference w:type="default" r:id="rId13"/>
          <w:headerReference w:type="first" r:id="rId14"/>
          <w:footerReference w:type="first" r:id="rId15"/>
          <w:pgSz w:w="11907" w:h="16839"/>
          <w:pgMar w:top="1134" w:right="1417" w:bottom="1134" w:left="1417" w:header="709" w:footer="709" w:gutter="0"/>
          <w:pgNumType w:start="1"/>
          <w:cols w:space="720"/>
          <w:docGrid w:linePitch="360"/>
        </w:sectPr>
      </w:pPr>
    </w:p>
    <w:p>
      <w:pPr>
        <w:pStyle w:val="NormalCentered"/>
        <w:rPr>
          <w:rFonts w:eastAsia="Calibri"/>
          <w:noProof/>
        </w:rPr>
      </w:pPr>
      <w:bookmarkStart w:id="0" w:name="_GoBack"/>
      <w:bookmarkEnd w:id="0"/>
      <w:r>
        <w:rPr>
          <w:noProof/>
        </w:rPr>
        <w:lastRenderedPageBreak/>
        <w:t>LISTE DES ANNEXES</w:t>
      </w:r>
    </w:p>
    <w:tbl>
      <w:tblPr>
        <w:tblW w:w="0" w:type="auto"/>
        <w:tblLayout w:type="fixed"/>
        <w:tblLook w:val="04A0" w:firstRow="1" w:lastRow="0" w:firstColumn="1" w:lastColumn="0" w:noHBand="0" w:noVBand="1"/>
      </w:tblPr>
      <w:tblGrid>
        <w:gridCol w:w="2124"/>
        <w:gridCol w:w="6574"/>
      </w:tblGrid>
      <w:tr>
        <w:trPr>
          <w:trHeight w:val="227"/>
        </w:trPr>
        <w:tc>
          <w:tcPr>
            <w:tcW w:w="2124" w:type="dxa"/>
            <w:hideMark/>
          </w:tcPr>
          <w:p>
            <w:pPr>
              <w:spacing w:before="60" w:after="60"/>
              <w:rPr>
                <w:rFonts w:eastAsia="Calibri"/>
                <w:noProof/>
              </w:rPr>
            </w:pPr>
            <w:r>
              <w:rPr>
                <w:noProof/>
              </w:rPr>
              <w:t>ANNEXE I:</w:t>
            </w:r>
          </w:p>
        </w:tc>
        <w:tc>
          <w:tcPr>
            <w:tcW w:w="6574" w:type="dxa"/>
            <w:hideMark/>
          </w:tcPr>
          <w:p>
            <w:pPr>
              <w:spacing w:before="60" w:after="60"/>
              <w:rPr>
                <w:rFonts w:eastAsia="Calibri"/>
                <w:noProof/>
              </w:rPr>
            </w:pPr>
            <w:r>
              <w:rPr>
                <w:noProof/>
              </w:rPr>
              <w:t>TAC applicables aux navires de pêche de l’Union dans les zones pour lesquelles des TAC ont été fixés par espèce et par zone</w:t>
            </w:r>
          </w:p>
        </w:tc>
      </w:tr>
      <w:tr>
        <w:trPr>
          <w:trHeight w:val="227"/>
        </w:trPr>
        <w:tc>
          <w:tcPr>
            <w:tcW w:w="2124" w:type="dxa"/>
            <w:hideMark/>
          </w:tcPr>
          <w:p>
            <w:pPr>
              <w:spacing w:before="60" w:after="60"/>
              <w:rPr>
                <w:rFonts w:eastAsia="Calibri"/>
                <w:noProof/>
              </w:rPr>
            </w:pPr>
            <w:r>
              <w:rPr>
                <w:noProof/>
              </w:rPr>
              <w:t>ANNEXE IA:</w:t>
            </w:r>
          </w:p>
        </w:tc>
        <w:tc>
          <w:tcPr>
            <w:tcW w:w="6574" w:type="dxa"/>
            <w:hideMark/>
          </w:tcPr>
          <w:p>
            <w:pPr>
              <w:spacing w:before="60" w:after="60"/>
              <w:rPr>
                <w:rFonts w:eastAsia="Calibri"/>
                <w:noProof/>
              </w:rPr>
            </w:pPr>
            <w:r>
              <w:rPr>
                <w:noProof/>
              </w:rPr>
              <w:t>Skagerrak, Kattegat, sous-zones CIEM 1, 2, 3, 4, 5, 6, 7, 8, 9, 10, 12 et 14, eaux de l’Union de la zone Copace et eaux de la Guyane</w:t>
            </w:r>
          </w:p>
        </w:tc>
      </w:tr>
      <w:tr>
        <w:trPr>
          <w:trHeight w:val="227"/>
        </w:trPr>
        <w:tc>
          <w:tcPr>
            <w:tcW w:w="2124" w:type="dxa"/>
            <w:hideMark/>
          </w:tcPr>
          <w:p>
            <w:pPr>
              <w:spacing w:before="60" w:after="60"/>
              <w:rPr>
                <w:rFonts w:eastAsia="Calibri"/>
                <w:noProof/>
              </w:rPr>
            </w:pPr>
            <w:r>
              <w:rPr>
                <w:noProof/>
              </w:rPr>
              <w:t>ANNEXE IB:</w:t>
            </w:r>
          </w:p>
        </w:tc>
        <w:tc>
          <w:tcPr>
            <w:tcW w:w="6574" w:type="dxa"/>
            <w:hideMark/>
          </w:tcPr>
          <w:p>
            <w:pPr>
              <w:spacing w:before="60" w:after="60"/>
              <w:rPr>
                <w:rFonts w:eastAsia="Calibri"/>
                <w:noProof/>
              </w:rPr>
            </w:pPr>
            <w:r>
              <w:rPr>
                <w:noProof/>
              </w:rPr>
              <w:t>Atlantique du Nord-Est et Groenland, sous-zones CIEM 1, 2, 5, 12 et 14 et eaux groenlandaises de la zone OPANO 1</w:t>
            </w:r>
          </w:p>
        </w:tc>
      </w:tr>
      <w:tr>
        <w:trPr>
          <w:trHeight w:val="227"/>
        </w:trPr>
        <w:tc>
          <w:tcPr>
            <w:tcW w:w="2124" w:type="dxa"/>
            <w:hideMark/>
          </w:tcPr>
          <w:p>
            <w:pPr>
              <w:spacing w:before="60" w:after="60"/>
              <w:rPr>
                <w:rFonts w:eastAsia="Calibri"/>
                <w:noProof/>
              </w:rPr>
            </w:pPr>
            <w:r>
              <w:rPr>
                <w:noProof/>
              </w:rPr>
              <w:t>ANNEXE IC:</w:t>
            </w:r>
          </w:p>
        </w:tc>
        <w:tc>
          <w:tcPr>
            <w:tcW w:w="6574" w:type="dxa"/>
            <w:hideMark/>
          </w:tcPr>
          <w:p>
            <w:pPr>
              <w:spacing w:before="60" w:after="60"/>
              <w:rPr>
                <w:rFonts w:eastAsia="Calibri"/>
                <w:noProof/>
              </w:rPr>
            </w:pPr>
            <w:r>
              <w:rPr>
                <w:noProof/>
              </w:rPr>
              <w:t>Atlantique du Nord-Ouest – Zone de la convention OPANO</w:t>
            </w:r>
          </w:p>
        </w:tc>
      </w:tr>
      <w:tr>
        <w:trPr>
          <w:trHeight w:val="227"/>
        </w:trPr>
        <w:tc>
          <w:tcPr>
            <w:tcW w:w="2124" w:type="dxa"/>
            <w:hideMark/>
          </w:tcPr>
          <w:p>
            <w:pPr>
              <w:spacing w:before="60" w:after="60"/>
              <w:rPr>
                <w:rFonts w:eastAsia="Calibri"/>
                <w:noProof/>
              </w:rPr>
            </w:pPr>
            <w:r>
              <w:rPr>
                <w:noProof/>
              </w:rPr>
              <w:t>ANNEXE ID:</w:t>
            </w:r>
          </w:p>
        </w:tc>
        <w:tc>
          <w:tcPr>
            <w:tcW w:w="6574" w:type="dxa"/>
            <w:hideMark/>
          </w:tcPr>
          <w:p>
            <w:pPr>
              <w:spacing w:before="60" w:after="60"/>
              <w:rPr>
                <w:rFonts w:eastAsia="Calibri"/>
                <w:noProof/>
              </w:rPr>
            </w:pPr>
            <w:r>
              <w:rPr>
                <w:noProof/>
              </w:rPr>
              <w:t>Zone de la convention CICTA</w:t>
            </w:r>
          </w:p>
        </w:tc>
      </w:tr>
      <w:tr>
        <w:trPr>
          <w:trHeight w:val="227"/>
        </w:trPr>
        <w:tc>
          <w:tcPr>
            <w:tcW w:w="2124" w:type="dxa"/>
            <w:hideMark/>
          </w:tcPr>
          <w:p>
            <w:pPr>
              <w:spacing w:before="60" w:after="60"/>
              <w:rPr>
                <w:rFonts w:eastAsia="Calibri"/>
                <w:noProof/>
              </w:rPr>
            </w:pPr>
            <w:r>
              <w:rPr>
                <w:noProof/>
              </w:rPr>
              <w:t>ANNEXE IE:</w:t>
            </w:r>
          </w:p>
        </w:tc>
        <w:tc>
          <w:tcPr>
            <w:tcW w:w="6574" w:type="dxa"/>
            <w:hideMark/>
          </w:tcPr>
          <w:p>
            <w:pPr>
              <w:spacing w:before="60" w:after="60"/>
              <w:rPr>
                <w:rFonts w:eastAsia="Calibri"/>
                <w:noProof/>
              </w:rPr>
            </w:pPr>
            <w:r>
              <w:rPr>
                <w:noProof/>
              </w:rPr>
              <w:t>Atlantique du Sud-Est – Zone de la convention OPASE</w:t>
            </w:r>
          </w:p>
        </w:tc>
      </w:tr>
      <w:tr>
        <w:trPr>
          <w:trHeight w:val="227"/>
        </w:trPr>
        <w:tc>
          <w:tcPr>
            <w:tcW w:w="2124" w:type="dxa"/>
            <w:hideMark/>
          </w:tcPr>
          <w:p>
            <w:pPr>
              <w:spacing w:before="60" w:after="60"/>
              <w:rPr>
                <w:rFonts w:eastAsia="Calibri"/>
                <w:noProof/>
              </w:rPr>
            </w:pPr>
            <w:r>
              <w:rPr>
                <w:noProof/>
              </w:rPr>
              <w:t>ANNEXE IF:</w:t>
            </w:r>
          </w:p>
        </w:tc>
        <w:tc>
          <w:tcPr>
            <w:tcW w:w="6574" w:type="dxa"/>
            <w:hideMark/>
          </w:tcPr>
          <w:p>
            <w:pPr>
              <w:spacing w:before="60" w:after="60"/>
              <w:rPr>
                <w:rFonts w:eastAsia="Calibri"/>
                <w:noProof/>
              </w:rPr>
            </w:pPr>
            <w:r>
              <w:rPr>
                <w:noProof/>
              </w:rPr>
              <w:t>Thon rouge du Sud – Aires de répartition</w:t>
            </w:r>
          </w:p>
        </w:tc>
      </w:tr>
      <w:tr>
        <w:trPr>
          <w:trHeight w:val="227"/>
        </w:trPr>
        <w:tc>
          <w:tcPr>
            <w:tcW w:w="2124" w:type="dxa"/>
            <w:hideMark/>
          </w:tcPr>
          <w:p>
            <w:pPr>
              <w:spacing w:before="60" w:after="60"/>
              <w:rPr>
                <w:rFonts w:eastAsia="Calibri"/>
                <w:noProof/>
              </w:rPr>
            </w:pPr>
            <w:r>
              <w:rPr>
                <w:noProof/>
              </w:rPr>
              <w:t>ANNEXE IG:</w:t>
            </w:r>
          </w:p>
        </w:tc>
        <w:tc>
          <w:tcPr>
            <w:tcW w:w="6574" w:type="dxa"/>
            <w:hideMark/>
          </w:tcPr>
          <w:p>
            <w:pPr>
              <w:spacing w:before="60" w:after="60"/>
              <w:rPr>
                <w:rFonts w:eastAsia="Calibri"/>
                <w:noProof/>
              </w:rPr>
            </w:pPr>
            <w:r>
              <w:rPr>
                <w:noProof/>
              </w:rPr>
              <w:t>Zone de la convention WCPFC</w:t>
            </w:r>
          </w:p>
        </w:tc>
      </w:tr>
      <w:tr>
        <w:trPr>
          <w:trHeight w:val="227"/>
        </w:trPr>
        <w:tc>
          <w:tcPr>
            <w:tcW w:w="2124" w:type="dxa"/>
            <w:hideMark/>
          </w:tcPr>
          <w:p>
            <w:pPr>
              <w:spacing w:before="60" w:after="60"/>
              <w:rPr>
                <w:rFonts w:eastAsia="Calibri"/>
                <w:noProof/>
              </w:rPr>
            </w:pPr>
            <w:r>
              <w:rPr>
                <w:noProof/>
              </w:rPr>
              <w:t>ANNEXE IH:</w:t>
            </w:r>
          </w:p>
        </w:tc>
        <w:tc>
          <w:tcPr>
            <w:tcW w:w="6574" w:type="dxa"/>
            <w:hideMark/>
          </w:tcPr>
          <w:p>
            <w:pPr>
              <w:spacing w:before="60" w:after="60"/>
              <w:rPr>
                <w:rFonts w:eastAsia="Calibri"/>
                <w:noProof/>
              </w:rPr>
            </w:pPr>
            <w:r>
              <w:rPr>
                <w:noProof/>
              </w:rPr>
              <w:t>Zone de la convention ORGPPS</w:t>
            </w:r>
          </w:p>
        </w:tc>
      </w:tr>
      <w:tr>
        <w:trPr>
          <w:trHeight w:val="227"/>
        </w:trPr>
        <w:tc>
          <w:tcPr>
            <w:tcW w:w="2124" w:type="dxa"/>
            <w:hideMark/>
          </w:tcPr>
          <w:p>
            <w:pPr>
              <w:spacing w:before="60" w:after="60"/>
              <w:rPr>
                <w:rFonts w:eastAsia="Calibri"/>
                <w:noProof/>
              </w:rPr>
            </w:pPr>
            <w:r>
              <w:rPr>
                <w:noProof/>
              </w:rPr>
              <w:t>ANNEXE IJ:</w:t>
            </w:r>
          </w:p>
        </w:tc>
        <w:tc>
          <w:tcPr>
            <w:tcW w:w="6574" w:type="dxa"/>
            <w:hideMark/>
          </w:tcPr>
          <w:p>
            <w:pPr>
              <w:spacing w:before="60" w:after="60"/>
              <w:rPr>
                <w:rFonts w:eastAsia="Calibri"/>
                <w:noProof/>
              </w:rPr>
            </w:pPr>
            <w:r>
              <w:rPr>
                <w:noProof/>
              </w:rPr>
              <w:t>Zone de compétence CTOI</w:t>
            </w:r>
          </w:p>
        </w:tc>
      </w:tr>
      <w:tr>
        <w:trPr>
          <w:trHeight w:val="227"/>
        </w:trPr>
        <w:tc>
          <w:tcPr>
            <w:tcW w:w="2124" w:type="dxa"/>
            <w:hideMark/>
          </w:tcPr>
          <w:p>
            <w:pPr>
              <w:spacing w:before="60" w:after="60"/>
              <w:rPr>
                <w:rFonts w:eastAsia="Calibri"/>
                <w:noProof/>
              </w:rPr>
            </w:pPr>
            <w:r>
              <w:rPr>
                <w:noProof/>
              </w:rPr>
              <w:t>ANNEXE IK:</w:t>
            </w:r>
          </w:p>
        </w:tc>
        <w:tc>
          <w:tcPr>
            <w:tcW w:w="6574" w:type="dxa"/>
            <w:hideMark/>
          </w:tcPr>
          <w:p>
            <w:pPr>
              <w:spacing w:before="60" w:after="60"/>
              <w:rPr>
                <w:rFonts w:eastAsia="Calibri"/>
                <w:noProof/>
              </w:rPr>
            </w:pPr>
            <w:r>
              <w:rPr>
                <w:noProof/>
              </w:rPr>
              <w:t>Zone de l’accord SIOFA/APSOI</w:t>
            </w:r>
          </w:p>
        </w:tc>
      </w:tr>
      <w:tr>
        <w:trPr>
          <w:trHeight w:val="227"/>
        </w:trPr>
        <w:tc>
          <w:tcPr>
            <w:tcW w:w="2124" w:type="dxa"/>
            <w:hideMark/>
          </w:tcPr>
          <w:p>
            <w:pPr>
              <w:spacing w:before="60" w:after="60"/>
              <w:rPr>
                <w:rFonts w:eastAsia="Calibri"/>
                <w:noProof/>
              </w:rPr>
            </w:pPr>
            <w:r>
              <w:rPr>
                <w:noProof/>
              </w:rPr>
              <w:t>ANNEXE IL:</w:t>
            </w:r>
          </w:p>
        </w:tc>
        <w:tc>
          <w:tcPr>
            <w:tcW w:w="6574" w:type="dxa"/>
            <w:hideMark/>
          </w:tcPr>
          <w:p>
            <w:pPr>
              <w:spacing w:before="60" w:after="60"/>
              <w:rPr>
                <w:rFonts w:eastAsia="Calibri"/>
                <w:noProof/>
              </w:rPr>
            </w:pPr>
            <w:r>
              <w:rPr>
                <w:noProof/>
              </w:rPr>
              <w:t>Zone de la convention CITT</w:t>
            </w:r>
          </w:p>
        </w:tc>
      </w:tr>
      <w:tr>
        <w:trPr>
          <w:trHeight w:val="227"/>
        </w:trPr>
        <w:tc>
          <w:tcPr>
            <w:tcW w:w="2124" w:type="dxa"/>
            <w:hideMark/>
          </w:tcPr>
          <w:p>
            <w:pPr>
              <w:spacing w:before="60" w:after="60"/>
              <w:rPr>
                <w:rFonts w:eastAsia="Calibri"/>
                <w:noProof/>
              </w:rPr>
            </w:pPr>
            <w:r>
              <w:rPr>
                <w:noProof/>
              </w:rPr>
              <w:t>ANNEXE II:</w:t>
            </w:r>
          </w:p>
        </w:tc>
        <w:tc>
          <w:tcPr>
            <w:tcW w:w="6574" w:type="dxa"/>
            <w:hideMark/>
          </w:tcPr>
          <w:p>
            <w:pPr>
              <w:spacing w:before="60" w:after="60"/>
              <w:rPr>
                <w:rFonts w:eastAsia="Calibri"/>
                <w:noProof/>
              </w:rPr>
            </w:pPr>
            <w:r>
              <w:rPr>
                <w:noProof/>
              </w:rPr>
              <w:t>Effort de pêche applicable aux navires dans le cadre de la gestion des stocks de sole de la Manche occidentale dans la division CIEM 7e</w:t>
            </w:r>
          </w:p>
        </w:tc>
      </w:tr>
      <w:tr>
        <w:trPr>
          <w:trHeight w:val="227"/>
        </w:trPr>
        <w:tc>
          <w:tcPr>
            <w:tcW w:w="2124" w:type="dxa"/>
            <w:hideMark/>
          </w:tcPr>
          <w:p>
            <w:pPr>
              <w:spacing w:before="60" w:after="60"/>
              <w:rPr>
                <w:rFonts w:eastAsia="Calibri"/>
                <w:noProof/>
              </w:rPr>
            </w:pPr>
            <w:r>
              <w:rPr>
                <w:noProof/>
              </w:rPr>
              <w:t>ANNEXE III:</w:t>
            </w:r>
          </w:p>
        </w:tc>
        <w:tc>
          <w:tcPr>
            <w:tcW w:w="6574" w:type="dxa"/>
            <w:hideMark/>
          </w:tcPr>
          <w:p>
            <w:pPr>
              <w:spacing w:before="60" w:after="60"/>
              <w:rPr>
                <w:rFonts w:eastAsia="Calibri"/>
                <w:noProof/>
              </w:rPr>
            </w:pPr>
            <w:r>
              <w:rPr>
                <w:noProof/>
              </w:rPr>
              <w:t>Zones de gestion du lançon dans les divisions CIEM 2a et 3a et dans la sous-zone CIEM 4</w:t>
            </w:r>
          </w:p>
        </w:tc>
      </w:tr>
      <w:tr>
        <w:trPr>
          <w:trHeight w:val="227"/>
        </w:trPr>
        <w:tc>
          <w:tcPr>
            <w:tcW w:w="2124" w:type="dxa"/>
            <w:hideMark/>
          </w:tcPr>
          <w:p>
            <w:pPr>
              <w:spacing w:before="60" w:after="60"/>
              <w:rPr>
                <w:rFonts w:eastAsia="Calibri"/>
                <w:noProof/>
              </w:rPr>
            </w:pPr>
            <w:r>
              <w:rPr>
                <w:noProof/>
              </w:rPr>
              <w:t>ANNEXE IV:</w:t>
            </w:r>
          </w:p>
        </w:tc>
        <w:tc>
          <w:tcPr>
            <w:tcW w:w="6574" w:type="dxa"/>
            <w:hideMark/>
          </w:tcPr>
          <w:p>
            <w:pPr>
              <w:spacing w:before="60" w:after="60"/>
              <w:rPr>
                <w:rFonts w:eastAsia="Calibri"/>
                <w:noProof/>
              </w:rPr>
            </w:pPr>
            <w:r>
              <w:rPr>
                <w:noProof/>
              </w:rPr>
              <w:t>Fermetures saisonnières destinées à protéger les frayères de cabillaud</w:t>
            </w:r>
          </w:p>
        </w:tc>
      </w:tr>
      <w:tr>
        <w:trPr>
          <w:trHeight w:val="227"/>
        </w:trPr>
        <w:tc>
          <w:tcPr>
            <w:tcW w:w="2124" w:type="dxa"/>
            <w:hideMark/>
          </w:tcPr>
          <w:p>
            <w:pPr>
              <w:pageBreakBefore/>
              <w:spacing w:before="60" w:after="60"/>
              <w:rPr>
                <w:rFonts w:eastAsia="Calibri"/>
                <w:noProof/>
              </w:rPr>
            </w:pPr>
            <w:r>
              <w:rPr>
                <w:noProof/>
              </w:rPr>
              <w:t>ANNEXE V:</w:t>
            </w:r>
          </w:p>
        </w:tc>
        <w:tc>
          <w:tcPr>
            <w:tcW w:w="6574" w:type="dxa"/>
            <w:hideMark/>
          </w:tcPr>
          <w:p>
            <w:pPr>
              <w:spacing w:before="60" w:after="60"/>
              <w:rPr>
                <w:rFonts w:eastAsia="Calibri"/>
                <w:noProof/>
              </w:rPr>
            </w:pPr>
            <w:r>
              <w:rPr>
                <w:noProof/>
              </w:rPr>
              <w:t>Autorisations de pêche</w:t>
            </w:r>
          </w:p>
        </w:tc>
      </w:tr>
      <w:tr>
        <w:trPr>
          <w:trHeight w:val="227"/>
        </w:trPr>
        <w:tc>
          <w:tcPr>
            <w:tcW w:w="2124" w:type="dxa"/>
            <w:hideMark/>
          </w:tcPr>
          <w:p>
            <w:pPr>
              <w:spacing w:before="60" w:after="60"/>
              <w:rPr>
                <w:rFonts w:eastAsia="Calibri"/>
                <w:noProof/>
              </w:rPr>
            </w:pPr>
            <w:r>
              <w:rPr>
                <w:noProof/>
              </w:rPr>
              <w:t>ANNEXE VI:</w:t>
            </w:r>
          </w:p>
        </w:tc>
        <w:tc>
          <w:tcPr>
            <w:tcW w:w="6574" w:type="dxa"/>
            <w:hideMark/>
          </w:tcPr>
          <w:p>
            <w:pPr>
              <w:spacing w:before="60" w:after="60"/>
              <w:rPr>
                <w:rFonts w:eastAsia="Calibri"/>
                <w:noProof/>
              </w:rPr>
            </w:pPr>
            <w:r>
              <w:rPr>
                <w:noProof/>
              </w:rPr>
              <w:t>Zone de la convention CICTA</w:t>
            </w:r>
          </w:p>
        </w:tc>
      </w:tr>
      <w:tr>
        <w:trPr>
          <w:trHeight w:val="227"/>
        </w:trPr>
        <w:tc>
          <w:tcPr>
            <w:tcW w:w="2124" w:type="dxa"/>
            <w:hideMark/>
          </w:tcPr>
          <w:p>
            <w:pPr>
              <w:spacing w:before="60" w:after="60"/>
              <w:rPr>
                <w:rFonts w:eastAsia="Calibri"/>
                <w:noProof/>
              </w:rPr>
            </w:pPr>
            <w:r>
              <w:rPr>
                <w:noProof/>
              </w:rPr>
              <w:t>ANNEXE VII:</w:t>
            </w:r>
          </w:p>
        </w:tc>
        <w:tc>
          <w:tcPr>
            <w:tcW w:w="6574" w:type="dxa"/>
            <w:hideMark/>
          </w:tcPr>
          <w:p>
            <w:pPr>
              <w:spacing w:before="60" w:after="60"/>
              <w:rPr>
                <w:rFonts w:eastAsia="Calibri"/>
                <w:noProof/>
              </w:rPr>
            </w:pPr>
            <w:r>
              <w:rPr>
                <w:noProof/>
              </w:rPr>
              <w:t>Zone de la convention CCAMLR</w:t>
            </w:r>
          </w:p>
        </w:tc>
      </w:tr>
      <w:tr>
        <w:trPr>
          <w:trHeight w:val="227"/>
        </w:trPr>
        <w:tc>
          <w:tcPr>
            <w:tcW w:w="2124" w:type="dxa"/>
            <w:hideMark/>
          </w:tcPr>
          <w:p>
            <w:pPr>
              <w:spacing w:before="60" w:after="60"/>
              <w:rPr>
                <w:rFonts w:eastAsia="Calibri"/>
                <w:noProof/>
              </w:rPr>
            </w:pPr>
            <w:r>
              <w:rPr>
                <w:noProof/>
              </w:rPr>
              <w:t>ANNEXE VIII:</w:t>
            </w:r>
          </w:p>
        </w:tc>
        <w:tc>
          <w:tcPr>
            <w:tcW w:w="6574" w:type="dxa"/>
            <w:hideMark/>
          </w:tcPr>
          <w:p>
            <w:pPr>
              <w:spacing w:before="60" w:after="60"/>
              <w:rPr>
                <w:rFonts w:eastAsia="Calibri"/>
                <w:noProof/>
              </w:rPr>
            </w:pPr>
            <w:r>
              <w:rPr>
                <w:noProof/>
              </w:rPr>
              <w:t>Zone de compétence CTOI</w:t>
            </w:r>
          </w:p>
        </w:tc>
      </w:tr>
      <w:tr>
        <w:trPr>
          <w:trHeight w:val="227"/>
        </w:trPr>
        <w:tc>
          <w:tcPr>
            <w:tcW w:w="2124" w:type="dxa"/>
            <w:hideMark/>
          </w:tcPr>
          <w:p>
            <w:pPr>
              <w:spacing w:before="60" w:after="60"/>
              <w:rPr>
                <w:rFonts w:eastAsia="Calibri"/>
                <w:noProof/>
              </w:rPr>
            </w:pPr>
            <w:r>
              <w:rPr>
                <w:noProof/>
              </w:rPr>
              <w:t>ANNEXE IX:</w:t>
            </w:r>
          </w:p>
        </w:tc>
        <w:tc>
          <w:tcPr>
            <w:tcW w:w="6574" w:type="dxa"/>
            <w:hideMark/>
          </w:tcPr>
          <w:p>
            <w:pPr>
              <w:spacing w:before="60" w:after="60"/>
              <w:rPr>
                <w:rFonts w:eastAsia="Calibri"/>
                <w:noProof/>
              </w:rPr>
            </w:pPr>
            <w:r>
              <w:rPr>
                <w:noProof/>
              </w:rPr>
              <w:t>Zone de la convention WCPFC</w:t>
            </w:r>
          </w:p>
        </w:tc>
      </w:tr>
    </w:tbl>
    <w:p>
      <w:pPr>
        <w:rPr>
          <w:rFonts w:eastAsia="Times New Roman"/>
          <w:noProof/>
        </w:rPr>
      </w:pPr>
    </w:p>
    <w:p>
      <w:pPr>
        <w:spacing w:before="0" w:after="0"/>
        <w:rPr>
          <w:noProof/>
        </w:rPr>
        <w:sectPr>
          <w:footerReference w:type="default" r:id="rId16"/>
          <w:footerReference w:type="first" r:id="rId17"/>
          <w:pgSz w:w="11907" w:h="16840"/>
          <w:pgMar w:top="1134" w:right="1134" w:bottom="1134" w:left="1134" w:header="567" w:footer="567" w:gutter="0"/>
          <w:pgNumType w:start="1"/>
          <w:cols w:space="720"/>
          <w:docGrid w:linePitch="326"/>
        </w:sectPr>
      </w:pPr>
    </w:p>
    <w:p>
      <w:pPr>
        <w:pStyle w:val="Annexetitre"/>
        <w:rPr>
          <w:noProof/>
        </w:rPr>
      </w:pPr>
      <w:r>
        <w:rPr>
          <w:noProof/>
        </w:rPr>
        <w:t>ANNEXE I</w:t>
      </w:r>
    </w:p>
    <w:p>
      <w:pPr>
        <w:pStyle w:val="NormalCentered"/>
        <w:rPr>
          <w:noProof/>
        </w:rPr>
      </w:pPr>
      <w:r>
        <w:rPr>
          <w:noProof/>
        </w:rPr>
        <w:t>TAC APPLICABLES AUX NAVIRES DE PÊCHE DE L’UNION DANS LES ZONES POUR LESQUELLES DES TAC ONT ÉTÉ FIXÉS PAR ESPÈCE ET PAR ZONE</w:t>
      </w:r>
    </w:p>
    <w:p>
      <w:pPr>
        <w:rPr>
          <w:noProof/>
        </w:rPr>
      </w:pPr>
      <w:r>
        <w:rPr>
          <w:noProof/>
        </w:rPr>
        <w:t>Les tableaux de la présente annexe présentent les TAC et quotas par stock (en tonnes de poids vif, sauf indication contraire), ainsi que les conditions fonctionnelles y afférentes, le cas échéant.</w:t>
      </w:r>
    </w:p>
    <w:p>
      <w:pPr>
        <w:rPr>
          <w:noProof/>
        </w:rPr>
      </w:pPr>
      <w:r>
        <w:rPr>
          <w:noProof/>
        </w:rPr>
        <w:t>Toutes les possibilités de pêche fixées dans la présente annexe sont soumises aux règles établies dans le règlement (CE) nº 1224/2009, et notamment dans les articles 33 et 34 dudit règlement.</w:t>
      </w:r>
    </w:p>
    <w:p>
      <w:pPr>
        <w:rPr>
          <w:noProof/>
        </w:rPr>
      </w:pPr>
      <w:r>
        <w:rPr>
          <w:noProof/>
        </w:rPr>
        <w:t>Sauf indication contraire, les références aux zones de pêche sont des références aux zones CIEM. Pour chaque zone, les stocks de poissons sont énumérés dans l’ordre alphabétique des noms latins des espèces. Seuls les noms latins permettent d’identifier les espèces à des fins réglementaires; les noms vernaculaires sont mentionnés à titre indicatif.</w:t>
      </w:r>
    </w:p>
    <w:p>
      <w:pPr>
        <w:rPr>
          <w:noProof/>
        </w:rPr>
      </w:pPr>
      <w:r>
        <w:rPr>
          <w:noProof/>
        </w:rPr>
        <w:br w:type="page"/>
        <w:t>Aux fins du présent règlement, le tableau suivant met en correspondance les noms scientifiques et les noms communs utilisés: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1701"/>
        <w:gridCol w:w="3793"/>
      </w:tblGrid>
      <w:tr>
        <w:trPr>
          <w:cantSplit/>
          <w:tblHeader/>
        </w:trPr>
        <w:tc>
          <w:tcPr>
            <w:tcW w:w="436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Nom scientifique</w:t>
            </w:r>
          </w:p>
        </w:tc>
        <w:tc>
          <w:tcPr>
            <w:tcW w:w="170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Code alpha-3</w:t>
            </w:r>
          </w:p>
        </w:tc>
        <w:tc>
          <w:tcPr>
            <w:tcW w:w="3793"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Nom commun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Amblyraja</w:t>
            </w:r>
            <w:r>
              <w:rPr>
                <w:noProof/>
              </w:rPr>
              <w:t xml:space="preserve"> </w:t>
            </w:r>
            <w:r>
              <w:rPr>
                <w:i/>
                <w:iCs/>
                <w:noProof/>
              </w:rPr>
              <w:t>radiata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radiée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Ammodytes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Lançons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Argentina</w:t>
            </w:r>
            <w:r>
              <w:rPr>
                <w:noProof/>
              </w:rPr>
              <w:t xml:space="preserve"> </w:t>
            </w:r>
            <w:r>
              <w:rPr>
                <w:i/>
                <w:iCs/>
                <w:noProof/>
              </w:rPr>
              <w:t>silus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ARU</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Grande argentine</w:t>
            </w:r>
          </w:p>
        </w:tc>
      </w:tr>
      <w:tr>
        <w:trPr>
          <w:cantSplit/>
        </w:trPr>
        <w:tc>
          <w:tcPr>
            <w:tcW w:w="4361" w:type="dxa"/>
            <w:tcBorders>
              <w:top w:val="single" w:sz="4" w:space="0" w:color="auto"/>
              <w:left w:val="single" w:sz="4" w:space="0" w:color="auto"/>
              <w:bottom w:val="single" w:sz="4" w:space="0" w:color="auto"/>
              <w:right w:val="single" w:sz="4" w:space="0" w:color="auto"/>
            </w:tcBorders>
          </w:tcPr>
          <w:p>
            <w:pPr>
              <w:spacing w:before="60" w:after="60"/>
              <w:rPr>
                <w:noProof/>
              </w:rPr>
            </w:pPr>
            <w:r>
              <w:rPr>
                <w:i/>
                <w:iCs/>
                <w:noProof/>
              </w:rPr>
              <w:t>Beryx</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ALF</w:t>
            </w:r>
          </w:p>
        </w:tc>
        <w:tc>
          <w:tcPr>
            <w:tcW w:w="3793"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Béryx</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Brosme</w:t>
            </w:r>
            <w:r>
              <w:rPr>
                <w:noProof/>
              </w:rPr>
              <w:t xml:space="preserve"> </w:t>
            </w:r>
            <w:r>
              <w:rPr>
                <w:i/>
                <w:iCs/>
                <w:noProof/>
              </w:rPr>
              <w:t>brosme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USK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Brosme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Caproidae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Sangliers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Centrophorus</w:t>
            </w:r>
            <w:r>
              <w:rPr>
                <w:noProof/>
              </w:rPr>
              <w:t xml:space="preserve"> </w:t>
            </w:r>
            <w:r>
              <w:rPr>
                <w:i/>
                <w:iCs/>
                <w:noProof/>
              </w:rPr>
              <w:t>squamosus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GUQ</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Squale-chagrin de l’Atlantique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Centroscymnus</w:t>
            </w:r>
            <w:r>
              <w:rPr>
                <w:noProof/>
              </w:rPr>
              <w:t xml:space="preserve"> </w:t>
            </w:r>
            <w:r>
              <w:rPr>
                <w:i/>
                <w:iCs/>
                <w:noProof/>
              </w:rPr>
              <w:t>coelolepis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CYO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Pailona commun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Chaceon</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Crabes </w:t>
            </w:r>
            <w:r>
              <w:rPr>
                <w:i/>
                <w:iCs/>
                <w:noProof/>
              </w:rPr>
              <w:t>Chaceon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Chaenocephalus</w:t>
            </w:r>
            <w:r>
              <w:rPr>
                <w:noProof/>
              </w:rPr>
              <w:t xml:space="preserve"> </w:t>
            </w:r>
            <w:r>
              <w:rPr>
                <w:i/>
                <w:iCs/>
                <w:noProof/>
              </w:rPr>
              <w:t>aceratus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SSI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Grande-gueule antarctique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Champsocephalus</w:t>
            </w:r>
            <w:r>
              <w:rPr>
                <w:noProof/>
              </w:rPr>
              <w:t xml:space="preserve"> </w:t>
            </w:r>
            <w:r>
              <w:rPr>
                <w:i/>
                <w:iCs/>
                <w:noProof/>
              </w:rPr>
              <w:t>gunnari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Poisson des glaces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Channichthys</w:t>
            </w:r>
            <w:r>
              <w:rPr>
                <w:noProof/>
              </w:rPr>
              <w:t xml:space="preserve"> </w:t>
            </w:r>
            <w:r>
              <w:rPr>
                <w:i/>
                <w:iCs/>
                <w:noProof/>
              </w:rPr>
              <w:t>rhinoceratus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Grande-gueule à long nez</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Chionoecetes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PCR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Crabes des neiges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Clupea</w:t>
            </w:r>
            <w:r>
              <w:rPr>
                <w:noProof/>
              </w:rPr>
              <w:t xml:space="preserve"> </w:t>
            </w:r>
            <w:r>
              <w:rPr>
                <w:i/>
                <w:iCs/>
                <w:noProof/>
              </w:rPr>
              <w:t>harengus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Hareng commun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Coryphaenoides</w:t>
            </w:r>
            <w:r>
              <w:rPr>
                <w:noProof/>
              </w:rPr>
              <w:t xml:space="preserve"> </w:t>
            </w:r>
            <w:r>
              <w:rPr>
                <w:i/>
                <w:iCs/>
                <w:noProof/>
              </w:rPr>
              <w:t>rupestris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RNG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Grenadier de roche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Dalatias</w:t>
            </w:r>
            <w:r>
              <w:rPr>
                <w:noProof/>
              </w:rPr>
              <w:t xml:space="preserve"> </w:t>
            </w:r>
            <w:r>
              <w:rPr>
                <w:i/>
                <w:iCs/>
                <w:noProof/>
              </w:rPr>
              <w:t>licha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SCK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Squale liche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Deania</w:t>
            </w:r>
            <w:r>
              <w:rPr>
                <w:noProof/>
              </w:rPr>
              <w:t xml:space="preserve"> </w:t>
            </w:r>
            <w:r>
              <w:rPr>
                <w:i/>
                <w:iCs/>
                <w:noProof/>
              </w:rPr>
              <w:t>calcea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DCA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Squale savate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Dicentrarchus</w:t>
            </w:r>
            <w:r>
              <w:rPr>
                <w:noProof/>
              </w:rPr>
              <w:t xml:space="preserve"> </w:t>
            </w:r>
            <w:r>
              <w:rPr>
                <w:i/>
                <w:iCs/>
                <w:noProof/>
              </w:rPr>
              <w:t>labrax</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BSS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Bar européen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i/>
                <w:iCs/>
                <w:noProof/>
              </w:rPr>
              <w:t>Dipturus batis</w:t>
            </w:r>
            <w:r>
              <w:rPr>
                <w:noProof/>
              </w:rPr>
              <w:t xml:space="preserve"> (</w:t>
            </w:r>
            <w:r>
              <w:rPr>
                <w:i/>
                <w:iCs/>
                <w:noProof/>
              </w:rPr>
              <w:t>Dipturus</w:t>
            </w:r>
            <w:r>
              <w:rPr>
                <w:noProof/>
              </w:rPr>
              <w:t xml:space="preserve"> cf. </w:t>
            </w:r>
            <w:r>
              <w:rPr>
                <w:i/>
                <w:iCs/>
                <w:noProof/>
              </w:rPr>
              <w:t>flossada</w:t>
            </w:r>
            <w:r>
              <w:rPr>
                <w:noProof/>
              </w:rPr>
              <w:t xml:space="preserve"> et </w:t>
            </w:r>
            <w:r>
              <w:rPr>
                <w:i/>
                <w:iCs/>
                <w:noProof/>
              </w:rPr>
              <w:t>Dipturus</w:t>
            </w:r>
            <w:r>
              <w:rPr>
                <w:noProof/>
              </w:rPr>
              <w:t xml:space="preserve"> cf. </w:t>
            </w:r>
            <w:r>
              <w:rPr>
                <w:i/>
                <w:iCs/>
                <w:noProof/>
              </w:rPr>
              <w:t>intermedia</w:t>
            </w:r>
            <w:r>
              <w:rPr>
                <w:noProof/>
              </w:rPr>
              <w: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Complexe d’espèces de pocheteau gris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Dissostichus</w:t>
            </w:r>
            <w:r>
              <w:rPr>
                <w:noProof/>
              </w:rPr>
              <w:t xml:space="preserve"> </w:t>
            </w:r>
            <w:r>
              <w:rPr>
                <w:i/>
                <w:iCs/>
                <w:noProof/>
              </w:rPr>
              <w:t>eleginoides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Légine australe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Dissostichus</w:t>
            </w:r>
            <w:r>
              <w:rPr>
                <w:noProof/>
              </w:rPr>
              <w:t xml:space="preserve"> </w:t>
            </w:r>
            <w:r>
              <w:rPr>
                <w:i/>
                <w:iCs/>
                <w:noProof/>
              </w:rPr>
              <w:t>mawsoni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Légine antarctique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Dissostichus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Légines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Engraulis</w:t>
            </w:r>
            <w:r>
              <w:rPr>
                <w:noProof/>
              </w:rPr>
              <w:t xml:space="preserve"> </w:t>
            </w:r>
            <w:r>
              <w:rPr>
                <w:i/>
                <w:iCs/>
                <w:noProof/>
              </w:rPr>
              <w:t>encrasicolus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Anchois commun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Etmopterus</w:t>
            </w:r>
            <w:r>
              <w:rPr>
                <w:noProof/>
              </w:rPr>
              <w:t xml:space="preserve"> </w:t>
            </w:r>
            <w:r>
              <w:rPr>
                <w:i/>
                <w:iCs/>
                <w:noProof/>
              </w:rPr>
              <w:t>princeps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ETR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Sagre rude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Etmopterus</w:t>
            </w:r>
            <w:r>
              <w:rPr>
                <w:noProof/>
              </w:rPr>
              <w:t xml:space="preserve"> </w:t>
            </w:r>
            <w:r>
              <w:rPr>
                <w:i/>
                <w:iCs/>
                <w:noProof/>
              </w:rPr>
              <w:t>pusillus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ETP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Sagre nain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Euphausia superba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KRI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Krill antarctique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Gadus morhua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Cabillaud</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Galeorhinus galeus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GAG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Requin-hâ</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Glyptocephalus cynoglossus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WIT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Plie cynoglosse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Hippoglossoides platessoides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Plie canadienne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Hoplostethus atlanticus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ORY</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Hoplostète rouge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Illex illecebrosus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Encornet rouge nordique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Lamna nasus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Requin-taupe commun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Lepidorhombus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LEZ</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Cardines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Leucoraja naevus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fleurie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Limanda ferruginea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YEL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Limande à queue jaune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Lophiidae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Baudroies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i/>
                <w:iCs/>
                <w:noProof/>
              </w:rPr>
              <w:t>Macrourus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GRV</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Grenadiers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Makaira nigricans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BUM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Makaire bleu</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Mallotus villosus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CAP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Capelan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Manta birostris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RMB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Mante géante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Martialia hyadesi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Encornet étoile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Melanogrammus aeglefinus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Églefin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Merlangius merlangus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Merlan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Merluccius merluccius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HKE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Merlu commun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Micromesistius poutassou</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Merlan bleu</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Microstomus kitt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LEM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Limande-sole commune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Molva dypterygia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BLI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Lingue bleue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Molva molva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Lingue franche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Nephrops norvegicus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NEP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Langoustine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noProof/>
              </w:rPr>
              <w:t>Notothenia gibberifrons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Bocasse bossue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Notothenia rossii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Bocasse marbrée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noProof/>
              </w:rPr>
              <w:t>Notothenia squamifrons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Bocasse grise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Pandalus borealis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PRA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Crevette nordique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Paralomis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PAI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Crabes </w:t>
            </w:r>
            <w:r>
              <w:rPr>
                <w:i/>
                <w:iCs/>
                <w:noProof/>
              </w:rPr>
              <w:t>Paralomis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Penaeus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PEN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Crevettes </w:t>
            </w:r>
            <w:r>
              <w:rPr>
                <w:i/>
                <w:iCs/>
                <w:noProof/>
              </w:rPr>
              <w:t>Penaeus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i/>
                <w:iCs/>
                <w:noProof/>
              </w:rPr>
            </w:pPr>
            <w:r>
              <w:rPr>
                <w:i/>
                <w:iCs/>
                <w:noProof/>
              </w:rPr>
              <w:t>Pleuronectes platessa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Plie commune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Pleuronectiformes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FLX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Poissons plats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Pollachius pollachius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Lieu jaune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Pollachius virens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Lieu noir</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Psetta maxima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TUR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Turbot</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Pseudochaenichthys georgianus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SGI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Crocodile de Géorgie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Pseudopentaceros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EDW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Têtes casquées pélagiques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Raja</w:t>
            </w:r>
            <w:r>
              <w:rPr>
                <w:noProof/>
              </w:rPr>
              <w:t xml:space="preserve"> </w:t>
            </w:r>
            <w:r>
              <w:rPr>
                <w:i/>
                <w:iCs/>
                <w:noProof/>
              </w:rPr>
              <w:t>alba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Raie blanche </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brachyura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RJH</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lisse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 xml:space="preserve">Raja circularis </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circulaire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clavata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bouclée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 xml:space="preserve">Raja fullonica </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chardon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 xml:space="preserve">Raja </w:t>
            </w:r>
            <w:r>
              <w:rPr>
                <w:noProof/>
              </w:rPr>
              <w:t>(</w:t>
            </w:r>
            <w:r>
              <w:rPr>
                <w:i/>
                <w:iCs/>
                <w:noProof/>
              </w:rPr>
              <w:t>Dipturus</w:t>
            </w:r>
            <w:r>
              <w:rPr>
                <w:noProof/>
              </w:rPr>
              <w:t>)</w:t>
            </w:r>
            <w:r>
              <w:rPr>
                <w:i/>
                <w:iCs/>
                <w:noProof/>
              </w:rPr>
              <w:t xml:space="preserve"> nidarosiensis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JAD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Pocheteau de Norvège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microocellata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mêlée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montagui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douce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undulata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RJU</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brunette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Rajiformes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SRX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Reinhardtius hippoglossoides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GHL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Flétan noir commun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Sardina pilchardus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PIL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Sardine commune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Scomber scombrus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Maquereau commun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Scophthalmus rhombus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BLL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Barbue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i/>
                <w:iCs/>
                <w:noProof/>
              </w:rPr>
              <w:t>Sebastes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RED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Sébastes de l’Atlantique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Solea</w:t>
            </w:r>
            <w:r>
              <w:rPr>
                <w:noProof/>
              </w:rPr>
              <w:t xml:space="preserve"> </w:t>
            </w:r>
            <w:r>
              <w:rPr>
                <w:i/>
                <w:iCs/>
                <w:noProof/>
              </w:rPr>
              <w:t>solea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Sole commune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Solea</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Soles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Sprattus sprattus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SPR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Sprat</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Squalus acanthias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DGS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Aiguillat commun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Tetrapturus albidus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Makaire blanc</w:t>
            </w:r>
          </w:p>
        </w:tc>
      </w:tr>
      <w:tr>
        <w:trPr>
          <w:cantSplit/>
        </w:trPr>
        <w:tc>
          <w:tcPr>
            <w:tcW w:w="4361" w:type="dxa"/>
            <w:tcBorders>
              <w:top w:val="single" w:sz="4" w:space="0" w:color="auto"/>
              <w:left w:val="single" w:sz="4" w:space="0" w:color="auto"/>
              <w:bottom w:val="single" w:sz="4" w:space="0" w:color="auto"/>
              <w:right w:val="single" w:sz="4" w:space="0" w:color="auto"/>
            </w:tcBorders>
          </w:tcPr>
          <w:p>
            <w:pPr>
              <w:spacing w:before="60" w:after="60"/>
              <w:rPr>
                <w:i/>
                <w:iCs/>
                <w:noProof/>
              </w:rPr>
            </w:pPr>
            <w:r>
              <w:rPr>
                <w:i/>
                <w:iCs/>
                <w:noProof/>
              </w:rPr>
              <w:t>Thunnus alalunga</w:t>
            </w:r>
          </w:p>
        </w:tc>
        <w:tc>
          <w:tcPr>
            <w:tcW w:w="1701"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ALB</w:t>
            </w:r>
          </w:p>
        </w:tc>
        <w:tc>
          <w:tcPr>
            <w:tcW w:w="3793"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Germon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maccoyii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SBF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Thon rouge du Sud</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obesus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BET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Thon obèse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thynnus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BFT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Thon rouge de l’Atlantique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Trachurus murphyi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Chinchard du Chili</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Trachurus</w:t>
            </w:r>
            <w:r>
              <w:rPr>
                <w:noProof/>
              </w:rPr>
              <w:t>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JAX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Chinchards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Trisopterus esmarkii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Tacaud norvégien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Urophycis tenuis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HKW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Merluche blanche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Xiphias gladius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SWO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Espadon</w:t>
            </w:r>
          </w:p>
        </w:tc>
      </w:tr>
    </w:tbl>
    <w:p>
      <w:pPr>
        <w:rPr>
          <w:noProof/>
        </w:rPr>
      </w:pPr>
    </w:p>
    <w:p>
      <w:pPr>
        <w:rPr>
          <w:noProof/>
        </w:rPr>
      </w:pPr>
      <w:r>
        <w:rPr>
          <w:noProof/>
        </w:rPr>
        <w:br w:type="page"/>
        <w:t>À titre purement explicatif, le tableau suivant met en correspondance les noms communs et les noms scientifiques: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1701"/>
        <w:gridCol w:w="3793"/>
      </w:tblGrid>
      <w:tr>
        <w:trPr>
          <w:tblHeader/>
        </w:trPr>
        <w:tc>
          <w:tcPr>
            <w:tcW w:w="436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Nom commun</w:t>
            </w:r>
          </w:p>
        </w:tc>
        <w:tc>
          <w:tcPr>
            <w:tcW w:w="170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Code alpha-3</w:t>
            </w:r>
          </w:p>
        </w:tc>
        <w:tc>
          <w:tcPr>
            <w:tcW w:w="3793"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Nom scientifique</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Aiguillat commun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DGS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Squalus acanthias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Anchois commun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Engraulis encrasicolus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Bar européen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BSS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Dicentrarchus labrax</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Barbue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BLL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Scophthalmus rhombus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Baudroies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Lophiidae</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Béryx</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ALF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Beryx</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Bocasse bossue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Notothenia gibberifrons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Bocasse grise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Notothenia squamifrons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Bocasse marbrée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Notothenia</w:t>
            </w:r>
            <w:r>
              <w:rPr>
                <w:noProof/>
              </w:rPr>
              <w:t xml:space="preserve"> </w:t>
            </w:r>
            <w:r>
              <w:rPr>
                <w:i/>
                <w:iCs/>
                <w:noProof/>
              </w:rPr>
              <w:t>rossii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Brosme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USK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Brosme brosme</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Cabillaud</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Gadus morhua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Capelan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CAP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Mallotus villosus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Cardines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LEZ</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Lepidorhombus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Chinchard du Chili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Trachurus murphyi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Chinchards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JAX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Trachurus</w:t>
            </w:r>
            <w:r>
              <w:rPr>
                <w:noProof/>
              </w:rPr>
              <w:t> spp.</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noProof/>
              </w:rPr>
              <w:t>Complexe d’espèces de pocheteau gris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Dipturus batis</w:t>
            </w:r>
            <w:r>
              <w:rPr>
                <w:noProof/>
              </w:rPr>
              <w:t xml:space="preserve"> (</w:t>
            </w:r>
            <w:r>
              <w:rPr>
                <w:i/>
                <w:iCs/>
                <w:noProof/>
              </w:rPr>
              <w:t>Dipturus</w:t>
            </w:r>
            <w:r>
              <w:rPr>
                <w:noProof/>
              </w:rPr>
              <w:t xml:space="preserve"> cf. </w:t>
            </w:r>
            <w:r>
              <w:rPr>
                <w:i/>
                <w:iCs/>
                <w:noProof/>
              </w:rPr>
              <w:t>flossada</w:t>
            </w:r>
            <w:r>
              <w:rPr>
                <w:noProof/>
              </w:rPr>
              <w:t xml:space="preserve"> et </w:t>
            </w:r>
            <w:r>
              <w:rPr>
                <w:i/>
                <w:iCs/>
                <w:noProof/>
              </w:rPr>
              <w:t>Dipturus</w:t>
            </w:r>
            <w:r>
              <w:rPr>
                <w:noProof/>
              </w:rPr>
              <w:t xml:space="preserve"> cf. </w:t>
            </w:r>
            <w:r>
              <w:rPr>
                <w:i/>
                <w:iCs/>
                <w:noProof/>
              </w:rPr>
              <w:t>intermedia</w:t>
            </w:r>
            <w:r>
              <w:rPr>
                <w:noProof/>
              </w:rPr>
              <w:t>)</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Crabes </w:t>
            </w:r>
            <w:r>
              <w:rPr>
                <w:i/>
                <w:iCs/>
                <w:noProof/>
              </w:rPr>
              <w:t>Chaceon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Chaceon</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Crabes des neiges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PCR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Chionoecetes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Crabes </w:t>
            </w:r>
            <w:r>
              <w:rPr>
                <w:i/>
                <w:iCs/>
                <w:noProof/>
              </w:rPr>
              <w:t>Paralomis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PAI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Paralomis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Crevette nordique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PRA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Pandalus borealis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Crevettes </w:t>
            </w:r>
            <w:r>
              <w:rPr>
                <w:i/>
                <w:iCs/>
                <w:noProof/>
              </w:rPr>
              <w:t>Penaeus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PEN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Penaeus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Crocodile de Géorgie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SGI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Pseudochaenichthys georgianus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Églefin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Melanogrammus aeglefinus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Encornet étoile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Martialia hyadesi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Encornet rouge nordique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Illex illecebrosus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Espadon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SWO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Xiphias gladius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Flétan noir commun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GHL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Reinhardtius hippoglossoides</w:t>
            </w:r>
          </w:p>
        </w:tc>
      </w:tr>
      <w:tr>
        <w:tc>
          <w:tcPr>
            <w:tcW w:w="4361"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Germon</w:t>
            </w:r>
          </w:p>
        </w:tc>
        <w:tc>
          <w:tcPr>
            <w:tcW w:w="1701"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ALB</w:t>
            </w:r>
          </w:p>
        </w:tc>
        <w:tc>
          <w:tcPr>
            <w:tcW w:w="3793" w:type="dxa"/>
            <w:tcBorders>
              <w:top w:val="single" w:sz="4" w:space="0" w:color="auto"/>
              <w:left w:val="single" w:sz="4" w:space="0" w:color="auto"/>
              <w:bottom w:val="single" w:sz="4" w:space="0" w:color="auto"/>
              <w:right w:val="single" w:sz="4" w:space="0" w:color="auto"/>
            </w:tcBorders>
          </w:tcPr>
          <w:p>
            <w:pPr>
              <w:spacing w:before="60" w:after="60"/>
              <w:rPr>
                <w:i/>
                <w:iCs/>
                <w:noProof/>
              </w:rPr>
            </w:pPr>
            <w:r>
              <w:rPr>
                <w:i/>
                <w:iCs/>
                <w:noProof/>
              </w:rPr>
              <w:t>Thunnus alalunga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Grande argentine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ARU</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Argentina silus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Grande-gueule à long nez</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Channichthys rhinoceratus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Grande-gueule antarctique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SSI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Chaenocephalus aceratus</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noProof/>
              </w:rPr>
              <w:t>Grenadier de roche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RNG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Coryphaenoides rupestris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Grenadiers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GRV</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Macrourus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Hareng commun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Clupea harengus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Hoplostète rouge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ORY</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Hoplostethus atlanticus</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noProof/>
              </w:rPr>
              <w:t>Krill antarctique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KRI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Euphausia superba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Lançons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Ammodytes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Langoustine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NEP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Nephrops norvegicus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Légine antarctique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Dissostichus mawsoni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Légine australe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Dissostichus eleginoides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Légines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Dissostichus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Lieu jaune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Pollachius pollachius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Lieu noir</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Pollachius virens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Limande à queue jaune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YEL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Limanda ferruginea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Limande-sole commune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LEM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Microstomus kitt</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Lingue bleue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BLI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Molva dypterygia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Lingue franche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Molva molva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Makaire blanc</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Tetrapturus albidus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Makaire bleu</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BUM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Makaira nigricans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Mante géante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RMB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Manta birostris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Maquereau commun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Scomber scombrus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Merlan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Merlangius merlangus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Merlan bleu</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Micromesistius poutassou</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Merlu commun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HKE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Merluccius merluccius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Merluche blanche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HKW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Urophycis tenuis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Pailona commun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CYO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Centroscymnus coelolepis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Plie canadienne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Hippoglossoides platessoides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Plie commune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Pleuronectes platessa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Plie cynoglosse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WIT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Glyptocephalus cynoglossus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Pocheteau de Norvège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JAD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 xml:space="preserve">Raja </w:t>
            </w:r>
            <w:r>
              <w:rPr>
                <w:noProof/>
              </w:rPr>
              <w:t>(</w:t>
            </w:r>
            <w:r>
              <w:rPr>
                <w:i/>
                <w:iCs/>
                <w:noProof/>
              </w:rPr>
              <w:t>Dipturus</w:t>
            </w:r>
            <w:r>
              <w:rPr>
                <w:noProof/>
              </w:rPr>
              <w:t>)</w:t>
            </w:r>
            <w:r>
              <w:rPr>
                <w:i/>
                <w:iCs/>
                <w:noProof/>
              </w:rPr>
              <w:t xml:space="preserve"> nidarosiensis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Poisson des glaces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Champsocephalus gunnari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Poissons plats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FLX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Pleuronectiformes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blanche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alba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bouclée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clavata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brunette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RJU</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undulata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chardon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fullonica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circulaire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circularis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douce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montagui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fleurie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Leucoraja naevus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lisse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RJH</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brachyura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mêlée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microocellata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 radiée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Amblyraja radiata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Raies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SRX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Rajiformes</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noProof/>
              </w:rPr>
              <w:t>Requin-hâ</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GAG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Galeorhinus galeus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Requin-taupe commun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Lamna nasus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Sagre nain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ETP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Etmopterus pusillus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Sagre rude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ETR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Etmopterus princeps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Sangliers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Caproidae</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Sardine commune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PIL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Sardina pilchardus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Sébastes de l’Atlantique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RED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Sebastes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Sole commune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Solea solea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Soles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Solea</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Sprat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SPR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Sprattus sprattus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Squale liche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SCK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Dalatias licha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Squale savate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DCA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Deania calcea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Squale-chagrin de l’Atlantique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GUQ</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Centrophorus squamosus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Tacaud norvégien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Trisopterus esmarkii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Têtes casquées pélagiques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EDW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Pseudopentaceros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Thon obèse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BET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obesus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Thon rouge de l’Atlantique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BFT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thynnus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Thon rouge du Sud</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SBF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maccoyii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Turbot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TUR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Psetta maxima</w:t>
            </w:r>
          </w:p>
        </w:tc>
      </w:tr>
    </w:tbl>
    <w:p>
      <w:pPr>
        <w:pStyle w:val="Lignefinal"/>
        <w:rPr>
          <w:noProof/>
          <w:szCs w:val="22"/>
        </w:rPr>
      </w:pPr>
    </w:p>
    <w:p>
      <w:pPr>
        <w:spacing w:before="0" w:after="0"/>
        <w:rPr>
          <w:b/>
          <w:noProof/>
          <w:u w:val="single"/>
        </w:rPr>
        <w:sectPr>
          <w:pgSz w:w="11907" w:h="16840"/>
          <w:pgMar w:top="1134" w:right="1134" w:bottom="1134" w:left="1134" w:header="567" w:footer="567" w:gutter="0"/>
          <w:pgNumType w:start="3"/>
          <w:cols w:space="720"/>
          <w:docGrid w:linePitch="326"/>
        </w:sectPr>
      </w:pPr>
    </w:p>
    <w:p>
      <w:pPr>
        <w:jc w:val="center"/>
        <w:rPr>
          <w:b/>
          <w:noProof/>
          <w:szCs w:val="24"/>
        </w:rPr>
      </w:pPr>
      <w:r>
        <w:rPr>
          <w:b/>
          <w:noProof/>
        </w:rPr>
        <w:t>ANNEXE IA</w:t>
      </w:r>
    </w:p>
    <w:p>
      <w:pPr>
        <w:pStyle w:val="NormalCentered"/>
        <w:rPr>
          <w:noProof/>
        </w:rPr>
      </w:pPr>
      <w:r>
        <w:rPr>
          <w:noProof/>
        </w:rPr>
        <w:t>SKAGERRAK, KATTEGAT, SOUS-ZONES CIEM 1, 2, 3, 4, 5, 6, 7, 8, 9, 10, 12 ET 14, EAUX DE L’UNION DE LA ZONE COPACE ET EAUX DE LA GUYANE</w:t>
      </w:r>
    </w:p>
    <w:tbl>
      <w:tblPr>
        <w:tblW w:w="10241" w:type="dxa"/>
        <w:tblInd w:w="108" w:type="dxa"/>
        <w:tblLook w:val="04A0" w:firstRow="1" w:lastRow="0" w:firstColumn="1" w:lastColumn="0" w:noHBand="0" w:noVBand="1"/>
      </w:tblPr>
      <w:tblGrid>
        <w:gridCol w:w="1426"/>
        <w:gridCol w:w="1436"/>
        <w:gridCol w:w="1283"/>
        <w:gridCol w:w="1134"/>
        <w:gridCol w:w="1276"/>
        <w:gridCol w:w="1137"/>
        <w:gridCol w:w="1273"/>
        <w:gridCol w:w="1276"/>
      </w:tblGrid>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Lançons et prises accessoires associées</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3a et 4 (1)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 xml:space="preserve">Ammodytes </w:t>
            </w:r>
            <w:r>
              <w:rPr>
                <w:iCs/>
                <w:noProof/>
                <w:sz w:val="18"/>
                <w:szCs w:val="18"/>
              </w:rPr>
              <w:t>spp.</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0</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sz w:val="20"/>
                <w:szCs w:val="20"/>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rPr>
            </w:pPr>
            <w:r>
              <w:rPr>
                <w:noProof/>
                <w:sz w:val="20"/>
                <w:szCs w:val="20"/>
              </w:rPr>
              <w:t>0</w:t>
            </w:r>
          </w:p>
        </w:tc>
        <w:tc>
          <w:tcPr>
            <w:tcW w:w="1134" w:type="dxa"/>
            <w:tcBorders>
              <w:top w:val="nil"/>
              <w:left w:val="nil"/>
              <w:bottom w:val="nil"/>
              <w:right w:val="nil"/>
            </w:tcBorders>
            <w:shd w:val="clear" w:color="auto" w:fill="auto"/>
            <w:noWrap/>
            <w:hideMark/>
          </w:tcPr>
          <w:p>
            <w:pPr>
              <w:spacing w:after="0"/>
              <w:jc w:val="left"/>
              <w:rPr>
                <w:rFonts w:eastAsia="Times New Roman"/>
                <w:noProof/>
                <w:sz w:val="20"/>
                <w:szCs w:val="20"/>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0</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À l’exclusion des eaux situées à moins de six milles marins des lignes de base du Royaume-Uni aux Shetland, à Fair Isle et à Foula.</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Jusqu’à 2 % du quota peuvent être constitués de prises accessoires de merlan et de maquereau commun (OT1/*2A3A4X). Les prises accessoires de merlan et de maquereau commun imputées sur le quota conformément à la présente disposition et les prises accessoires d’espèces imputées sur le quota conformément à l’article 15, paragraphe 8, du règlement (UE) nº 1380/2013 ne dépassent pas, au total, 9 % du quota.</w:t>
            </w: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Condition particulière: dans le cadre des quotas susmentionnés, les captures sont limitées, dans les zones de gestion du lançon spécifiées à l’annexe III, aux quantités portées ci-dessous: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6266" w:type="dxa"/>
            <w:gridSpan w:val="5"/>
            <w:tcBorders>
              <w:top w:val="nil"/>
              <w:left w:val="nil"/>
              <w:bottom w:val="nil"/>
              <w:right w:val="nil"/>
            </w:tcBorders>
            <w:shd w:val="clear" w:color="auto" w:fill="auto"/>
            <w:noWrap/>
            <w:hideMark/>
          </w:tcPr>
          <w:p>
            <w:pPr>
              <w:spacing w:after="0"/>
              <w:rPr>
                <w:rFonts w:eastAsia="Times New Roman"/>
                <w:b/>
                <w:bCs/>
                <w:noProof/>
                <w:sz w:val="18"/>
                <w:szCs w:val="18"/>
              </w:rPr>
            </w:pPr>
            <w:r>
              <w:rPr>
                <w:b/>
                <w:bCs/>
                <w:noProof/>
                <w:sz w:val="18"/>
                <w:szCs w:val="18"/>
              </w:rPr>
              <w:t>Zone: Eaux de l’Union correspondant aux zones de gestion du lançon</w:t>
            </w:r>
          </w:p>
        </w:tc>
        <w:tc>
          <w:tcPr>
            <w:tcW w:w="1273" w:type="dxa"/>
            <w:tcBorders>
              <w:top w:val="nil"/>
              <w:left w:val="nil"/>
              <w:bottom w:val="nil"/>
              <w:right w:val="nil"/>
            </w:tcBorders>
            <w:shd w:val="clear" w:color="auto" w:fill="auto"/>
            <w:noWrap/>
            <w:hideMark/>
          </w:tcPr>
          <w:p>
            <w:pPr>
              <w:spacing w:after="0"/>
              <w:rPr>
                <w:rFonts w:eastAsia="Times New Roman"/>
                <w:b/>
                <w:bCs/>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4" w:space="0" w:color="auto"/>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 xml:space="preserve"> </w:t>
            </w:r>
          </w:p>
        </w:tc>
        <w:tc>
          <w:tcPr>
            <w:tcW w:w="1436"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sz w:val="14"/>
                <w:szCs w:val="14"/>
              </w:rPr>
            </w:pPr>
            <w:r>
              <w:rPr>
                <w:b/>
                <w:bCs/>
                <w:noProof/>
                <w:sz w:val="14"/>
                <w:szCs w:val="14"/>
              </w:rPr>
              <w:t>1r</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2r</w:t>
            </w:r>
          </w:p>
        </w:tc>
        <w:tc>
          <w:tcPr>
            <w:tcW w:w="1134"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3r</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4</w:t>
            </w:r>
          </w:p>
        </w:tc>
        <w:tc>
          <w:tcPr>
            <w:tcW w:w="1137"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5r</w:t>
            </w:r>
          </w:p>
        </w:tc>
        <w:tc>
          <w:tcPr>
            <w:tcW w:w="1273"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6</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7r</w:t>
            </w:r>
          </w:p>
        </w:tc>
      </w:tr>
      <w:tr>
        <w:trPr>
          <w:trHeight w:val="540"/>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rPr>
            </w:pPr>
            <w:r>
              <w:rPr>
                <w:noProof/>
                <w:color w:val="000000"/>
                <w:sz w:val="14"/>
                <w:szCs w:val="14"/>
              </w:rPr>
              <w:t xml:space="preserve"> </w:t>
            </w:r>
          </w:p>
        </w:tc>
        <w:tc>
          <w:tcPr>
            <w:tcW w:w="1436"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sz w:val="14"/>
                <w:szCs w:val="14"/>
              </w:rPr>
            </w:pPr>
            <w:r>
              <w:rPr>
                <w:noProof/>
                <w:sz w:val="14"/>
                <w:szCs w:val="14"/>
              </w:rPr>
              <w:t>(SAN/234_1R)</w:t>
            </w:r>
          </w:p>
        </w:tc>
        <w:tc>
          <w:tcPr>
            <w:tcW w:w="1283" w:type="dxa"/>
            <w:tcBorders>
              <w:top w:val="nil"/>
              <w:left w:val="nil"/>
              <w:bottom w:val="single" w:sz="4" w:space="0" w:color="auto"/>
              <w:right w:val="single" w:sz="4" w:space="0" w:color="auto"/>
            </w:tcBorders>
            <w:shd w:val="clear" w:color="auto" w:fill="auto"/>
            <w:hideMark/>
          </w:tcPr>
          <w:p>
            <w:pPr>
              <w:spacing w:after="0"/>
              <w:jc w:val="center"/>
              <w:rPr>
                <w:rFonts w:eastAsia="Times New Roman"/>
                <w:noProof/>
                <w:color w:val="000000"/>
                <w:sz w:val="14"/>
                <w:szCs w:val="14"/>
              </w:rPr>
            </w:pPr>
            <w:r>
              <w:rPr>
                <w:noProof/>
                <w:color w:val="000000"/>
                <w:sz w:val="14"/>
                <w:szCs w:val="14"/>
              </w:rPr>
              <w:t>(SAN/234_2R)</w:t>
            </w:r>
          </w:p>
        </w:tc>
        <w:tc>
          <w:tcPr>
            <w:tcW w:w="1134" w:type="dxa"/>
            <w:tcBorders>
              <w:top w:val="nil"/>
              <w:left w:val="nil"/>
              <w:bottom w:val="single" w:sz="4" w:space="0" w:color="auto"/>
              <w:right w:val="single" w:sz="4" w:space="0" w:color="auto"/>
            </w:tcBorders>
            <w:shd w:val="clear" w:color="auto" w:fill="auto"/>
            <w:hideMark/>
          </w:tcPr>
          <w:p>
            <w:pPr>
              <w:spacing w:after="0"/>
              <w:jc w:val="center"/>
              <w:rPr>
                <w:rFonts w:eastAsia="Times New Roman"/>
                <w:noProof/>
                <w:color w:val="000000"/>
                <w:sz w:val="14"/>
                <w:szCs w:val="14"/>
              </w:rPr>
            </w:pPr>
            <w:r>
              <w:rPr>
                <w:noProof/>
                <w:color w:val="000000"/>
                <w:sz w:val="14"/>
                <w:szCs w:val="14"/>
              </w:rPr>
              <w:t xml:space="preserve"> (SAN/234_3R)</w:t>
            </w:r>
          </w:p>
        </w:tc>
        <w:tc>
          <w:tcPr>
            <w:tcW w:w="1276"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rPr>
            </w:pPr>
            <w:r>
              <w:rPr>
                <w:noProof/>
                <w:color w:val="000000"/>
                <w:sz w:val="14"/>
                <w:szCs w:val="14"/>
              </w:rPr>
              <w:t xml:space="preserve">(SAN/234_4) </w:t>
            </w:r>
          </w:p>
        </w:tc>
        <w:tc>
          <w:tcPr>
            <w:tcW w:w="1137"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rPr>
            </w:pPr>
            <w:r>
              <w:rPr>
                <w:noProof/>
                <w:color w:val="000000"/>
                <w:sz w:val="14"/>
                <w:szCs w:val="14"/>
              </w:rPr>
              <w:t xml:space="preserve">(SAN/234_5R) </w:t>
            </w:r>
          </w:p>
        </w:tc>
        <w:tc>
          <w:tcPr>
            <w:tcW w:w="1273"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rPr>
            </w:pPr>
            <w:r>
              <w:rPr>
                <w:noProof/>
                <w:color w:val="000000"/>
                <w:sz w:val="14"/>
                <w:szCs w:val="14"/>
              </w:rPr>
              <w:t xml:space="preserve">(SAN/234_6) </w:t>
            </w:r>
          </w:p>
        </w:tc>
        <w:tc>
          <w:tcPr>
            <w:tcW w:w="1276"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rPr>
            </w:pPr>
            <w:r>
              <w:rPr>
                <w:noProof/>
                <w:color w:val="000000"/>
                <w:sz w:val="14"/>
                <w:szCs w:val="14"/>
              </w:rPr>
              <w:t>(SAN/234_7R)</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Danemark</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Allemagne</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Suède</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Union</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Royaume-Uni</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 xml:space="preserve"> </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Total</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Grande argentine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1 et 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Argentina silus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(ARU/1/2.)</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Grande argentine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3a et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Argentina silus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(ARU/3A4-C)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Grande argentine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5, 6 et 7</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Argentina silus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(ARU/567.)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Brosme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1, 2 et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(USK/1214EI)</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Autres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Exclusivement pour les prises accessoires. Aucune pêche ciblée n’est autorisée dans le cadre de ce quota. Les captures à imputer sur ce quota partagé sont déclarées séparément (USK/1214EI_AMS).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Brosme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 la zone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(USK/04-C.)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Autres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Exclusivement pour les prises accessoires. Aucune pêche ciblée n’est autorisée dans le cadre de ce quota. Les captures à imputer sur ce quota partagé sont déclarées séparément (USK/04-C_AMS).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Brosme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5, 6 et 7</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(USK/567EI.)</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Autres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(2)(3)(4)(5)</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Exclusivement pour les prises accessoires. Aucune pêche ciblée n’est autorisée dans le cadre de ce quota. Les captures à imputer sur ce quota partagé sont déclarées séparément (USK/567EI_AMS).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À pêcher dans les eaux de l’Union des zones 2a, 4, 5b, 6 et 7 (USK/*24X7C).</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dont des prises accessoires d’autres espèces, autorisées à hauteur de 25 % par navire, à tout moment, dans les zones 5b, 6 et 7. Ce pourcentage peut toutefois être dépassé dans les premières vingt-quatre heures suivant le début de la pêche sur un lieu donné. Le total des prises accessoires d’autres espèces dans les zones 5b, 6 et 7 ne peut excéder la quantité ci-dessous en tonnes (OTH/*5B67-). Les prises accessoires de cabillaud au titre de cette disposition dans la zone 6a ne peuvent pas être supérieures à 5 %.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Y compris la lingue franche. Les quotas suivants pour la Norvège ne peuvent être exploités que dans le cadre de la pêche à la palangre dans les zones 5b, 6 et 7:</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single" w:sz="4" w:space="0" w:color="auto"/>
              <w:left w:val="single" w:sz="4" w:space="0" w:color="auto"/>
              <w:bottom w:val="single" w:sz="4" w:space="0" w:color="auto"/>
              <w:right w:val="single" w:sz="4" w:space="0" w:color="auto"/>
            </w:tcBorders>
            <w:shd w:val="clear" w:color="auto" w:fill="auto"/>
            <w:noWrap/>
            <w:hideMark/>
          </w:tcPr>
          <w:p>
            <w:pPr>
              <w:spacing w:after="0"/>
              <w:rPr>
                <w:rFonts w:eastAsia="Times New Roman"/>
                <w:b/>
                <w:bCs/>
                <w:noProof/>
                <w:sz w:val="18"/>
                <w:szCs w:val="18"/>
              </w:rPr>
            </w:pPr>
            <w:r>
              <w:rPr>
                <w:b/>
                <w:bCs/>
                <w:noProof/>
                <w:sz w:val="18"/>
                <w:szCs w:val="18"/>
                <w:vertAlign w:val="superscript"/>
              </w:rPr>
              <w:t>Lingue franche (LIN/*5B67-)</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sz w:val="18"/>
                <w:szCs w:val="18"/>
              </w:rPr>
            </w:pPr>
            <w:r>
              <w:rPr>
                <w:b/>
                <w:bCs/>
                <w:noProof/>
                <w:sz w:val="18"/>
                <w:szCs w:val="18"/>
                <w:vertAlign w:val="superscript"/>
              </w:rPr>
              <w:t>Brosme (USK/*5B67-)</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(5)</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Les quotas de la Norvège pour le brosme et la lingue franche sont interchangeables jusqu’à concurrence de la quantité suivante, en tonnes: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Brosme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 la zone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(USK/04-N.)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Sangliers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6, 7 et 8</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Caproidae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(BOR/678-)</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Hareng commun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(HER/03A.)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Îles Féroé</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Captures de hareng commun effectuées dans des pêcheries utilisant des filets dont le maillage est supérieur ou égal à 32 mm.</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jusqu’à p.m. % de cette quantité peuvent être pêchés dans les eaux de l’Union de la zone 4 (HER/*04-C.).</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436" w:type="dxa"/>
            <w:tcBorders>
              <w:top w:val="nil"/>
              <w:left w:val="nil"/>
              <w:bottom w:val="nil"/>
              <w:right w:val="nil"/>
            </w:tcBorders>
            <w:shd w:val="clear" w:color="auto" w:fill="auto"/>
            <w:noWrap/>
            <w:vAlign w:val="bottom"/>
            <w:hideMark/>
          </w:tcPr>
          <w:p>
            <w:pPr>
              <w:spacing w:after="0"/>
              <w:rPr>
                <w:rFonts w:eastAsia="Times New Roman"/>
                <w:noProof/>
                <w:color w:val="000000"/>
                <w:sz w:val="18"/>
                <w:szCs w:val="18"/>
              </w:rPr>
            </w:pPr>
            <w:r>
              <w:rPr>
                <w:noProof/>
                <w:color w:val="000000"/>
                <w:sz w:val="18"/>
                <w:szCs w:val="18"/>
                <w:vertAlign w:val="superscript"/>
              </w:rPr>
              <w:t>Ne peut être pêché que dans le Skagerrak (HER/*03AN.).</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Hareng commun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norvégiennes de la zone 4 au nord de 53° 30′ N</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(HER/4AB.)</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Îles Féroé</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Norvège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Captures de hareng commun effectuées dans des pêcheries utilisant des filets dont le maillage est supérieur ou égal à 32 mm.</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Les captures relevant de ce quota sont à imputer sur la part norvégienne du TAC. Dans la limite de ce quota, les captures sont limitées à la quantité portée ci-dessous dans les eaux de l’Union des zones 4a et 4b (HER/*4AB-C). Une quantité supplémentaire maximale de 10 000 tonnes sera accordée si cette augmentation est demandée par la Norvège.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Condition particulière: dans les limites des quotas susmentionnés, les captures sont limitées aux quantités portées ci-dessous par l’Union dans les eaux norvégiennes au sud de 62° N. Une quantité supplémentaire maximale de 10 000 tonnes sera accordée si cette augmentation est demandée par l’Union européenne.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1680"/>
        </w:trPr>
        <w:tc>
          <w:tcPr>
            <w:tcW w:w="4145" w:type="dxa"/>
            <w:gridSpan w:val="3"/>
            <w:tcBorders>
              <w:top w:val="nil"/>
              <w:left w:val="nil"/>
              <w:bottom w:val="single" w:sz="4" w:space="0" w:color="auto"/>
              <w:right w:val="nil"/>
            </w:tcBorders>
            <w:shd w:val="clear" w:color="auto" w:fill="auto"/>
            <w:hideMark/>
          </w:tcPr>
          <w:p>
            <w:pPr>
              <w:spacing w:after="0"/>
              <w:rPr>
                <w:rFonts w:ascii="Calibri" w:eastAsia="Times New Roman" w:hAnsi="Calibri" w:cs="Calibri"/>
                <w:noProof/>
                <w:color w:val="000000"/>
                <w:sz w:val="18"/>
                <w:szCs w:val="18"/>
              </w:rPr>
            </w:pPr>
            <w:r>
              <w:rPr>
                <w:noProof/>
                <w:color w:val="000000"/>
                <w:sz w:val="18"/>
                <w:szCs w:val="18"/>
              </w:rPr>
              <w:t>Eaux norvégiennes au sud de 62° N (HER/*4N-S62)</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Hareng commun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au sud de 62° N</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Les prises accessoires de cabillaud, d’églefin, de lieu jaune, de merlan et de lieu noir doivent être imputées sur les quotas applicables à ces espèces.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Hareng commun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(HER/03A-BC)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Exclusivement pour les captures de hareng commun effectuées en tant que prises accessoires dans des pêcheries utilisant des filets dont le maillage est inférieur à 32 mm.</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Hareng commun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4, 7d et eaux de l’Union de la zone 2a</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(HER/2A47DX)</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sz w:val="18"/>
                <w:szCs w:val="18"/>
                <w:vertAlign w:val="superscript"/>
              </w:rPr>
              <w:t>Exclusivement pour les captures de hareng commun effectuées en tant que prises accessoires dans des pêcheries utilisant des filets dont le maillage est inférieur à 32 mm.</w:t>
            </w:r>
            <w:r>
              <w:rPr>
                <w:noProof/>
                <w:color w:val="000000"/>
                <w:sz w:val="18"/>
                <w:szCs w:val="18"/>
              </w:rPr>
              <w:t xml:space="preserve"> </w:t>
            </w:r>
          </w:p>
        </w:tc>
      </w:tr>
      <w:tr>
        <w:trPr>
          <w:trHeight w:val="270"/>
        </w:trPr>
        <w:tc>
          <w:tcPr>
            <w:tcW w:w="142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auto"/>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Hareng commun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4c, 7d (2)</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(HER/4CXB7D)</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Exclusivement pour les captures de hareng commun effectuées dans des pêcheries utilisant des filets dont le maillage est supérieur ou égal à 32 mm.</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Excepté le stock de Blackwater: il s’agit du stock de hareng commun de la région maritime située dans l’estuaire de la Tamise à l’intérieur d’une zone délimitée par une ligne de rhumb partant plein sud de Landguard Point (51° 56′ N, 1° 19.1′ E) jusqu’à la latitude 51° 33′ N et, de là, plein ouest jusqu’à un point situé sur la côte du Royaume-Uni.</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jusqu’à 50 % de ce quota peuvent être pêchés dans la zone 4b (HER/*04B.).</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Hareng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5b, 6b et 6aN (1)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(HER/5B6ANB)</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Il s’agit du stock de hareng commun de la partie de la zone CIEM 6a située à l’est du méridien de longitude 7° O et au nord du parallèle de latitude 55° N, ou à l’ouest du méridien de longitude 7° O et au nord du parallèle de latitude 56° N, à l’exclusion du Clyde. </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single" w:sz="8" w:space="0" w:color="auto"/>
              <w:right w:val="nil"/>
            </w:tcBorders>
            <w:shd w:val="clear" w:color="auto" w:fill="auto"/>
            <w:noWrap/>
            <w:vAlign w:val="bottom"/>
            <w:hideMark/>
          </w:tcPr>
          <w:p>
            <w:pPr>
              <w:spacing w:after="0"/>
              <w:rPr>
                <w:rFonts w:eastAsia="Times New Roman"/>
                <w:noProof/>
                <w:sz w:val="18"/>
                <w:szCs w:val="18"/>
              </w:rPr>
            </w:pPr>
            <w:r>
              <w:rPr>
                <w:noProof/>
                <w:sz w:val="18"/>
                <w:szCs w:val="18"/>
                <w:vertAlign w:val="superscript"/>
              </w:rPr>
              <w:t>Il est interdit de cibler du hareng commun dans la partie de la zone CIEM soumise à ce TAC et située entre 56° N et 57° 30′ N, à l’exception d’une bande de six milles nautiques mesurée à partir de la ligne de base de la mer territoriale du Royaume-Uni.</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Hareng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6aS (1), 7b, 7c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(HER/6AS7BC)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vertAlign w:val="superscript"/>
              </w:rPr>
              <w:t>Il s’agit du stock de hareng commun de la zone 6a au sud de 56° 00′ N et à l’ouest de 07° 00′ O.</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Hareng commun</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6 Clyde (1)</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(HER/06ACL.)</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Stock de Clyde:  il s’agit du stock de hareng commun de la zone maritime située au nord-est d’une ligne tracée entre:</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lang w:val="en-US"/>
              </w:rPr>
            </w:pPr>
            <w:r>
              <w:rPr>
                <w:noProof/>
                <w:sz w:val="18"/>
                <w:szCs w:val="18"/>
                <w:vertAlign w:val="superscript"/>
                <w:lang w:val="en-US"/>
              </w:rPr>
              <w:t xml:space="preserve">- Mull of Kintyre (55° 17.9' N, 05° 47.8' O); </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val="en-US"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val="en-US"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val="en-US"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val="en-US"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val="en-US"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un point situé à la position 55° 04′ N, 05°23′ O; et</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Corsewall Point (55° 00.5′ N, 05° 09.4′ O).</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Hareng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7a (1)</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(HER/07A/MM)</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Royaume-Uni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Cette zone est amputée du secteur délimité:</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au nord par la latitude 52° 30′ N,</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au sud par la latitude 52° 00′ N,</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à l’ouest par les côtes de l’Irlande,</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à l’est par les côtes du Royaume-Uni.</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Hareng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7e et 7f</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(HER/7EF.)</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Union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Hareng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7g (1), 7h (1), 7j (1) et 7k (1)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(HER/7G-K.)</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Union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Cette zone est augmentée du secteur délimité:</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au nord par la latitude 52° 30′ N,</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au sud par la latitude 52° 00′ N,</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à l’ouest par les côtes de l’Irlande,</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à l’est par les côtes du Royaume-Uni.</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Ce quota peut être attribué uniquement aux navires participant à la pêche sentinelle pour permettre la collecte de données de pêche pour ce stock selon l’évaluation du CIEM. Les États membres concernés communiquent le nom du ou des navires à la Commission avant d’autoriser les captures.</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Anchois commun</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8</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Engraulis encrasicolus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(ANE/08.)</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vAlign w:val="bottom"/>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Anchois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9 et 10; eaux de l’Union de la zone Copace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Engraulis encrasicolus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(ANE/9/3411)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Le quota peut être pêché uniquement du 1er juillet 2021 au 30 juin 2022. </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Cabillaud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Skagerrak</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(COD/03AN.)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Cabillaud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Kattegat</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(COD/03AS.)</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Exclusivement pour les prises accessoires. Aucune pêche ciblée n’est autorisée dans le cadre de ce quota.</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Cabillaud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4; eaux de l’Union de la zone 2a; partie de la zone 3a non comprise dans le Skagerrak ni dans le Kattegat</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(COD/2A3AX4)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Condition particulière: dont 5 %, au plus, peuvent être pêchés dans la zone 7d (COD/*07D.).</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Peut être pêché dans les eaux de l’Union. Les captures relevant de ce quota sont à imputer sur la part norvégienne du TAC.</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Condition particulière: dans le cadre des quotas susmentionnés, les captures sont limitées, dans la zone suivante, aux quantités portées ci-dessous: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5279" w:type="dxa"/>
            <w:gridSpan w:val="4"/>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 la zone 4 (COD/*04N-)</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Cabillaud</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au sud de 62° N</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(COD/4N-S62)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Les prises accessoires d’églefin, de lieu jaune, de merlan et de lieu noir sont imputées sur les quotas applicables à ces espèces.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Cabillaud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6b; eaux de l’Union et eaux internationales de la zone 5b à l’ouest de 12° 00′ O et des zones 12 et 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(COD/5W6-14)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Cabillaud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6a; eaux de l’Union et eaux internationales de la zone 5b à l’est de 12° 00′ O</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(COD/5BE6A)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Royaume-Uni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Exclusivement pour les prises accessoires de cabillaud dans les pêcheries ciblant d’autres espèces. Aucune pêche ciblée du cabillaud n’est autorisée dans le cadre de ce quota.</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Cabillaud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(COD/07A.)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Union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Exclusivement pour les prises accessoires. Aucune pêche ciblée n’est autorisée dans le cadre de ce quota.</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Cabillaud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7b, 7c, 7e-k, 8, 9 et 10; eaux de l’Union</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de la zone Copace 34.1.1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(COD/7XAD34)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vAlign w:val="bottom"/>
            <w:hideMark/>
          </w:tcPr>
          <w:p>
            <w:pPr>
              <w:spacing w:after="0"/>
              <w:rPr>
                <w:rFonts w:eastAsia="Times New Roman"/>
                <w:noProof/>
                <w:color w:val="000000"/>
                <w:sz w:val="18"/>
                <w:szCs w:val="18"/>
              </w:rPr>
            </w:pPr>
            <w:r>
              <w:rPr>
                <w:rFonts w:ascii="Cambria" w:hAnsi="Cambria"/>
                <w:noProof/>
                <w:sz w:val="20"/>
                <w:szCs w:val="20"/>
                <w:vertAlign w:val="superscript"/>
              </w:rPr>
              <w:t>Exclusivement pour les prises accessoires de cabillaud dans les pêcheries ciblant d’autres espèces. Aucune pêche ciblée du cabillaud n’est autorisée dans le cadre de ce quota.</w:t>
            </w:r>
            <w:r>
              <w:rPr>
                <w:noProof/>
                <w:color w:val="000000"/>
                <w:sz w:val="18"/>
                <w:szCs w:val="18"/>
              </w:rPr>
              <w:t xml:space="preserve"> </w:t>
            </w:r>
          </w:p>
        </w:tc>
      </w:tr>
      <w:tr>
        <w:trPr>
          <w:trHeight w:val="270"/>
        </w:trPr>
        <w:tc>
          <w:tcPr>
            <w:tcW w:w="142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auto"/>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Cabillaud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7d</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(COD/07D.)</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Union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Condition particulière: dont 5 %, au plus, peuvent être pêchés dans: zone 4; eaux de l’Union de la zone 2a; partie de la zone 3a non comprise dans le Skagerrak ni dans le Kattegat (COD/*2A3X4).</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Cardines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et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 xml:space="preserve">Lepidorhombus </w:t>
            </w:r>
            <w:r>
              <w:rPr>
                <w:iCs/>
                <w:noProof/>
                <w:sz w:val="18"/>
                <w:szCs w:val="18"/>
              </w:rPr>
              <w:t>spp.</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(LEZ/2AC4-C)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Cardines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 la zone 5b; zone 6;</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 xml:space="preserve">Lepidorhombus </w:t>
            </w:r>
            <w:r>
              <w:rPr>
                <w:iCs/>
                <w:noProof/>
                <w:sz w:val="18"/>
                <w:szCs w:val="18"/>
              </w:rPr>
              <w:t>spp.</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internationales des zones 12 et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(LEZ/56-14)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Royaume-Uni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Condition particulière: dont 5 %, au plus, peuvent être pêchés dans: eaux de l’Union des zones 2a et 4 (LEZ/*2AC4C).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right w:val="nil"/>
            </w:tcBorders>
            <w:shd w:val="clear" w:color="auto" w:fill="auto"/>
            <w:noWrap/>
            <w:hideMark/>
          </w:tcPr>
          <w:p>
            <w:pPr>
              <w:spacing w:after="0"/>
              <w:rPr>
                <w:rFonts w:eastAsia="Times New Roman"/>
                <w:noProof/>
                <w:sz w:val="18"/>
                <w:szCs w:val="18"/>
              </w:rPr>
            </w:pPr>
            <w:r>
              <w:rPr>
                <w:noProof/>
                <w:sz w:val="18"/>
                <w:szCs w:val="18"/>
              </w:rPr>
              <w:t>Cardines</w:t>
            </w: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sz w:val="18"/>
                <w:szCs w:val="18"/>
              </w:rPr>
              <w:t xml:space="preserve">Lepidorhombus </w:t>
            </w:r>
            <w:r>
              <w:rPr>
                <w:iCs/>
                <w:noProof/>
                <w:sz w:val="18"/>
                <w:szCs w:val="18"/>
              </w:rPr>
              <w:t>spp.</w:t>
            </w: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(LEZ/07.)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auto"/>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auto"/>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10 % de ce quota peuvent être utilisés dans les zones 8a, 8b, 8d et 8e (LEZ/*8ABDE) pour les prises accessoires dans les pêches ciblées de sole.</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35 % de ce quota peuvent être pêchés dans les zones 8a, 8b, 8d et 8e (LEZ/*8ABDE).</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Cardines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8a, 8b, 8d et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 xml:space="preserve">Lepidorhombus </w:t>
            </w:r>
            <w:r>
              <w:rPr>
                <w:iCs/>
                <w:noProof/>
                <w:sz w:val="18"/>
                <w:szCs w:val="18"/>
              </w:rPr>
              <w:t>spp.</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(LEZ/8ABDE.)</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Cardines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8c, 9 et 10; eaux de l’Union de la zone Copace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 xml:space="preserve">Lepidorhombus </w:t>
            </w:r>
            <w:r>
              <w:rPr>
                <w:iCs/>
                <w:noProof/>
                <w:sz w:val="18"/>
                <w:szCs w:val="18"/>
              </w:rPr>
              <w:t>spp.</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(LEZ/8C3411)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1 912</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96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64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2 072</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2 158</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Baudroies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et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Condition particulière: dont 10 %, au plus, peuvent être pêchés dans: zone 6; eaux de l’Union et eaux internationales de la zone 5b; eaux internationales des zones 12 et 14 (ANF/*56-14).</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Baudroies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 la zone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(ANF/04-N.)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Baudroies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6; eaux de l’Union et eaux internationales de la zone 5b; eaux internationales des zones 12 et 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Condition particulière: dont 5 %, au plus, peuvent être pêchés dans: eaux de l’Union des zones 2a et 4 (ANF/*2AC4C).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Baudroies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(ANF/07.)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dont 10 %, au plus, peuvent être pêchés dans les zones 8a, 8b, 8d et 8e (ANF/*8ABDE).</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Baudroies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8a, 8b, 8d et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(ANF/8ABDE.)</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Baudroies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8c, 9 et 10; eaux de l’Union de la zone Copace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2 934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3</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584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3 521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3 672</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Églefin</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sz w:val="18"/>
                <w:szCs w:val="18"/>
              </w:rPr>
            </w:pPr>
            <w:r>
              <w:rPr>
                <w:i/>
                <w:iCs/>
                <w:noProof/>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(HAD/03A.)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Églefin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4; eaux de l’Union de la zone 2a</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(HAD/2AC4.)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Suède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Condition particulière: dans le cadre des quotas susmentionnés, les captures sont limitées, dans les zones suivantes, aux quantités portées ci-dessous: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4145" w:type="dxa"/>
            <w:gridSpan w:val="3"/>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 la zone 4 (HAD/*04N-)</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Églefin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au sud de 62° N</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Les prises accessoires de cabillaud, de lieu jaune, de merlan et de lieu noir doivent être imputées sur les quotas applicables à ces espèces.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Églefin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6b, 12 et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(HAD/6B1214)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Églefin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5b et 6a</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(HAD/5BC6A.)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10 % maximum de ce quota peuvent être pêchés dans la zone 4  et les eaux de l’Union de la zone 2a (HAD/*2AC4.).</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Églefin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7b-k, 8, 9 et 10; eaux de l’Union de la zone Copace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(HAD/7X7A34)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Églefin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(HAD/07 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Merlan</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(WHG/03A.)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Merlan</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4; eaux de l’Union de la zone 2a</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(WHG/2AC4.)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Suède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Peut être pêché dans les eaux de l’Union. Les captures relevant de ce quota sont à imputer sur la part norvégienne du TAC.</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Condition particulière: dans le cadre des quotas susmentionnés, les captures sont limitées, dans les zones suivantes, aux quantités portées ci-dessous: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4145" w:type="dxa"/>
            <w:gridSpan w:val="3"/>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 la zone 4 (WHG/*04N-)</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Merlan</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6; eaux de l’Union et eaux internationales de la zone 5b; eaux internationales des zones 12 et 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Exclusivement pour les prises accessoires de merlan dans les pêcheries ciblant d’autres espèces. Aucune pêche ciblée du merlan n’est autorisée dans le cadre de ce quota.</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Merlan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(WHG/07 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Exclusivement pour les prises accessoires de merlan dans les pêcheries ciblant d’autres espèces. Aucune pêche ciblée du merlan n’est autorisée dans le cadre de ce quota.</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Merlan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7b, 7c, 7d, 7e, 7f, 7g, 7h, 7j et 7k</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(WHG/7X7A-C)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Union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Merlan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8</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(WHG/08.)</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Merlan et lieu jaune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au sud de 62° N</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 xml:space="preserve">Merlangius merlangus </w:t>
            </w:r>
            <w:r>
              <w:rPr>
                <w:iCs/>
                <w:noProof/>
                <w:sz w:val="18"/>
                <w:szCs w:val="18"/>
              </w:rPr>
              <w:t>et</w:t>
            </w:r>
          </w:p>
        </w:tc>
        <w:tc>
          <w:tcPr>
            <w:tcW w:w="1276" w:type="dxa"/>
            <w:tcBorders>
              <w:top w:val="nil"/>
              <w:left w:val="single" w:sz="8" w:space="0" w:color="000000"/>
              <w:bottom w:val="nil"/>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(W/P/4N-S62)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Les prises accessoires de cabillaud, d’églefin et de lieu noir doivent être imputées sur les quotas applicables à ces espèces.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Merlu commun</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3a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(HKE/03A.)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Des transferts de ce quota vers les eaux de l’Union des zones 2a et 4 peuvent être effectués. Toutefois, ces transferts sont notifiés préalablement à la Commission.</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Merlu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et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(HKE/2AC4-C)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Au maximum 10 % de ce quota peuvent être utilisés pour les prises accessoires dans la zone 3a (HKE/*03A.).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Merlu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6 et 7; eaux de l’Union et eaux internationales de la zone 5b;</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Merluccius merluccius</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internationales des zones 12 et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(HKE/571214)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Des transferts de ce quota vers les eaux de l’Union des zones 2a et 4 peuvent être effectués. Toutefois, ces transferts sont notifiés préalablement à la Commission.</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Condition particulière: dans le cadre des quotas susmentionnés, les captures sont limitées, dans les zones suivantes, aux quantités portées ci-dessous: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1200"/>
        </w:trPr>
        <w:tc>
          <w:tcPr>
            <w:tcW w:w="4145" w:type="dxa"/>
            <w:gridSpan w:val="3"/>
            <w:tcBorders>
              <w:top w:val="nil"/>
              <w:left w:val="nil"/>
              <w:bottom w:val="single" w:sz="4" w:space="0" w:color="auto"/>
              <w:right w:val="nil"/>
            </w:tcBorders>
            <w:shd w:val="clear" w:color="auto" w:fill="auto"/>
            <w:hideMark/>
          </w:tcPr>
          <w:p>
            <w:pPr>
              <w:spacing w:after="0"/>
              <w:rPr>
                <w:rFonts w:ascii="Calibri" w:eastAsia="Times New Roman" w:hAnsi="Calibri" w:cs="Calibri"/>
                <w:noProof/>
                <w:color w:val="000000"/>
                <w:sz w:val="18"/>
                <w:szCs w:val="18"/>
              </w:rPr>
            </w:pPr>
            <w:r>
              <w:rPr>
                <w:noProof/>
                <w:color w:val="000000"/>
                <w:sz w:val="18"/>
                <w:szCs w:val="18"/>
              </w:rPr>
              <w:t>Zones 8a, 8b, 8d et 8e (HKE/*8ABDE)</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Merlu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8a, 8b, 8d et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(HKE/8ABDE.)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Des transferts de ce quota vers la zone 4 et les eaux de l’Union de la zone 2a peuvent être effectués. Toutefois, ces transferts sont notifiés préalablement à la Commission.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Condition particulière: dans le cadre des quotas susmentionnés, les captures sont limitées, dans les zones suivantes, aux quantités portées ci-dessous: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6 et 7; eaux de l’Union et eaux internationales de la zone 5b; eaux internationales des zones 12 et 14 (HKE/*57-14)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Merlu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8c, 9 et 10; eaux de l’Union de la zone Copace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(HKE/8C3411)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4 889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469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2 281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7 639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7 825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Merlan bleu</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des zones 2 et 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(WHB/24-N.)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Merlan bleu</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Eaux de l’Union et eaux internationales des zones 1, 2, 3, 4, 5, 6, 7, 8a, 8b, 8d, 8e, 12 et 14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(WHB/1X14)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Îles Féroé</w:t>
            </w: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00"/>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dans la limite de la quantité d’accès totale de p.m. tonnes disponibles pour l’Union, les États membres peuvent pêcher jusqu’à concurrence du pourcentage suivant de leurs quotas dans les eaux des Îles Féroé (WHB/*05-F.): p.m.</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Des transferts de ce quota peuvent être effectués vers les zones 8c, 9 et 10 et les eaux de l’Union de la zone Copace 34.1.1. Toutefois, ces transferts sont notifiés préalablement à la Commission.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sur les quotas de l’Union dans les eaux de l’Union et les eaux internationales des zones 1, 2, 3, 4, 5, 6, 7, 8a, 8b, 8d, 8e, 12 et 14 (WHB/*NZJM1) et dans les zones 8c, 9 et 10; dans les eaux de l’Union de la zone Copace 34.1.1 (WHB/*NZJM2), la quantité mentionnée ci-après peut être pêchée dans la zone économique norvégienne ou dans la zone de pêche située autour de Jan Mayen: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Merlan bleu</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8c, 9 et 10; eaux de l’Union de la zone Copace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(WHB/8C3411)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sur les quotas de l’Union dans les eaux de l’Union et les eaux internationales des zones 1, 2, 3, 4, 5, 6, 7, 8a, 8b, 8d, 8e, 12 et 14 (WHB/*NZJM1) et dans les zones 8c, 9 et 10; dans les eaux de l’Union de la zone Copace 34.1.1 (WHB/*NZJM2), la quantité mentionnée ci-après peut être pêchée dans la zone économique norvégienne ou dans la zone de pêche située autour de Jan Mayen: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Merlan bleu</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 4a, 5, 6 au nord de 56° 30′ N et 7 à l’ouest de 12° O</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(WHB/24A567)</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Îles Féroé</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 (4)</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À imputer sur les limites de captures de la Norvège fixées dans le cadre de l’arrangement entre États côtiers.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les captures effectuées dans la zone 4a ne doivent pas dépasser la quantité suivante (WHB/*04A-C):</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Cette limitation des captures dans la zone 4a correspond au pourcentage suivant du quota d’accès de la Norvège:</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5129" w:type="dxa"/>
            <w:gridSpan w:val="4"/>
            <w:tcBorders>
              <w:top w:val="nil"/>
              <w:left w:val="nil"/>
              <w:bottom w:val="nil"/>
              <w:right w:val="nil"/>
            </w:tcBorders>
            <w:shd w:val="clear" w:color="auto" w:fill="auto"/>
            <w:noWrap/>
            <w:vAlign w:val="bottom"/>
            <w:hideMark/>
          </w:tcPr>
          <w:p>
            <w:pPr>
              <w:spacing w:after="0"/>
              <w:rPr>
                <w:rFonts w:eastAsia="Times New Roman"/>
                <w:noProof/>
                <w:color w:val="000000"/>
                <w:sz w:val="18"/>
                <w:szCs w:val="18"/>
              </w:rPr>
            </w:pPr>
            <w:r>
              <w:rPr>
                <w:noProof/>
                <w:color w:val="000000"/>
                <w:sz w:val="18"/>
                <w:szCs w:val="18"/>
                <w:vertAlign w:val="superscript"/>
              </w:rPr>
              <w:t>À imputer sur les limites de captures des Îles Féroé.</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(4)</w:t>
            </w:r>
          </w:p>
        </w:tc>
        <w:tc>
          <w:tcPr>
            <w:tcW w:w="8815" w:type="dxa"/>
            <w:gridSpan w:val="7"/>
            <w:tcBorders>
              <w:top w:val="nil"/>
              <w:left w:val="nil"/>
              <w:bottom w:val="nil"/>
              <w:right w:val="nil"/>
            </w:tcBorders>
            <w:shd w:val="clear" w:color="auto" w:fill="auto"/>
            <w:noWrap/>
            <w:vAlign w:val="bottom"/>
            <w:hideMark/>
          </w:tcPr>
          <w:p>
            <w:pPr>
              <w:spacing w:after="0"/>
              <w:rPr>
                <w:rFonts w:eastAsia="Times New Roman"/>
                <w:noProof/>
                <w:sz w:val="18"/>
                <w:szCs w:val="18"/>
              </w:rPr>
            </w:pPr>
            <w:r>
              <w:rPr>
                <w:noProof/>
                <w:sz w:val="18"/>
                <w:szCs w:val="18"/>
                <w:vertAlign w:val="superscript"/>
              </w:rPr>
              <w:t>Conditions particulières: ce quota peut également être pêché dans la zone 6b (WHB/*06B-C). Les captures effectuées dans la zone 4a ne doivent pas dépasser la quantité suivante (WHB/*04A-C):</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vAlign w:val="bottom"/>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Limande-sole commune et plie cynoglosse</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et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Microstomus kitt </w:t>
            </w:r>
            <w:r>
              <w:rPr>
                <w:iCs/>
                <w:noProof/>
                <w:sz w:val="18"/>
                <w:szCs w:val="18"/>
              </w:rPr>
              <w:t>et</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(L/W/2AC4-C)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Glyptocephalus cynoglossus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Lingue bleue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5b, 6 et 7</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(BLI/5B67-)</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Estonie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Lituanie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Pologne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Autres</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Îles Féroé</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sz w:val="20"/>
                <w:szCs w:val="20"/>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rPr>
            </w:pPr>
            <w:r>
              <w:rPr>
                <w:noProof/>
                <w:sz w:val="20"/>
                <w:szCs w:val="20"/>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Exclusivement pour les prises accessoires. Aucune pêche ciblée n’est autorisée dans le cadre de ce quota. Les captures à imputer sur ce quota partagé sont déclarées séparément (BLI/5B67_AMS).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À pêcher dans les eaux de l’Union des zones 2a, 4, 5b, 6 et 7 (BLI/*24X7C).</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Prises accessoires de grenadier de roche et de sabre noir à imputer dans le cadre de ce quota. À pêcher dans les eaux de l’Union de la zone 6a au nord de 56°30′ N et de la zone 6b. Cette disposition ne s’applique pas aux captures soumises à l’obligation de débarquement.</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Lingue bleue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internationales de la zone 12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(BLI/12INT-)</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Estonie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Lituanie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Autres</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Exclusivement pour les prises accessoires. Aucune pêche ciblée n’est autorisée dans le cadre de ce quota. Les captures à imputer sur ce quota partagé sont déclarées séparément (BLI/12INT_AMS).</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Lingue bleue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2 et 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(BLI/24-)</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Autres</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Exclusivement pour les prises accessoires. Aucune pêche ciblée n’est autorisée dans le cadre de ce quota. Les captures à imputer sur ce quota partagé sont déclarées séparément (BLI/24_AMS).</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Lingue bleue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 la zone 3a</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(BLI/03A-)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Lingue franche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1 et 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(LIN/1/2.)</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Autres</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Exclusivement pour les prises accessoires. Aucune pêche ciblée n’est autorisée dans le cadre de ce quota. Les captures à imputer sur ce quota partagé sont déclarées séparément (LIN/1/2_AMS).</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Lingue franche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 la zone 3a</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(LIN/03A-C.)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Lingue franche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 la zone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(LIN/04-C.)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Condition particulière: dont 25 % au plus, à concurrence de 75 tonnes, peuvent être pêchés dans les eaux de l’Union de la zone 3a (LIN/*03A-C).</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Lingue franche</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 la zone 5</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(LIN/05EI.)</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Lingue franche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6, 7, 8, 9, 10, 12 et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(LIN/6X14.)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Îles Féroé</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(5)(6)</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Condition particulière: dont 35 %, au plus, peuvent être pêchés dans: les eaux de l’Union de la zone 4 (LIN/*04-C.).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dont des prises accessoires d’autres espèces, autorisées à hauteur de 25 % par navire, à tout moment, dans les zones 5b, 6 et 7. Ce pourcentage peut toutefois être dépassé dans les premières vingt-quatre heures suivant le début de la pêche sur un lieu donné. Le total des prises accessoires d’autres espèces dans les zones 5b, 6 et 7 ne peut excéder la quantité ci-dessous en tonnes (OTH/*6X14.). Les prises accessoires de cabillaud au titre de cette disposition dans la zone 6a ne peuvent pas être supérieures à 5 %.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Y compris le brosme. Les quotas de la Norvège sont pêchés exclusivement à la palangre dans les zones 5b, 6 et 7 et s’élèvent à:</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pPr>
              <w:spacing w:after="0"/>
              <w:rPr>
                <w:rFonts w:eastAsia="Times New Roman"/>
                <w:noProof/>
                <w:sz w:val="18"/>
                <w:szCs w:val="18"/>
              </w:rPr>
            </w:pPr>
            <w:r>
              <w:rPr>
                <w:noProof/>
                <w:sz w:val="18"/>
                <w:szCs w:val="18"/>
                <w:vertAlign w:val="superscript"/>
              </w:rPr>
              <w:t>Lingue franche (LIN/*5B67-)</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single" w:sz="4" w:space="0" w:color="auto"/>
              <w:bottom w:val="single" w:sz="4" w:space="0" w:color="auto"/>
              <w:right w:val="single" w:sz="4" w:space="0" w:color="auto"/>
            </w:tcBorders>
            <w:shd w:val="clear" w:color="auto" w:fill="auto"/>
            <w:noWrap/>
            <w:vAlign w:val="center"/>
            <w:hideMark/>
          </w:tcPr>
          <w:p>
            <w:pPr>
              <w:spacing w:after="0"/>
              <w:rPr>
                <w:rFonts w:eastAsia="Times New Roman"/>
                <w:noProof/>
                <w:sz w:val="18"/>
                <w:szCs w:val="18"/>
              </w:rPr>
            </w:pPr>
            <w:r>
              <w:rPr>
                <w:noProof/>
                <w:sz w:val="18"/>
                <w:szCs w:val="18"/>
                <w:vertAlign w:val="superscript"/>
              </w:rPr>
              <w:t>Brosme (USK/*5B67-)</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(4)</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Les quotas de la Norvège pour la lingue franche et le brosme sont interchangeables jusqu’à concurrence de la quantité suivante, en tonnes: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(5)</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Y compris le brosme. À pêcher dans les zones 6b et 6a au nord de 56° 30′ N (LIN/*6BAN.).</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(6)</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dont des prises accessoires d’autres espèces, autorisées à hauteur de 20 % par navire, à tout moment, dans les zones 6a et 6b Ce pourcentage peut toutefois être dépassé dans les premières vingt-quatre heures suivant le début de la pêche sur un lieu donné. Le total des prises accessoires d’autres espèces dans les zones 6a et 6b ne peut excéder la quantité ci-après en tonnes (OTH/*6AB.):</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vertAlign w:val="superscript"/>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Lingue franche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 la zone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(LIN/04-N.)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Langoustine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(NEP/03A.)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Danemark </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0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Langoustine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et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4"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Langoustine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 la zone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(NEP/04-N.)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Langoustine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6; eaux de l’Union et eaux internationales de la zone 5b</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(NEP/5BC6.)</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Langoustine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(NEP/07.)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Condition particulière: dans le cadre des quotas susmentionnés, les captures sont limitées, dans la zone suivante, aux quantités portées ci-dessous: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5279" w:type="dxa"/>
            <w:gridSpan w:val="4"/>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Unité fonctionnelle 16 de la sous-zone CIEM 7 (NEP/*07U16):</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vertAlign w:val="superscript"/>
              </w:rPr>
            </w:pPr>
            <w:r>
              <w:rPr>
                <w:noProof/>
                <w:color w:val="000000"/>
                <w:sz w:val="18"/>
                <w:szCs w:val="18"/>
                <w:vertAlign w:val="superscript"/>
              </w:rPr>
              <w:t>Royaume-Uni</w:t>
            </w: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vertAlign w:val="superscript"/>
                <w:lang w:eastAsia="en-GB"/>
              </w:rPr>
            </w:pPr>
          </w:p>
        </w:tc>
        <w:tc>
          <w:tcPr>
            <w:tcW w:w="1283" w:type="dxa"/>
            <w:tcBorders>
              <w:top w:val="nil"/>
              <w:left w:val="nil"/>
              <w:bottom w:val="nil"/>
              <w:right w:val="nil"/>
            </w:tcBorders>
            <w:shd w:val="clear" w:color="auto" w:fill="auto"/>
            <w:noWrap/>
          </w:tcPr>
          <w:p>
            <w:pPr>
              <w:spacing w:after="0"/>
              <w:jc w:val="center"/>
              <w:rPr>
                <w:rFonts w:eastAsia="Times New Roman"/>
                <w:noProof/>
                <w:color w:val="000000"/>
                <w:sz w:val="18"/>
                <w:szCs w:val="18"/>
                <w:vertAlign w:val="superscript"/>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Langoustine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8a, 8b, 8d et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(NEP/8ABDE.)</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Langoustine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8c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(NEP/08C.)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0,0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0241" w:type="dxa"/>
            <w:gridSpan w:val="8"/>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Exclusivement pour les captures prélevées dans le cadre d’une pêche sentinelle afin de collecter des données relatives aux captures par unité d’effort (CPUE) avec des navires transportant à leur bord des observateurs: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1,7 tonne dans l’unité fonctionnelle 25 au cours de cinq sorties par mois en août et en septembre;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0,7 tonne dans l’unité fonctionnelle 31 pendant 7 jours en juillet.</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Langoustine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9 et 10; eaux de l’Union de la zone Copace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(NEP/9/3411)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Dont 6 % au maximum peuvent être prélevés dans les unités fonctionnelles 26 et 27 de la division CIEM 9a (NEP/*9U267).</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Dans le cadre du TAC mentionné ci-dessus, les captures sont limitées à la quantité suivante dans l’unité fonctionnelle 30 de la division CIEM 9a (NEP/*9U30):</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jc w:val="center"/>
              <w:rPr>
                <w:rFonts w:eastAsia="Times New Roman"/>
                <w:noProof/>
                <w:sz w:val="18"/>
                <w:szCs w:val="18"/>
              </w:rPr>
            </w:pPr>
            <w:r>
              <w:rPr>
                <w:noProof/>
                <w:sz w:val="18"/>
                <w:szCs w:val="18"/>
                <w:vertAlign w:val="superscript"/>
              </w:rPr>
              <w:t>p.m.</w:t>
            </w:r>
          </w:p>
        </w:tc>
        <w:tc>
          <w:tcPr>
            <w:tcW w:w="1283" w:type="dxa"/>
            <w:tcBorders>
              <w:top w:val="nil"/>
              <w:left w:val="nil"/>
              <w:bottom w:val="nil"/>
              <w:right w:val="nil"/>
            </w:tcBorders>
            <w:shd w:val="clear" w:color="auto" w:fill="auto"/>
            <w:noWrap/>
            <w:hideMark/>
          </w:tcPr>
          <w:p>
            <w:pPr>
              <w:spacing w:after="0"/>
              <w:jc w:val="center"/>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Crevette nordique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Pandalus borealis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(PRA/03 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Crevette nordique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et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Pandalus borealis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(PRA/2AC4-C)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Crevette nordique</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au sud de 62° N</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Pandalus borealis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(PRA/4N-S62)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Les prises accessoires de cabillaud, d’églefin, de lieu jaune, de merlan et de lieu noir doivent être imputées sur les quotas applicables à ces espèces.</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Crevettes </w:t>
            </w:r>
            <w:r>
              <w:rPr>
                <w:i/>
                <w:iCs/>
                <w:noProof/>
                <w:sz w:val="18"/>
                <w:szCs w:val="18"/>
              </w:rPr>
              <w:t>Penaeus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la Guyane</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 xml:space="preserve">Penaeus </w:t>
            </w:r>
            <w:r>
              <w:rPr>
                <w:iCs/>
                <w:noProof/>
                <w:sz w:val="18"/>
                <w:szCs w:val="18"/>
              </w:rPr>
              <w:t>spp.</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(PEN/FGU.)</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À fixer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À fixer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6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À fixer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La pêche des crevettes </w:t>
            </w:r>
            <w:r>
              <w:rPr>
                <w:i/>
                <w:iCs/>
                <w:noProof/>
                <w:sz w:val="18"/>
                <w:szCs w:val="18"/>
                <w:vertAlign w:val="superscript"/>
              </w:rPr>
              <w:t>Penaeus subtilis</w:t>
            </w:r>
            <w:r>
              <w:rPr>
                <w:noProof/>
                <w:sz w:val="18"/>
                <w:szCs w:val="18"/>
                <w:vertAlign w:val="superscript"/>
              </w:rPr>
              <w:t xml:space="preserve"> et </w:t>
            </w:r>
            <w:r>
              <w:rPr>
                <w:i/>
                <w:iCs/>
                <w:noProof/>
                <w:sz w:val="18"/>
                <w:szCs w:val="18"/>
                <w:vertAlign w:val="superscript"/>
              </w:rPr>
              <w:t>Penaeus brasiliensis</w:t>
            </w:r>
            <w:r>
              <w:rPr>
                <w:noProof/>
                <w:sz w:val="18"/>
                <w:szCs w:val="18"/>
                <w:vertAlign w:val="superscript"/>
              </w:rPr>
              <w:t xml:space="preserve"> est interdite dans les eaux dont la profondeur est inférieure à 30 mètres.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La quantité fixée est égale au quota de la France.</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Plie commune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Skagerrak</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(PLE/03AN.)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Plie commune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Kattegat</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(PLE/03AS.)</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311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3</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35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349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719</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Plie commune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4; eaux de l’Union de la zone 2a; partie de la zone 3a non comprise dans le Skagerrak ni dans le Kattegat</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(PLE/2A3AX4)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00"/>
        </w:trPr>
        <w:tc>
          <w:tcPr>
            <w:tcW w:w="1426" w:type="dxa"/>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(1)</w:t>
            </w:r>
          </w:p>
        </w:tc>
        <w:tc>
          <w:tcPr>
            <w:tcW w:w="6266" w:type="dxa"/>
            <w:gridSpan w:val="5"/>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Dont p.m. tonnes au plus peuvent être pêchées dans le Skagerrak (PLE/*03AN.).</w:t>
            </w:r>
          </w:p>
        </w:tc>
        <w:tc>
          <w:tcPr>
            <w:tcW w:w="1273" w:type="dxa"/>
            <w:tcBorders>
              <w:top w:val="nil"/>
              <w:left w:val="nil"/>
              <w:bottom w:val="nil"/>
              <w:right w:val="nil"/>
            </w:tcBorders>
            <w:shd w:val="clear" w:color="auto" w:fill="auto"/>
            <w:noWrap/>
            <w:hideMark/>
          </w:tcPr>
          <w:p>
            <w:pPr>
              <w:spacing w:after="0"/>
              <w:rPr>
                <w:rFonts w:ascii="Cambria" w:eastAsia="Times New Roman" w:hAnsi="Cambria" w:cs="Arial"/>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Condition particulière: dans le cadre des quotas susmentionnés, les captures sont limitées, dans la zone suivante, aux quantités portées ci-dessous: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4145"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 la zone 4 (PLE/*04N-)</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Plie commune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6; eaux de l’Union et eaux internationales de la zone 5b;</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internationales des zones 12 et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Plie commune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(PLE/07A.)</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Plie commune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7b et 7c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(PLE/7BC.)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19</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Plie commune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7d et 7e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(PLE/7DE.)</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single" w:sz="8" w:space="0" w:color="auto"/>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auto"/>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single" w:sz="8" w:space="0" w:color="auto"/>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Plie commune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7f et 7g</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(PLE/7FG.)</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Plie commune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7h, 7j et 7k</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(PLE/7HJK.)</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Exclusivement pour les prises accessoires de plie dans les pêcheries ciblant d’autres espèces. Aucune pêche ciblée de plie n’est autorisée dans le cadre de ce quota.</w:t>
            </w:r>
          </w:p>
        </w:tc>
      </w:tr>
      <w:tr>
        <w:trPr>
          <w:trHeight w:val="270"/>
        </w:trPr>
        <w:tc>
          <w:tcPr>
            <w:tcW w:w="1426" w:type="dxa"/>
            <w:tcBorders>
              <w:top w:val="nil"/>
              <w:left w:val="nil"/>
              <w:bottom w:val="nil"/>
              <w:right w:val="nil"/>
            </w:tcBorders>
            <w:shd w:val="clear" w:color="auto" w:fill="auto"/>
            <w:noWrap/>
            <w:hideMark/>
          </w:tcPr>
          <w:p>
            <w:pPr>
              <w:spacing w:after="0"/>
              <w:rPr>
                <w:rFonts w:ascii="Cambria" w:eastAsia="Times New Roman" w:hAnsi="Cambria" w:cs="Arial"/>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Plie commune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 9 et 10; eaux de l’Union de la zone Copace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(PLE/8/3411)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26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103</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26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155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155</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Lieu jaune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6; eaux de l’Union et eaux internationales de la zone 5b; eaux internationales des zones 12 et 14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(POL/56-14)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Lieu jaune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(POL/07.)</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Condition particulière: dont p.m. %, au plus, peuvent être pêchés dans les zones 8a, 8b, 8d et 8e (POL/*8ABDE).</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Lieu jaune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8a, 8b, 8d et 8e</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(POL/8ABDE.)</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176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861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1 037</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1 037</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Lieu jaune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8c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(POL/08C.)</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149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17</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166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166</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Lieu jaune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Zones 9 et 10; eaux de l’Union de la zone Copace 34.1.1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(POL/9/3411)</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196</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7</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203</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203</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dont 5 %, au plus, peuvent être pêchés dans les eaux de l’Union de la zone 8c (POL/*08C.).</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En plus de ce TAC, le Portugal peut pêcher des quantités de lieu jaune n’excédant pas 98 tonnes (POL/93411P).</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Lieu noir</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3a et 4; eaux de l’Union de la zone 2a</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(POK/2C3A4)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À prélever exclusivement dans les eaux de l’Union de la zone 4 et dans la zone 3a (POK/*3A4-C). Les captures relevant de ce quota sont à imputer sur la part norvégienne du TAC.</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Lieu noir</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6; eaux de l’Union et eaux internationales des zones 5b, 12 et 14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(POK/56-14)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À pêcher au nord de 56° 30′ N (POK/*5614N).</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6"/>
                <w:szCs w:val="16"/>
              </w:rPr>
            </w:pPr>
            <w:r>
              <w:rPr>
                <w:rFonts w:ascii="Calibri" w:hAnsi="Calibri"/>
                <w:noProof/>
                <w:sz w:val="16"/>
                <w:szCs w:val="16"/>
              </w:rPr>
              <w:t xml:space="preserve"> </w:t>
            </w:r>
          </w:p>
        </w:tc>
        <w:tc>
          <w:tcPr>
            <w:tcW w:w="128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Lieu noir</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au sud de 62° N</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(POK/4N-S62)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Les prises accessoires de cabillaud, d’églefin, de lieu jaune et de merlan doivent être imputées sur les quotas applicables à ces espèces.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Lieu noir</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Zones 7, 8, 9 et 10; eaux de l’Union de la zone Copace 34.1.1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(POK/7/3411)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Turbot et barbue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et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 xml:space="preserve">Psetta maxima </w:t>
            </w:r>
            <w:r>
              <w:rPr>
                <w:iCs/>
                <w:noProof/>
                <w:sz w:val="18"/>
                <w:szCs w:val="18"/>
              </w:rPr>
              <w:t>et</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(T/B/2AC4-C)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Scophthalmus rhombus</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Raies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et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(SRX/2AC4-C)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Les captures de raie lisse (</w:t>
            </w:r>
            <w:r>
              <w:rPr>
                <w:i/>
                <w:iCs/>
                <w:noProof/>
                <w:sz w:val="18"/>
                <w:szCs w:val="18"/>
                <w:vertAlign w:val="superscript"/>
              </w:rPr>
              <w:t>Raja brachyura</w:t>
            </w:r>
            <w:r>
              <w:rPr>
                <w:noProof/>
                <w:sz w:val="18"/>
                <w:szCs w:val="18"/>
                <w:vertAlign w:val="superscript"/>
              </w:rPr>
              <w:t>) dans les eaux de l’Union de la zone 4 (RJH/04-C.), de raie fleurie (</w:t>
            </w:r>
            <w:r>
              <w:rPr>
                <w:i/>
                <w:iCs/>
                <w:noProof/>
                <w:sz w:val="18"/>
                <w:szCs w:val="18"/>
                <w:vertAlign w:val="superscript"/>
              </w:rPr>
              <w:t>Leucoraja naevus</w:t>
            </w:r>
            <w:r>
              <w:rPr>
                <w:noProof/>
                <w:sz w:val="18"/>
                <w:szCs w:val="18"/>
                <w:vertAlign w:val="superscript"/>
              </w:rPr>
              <w:t>) (RJN/2AC4-C), de raie bouclée (</w:t>
            </w:r>
            <w:r>
              <w:rPr>
                <w:i/>
                <w:iCs/>
                <w:noProof/>
                <w:sz w:val="18"/>
                <w:szCs w:val="18"/>
                <w:vertAlign w:val="superscript"/>
              </w:rPr>
              <w:t>Raja clavata</w:t>
            </w:r>
            <w:r>
              <w:rPr>
                <w:noProof/>
                <w:sz w:val="18"/>
                <w:szCs w:val="18"/>
                <w:vertAlign w:val="superscript"/>
              </w:rPr>
              <w:t>) (RJC/2AC4-C) et de raie douce (</w:t>
            </w:r>
            <w:r>
              <w:rPr>
                <w:i/>
                <w:iCs/>
                <w:noProof/>
                <w:sz w:val="18"/>
                <w:szCs w:val="18"/>
                <w:vertAlign w:val="superscript"/>
              </w:rPr>
              <w:t>Raja montagui</w:t>
            </w:r>
            <w:r>
              <w:rPr>
                <w:noProof/>
                <w:sz w:val="18"/>
                <w:szCs w:val="18"/>
                <w:vertAlign w:val="superscript"/>
              </w:rPr>
              <w:t>) (RJM/2AC4-C) sont déclarées séparément.</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Quota de prises accessoires. Ces espèces ne peuvent représenter plus de 25 % en poids vif des captures détenues à bord par sortie de pêche. Cette condition s’applique uniquement aux navires d’une longueur hors tout supérieure à 15 mètres.  Cette disposition ne s’applique pas aux captures soumises à l’obligation de débarquement prévue à l’article 15, paragraphe 1, du règlement (UE) nº 1380/2013.</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Ne s’applique pas à la raie lisse (</w:t>
            </w:r>
            <w:r>
              <w:rPr>
                <w:i/>
                <w:iCs/>
                <w:noProof/>
                <w:sz w:val="18"/>
                <w:szCs w:val="18"/>
                <w:vertAlign w:val="superscript"/>
              </w:rPr>
              <w:t>Raja brachyura</w:t>
            </w:r>
            <w:r>
              <w:rPr>
                <w:noProof/>
                <w:sz w:val="18"/>
                <w:szCs w:val="18"/>
                <w:vertAlign w:val="superscript"/>
              </w:rPr>
              <w:t>) dans les eaux de l’Union de la zone 2a et à la raie mêlée (</w:t>
            </w:r>
            <w:r>
              <w:rPr>
                <w:i/>
                <w:iCs/>
                <w:noProof/>
                <w:sz w:val="18"/>
                <w:szCs w:val="18"/>
                <w:vertAlign w:val="superscript"/>
              </w:rPr>
              <w:t>Raja microocellata</w:t>
            </w:r>
            <w:r>
              <w:rPr>
                <w:noProof/>
                <w:sz w:val="18"/>
                <w:szCs w:val="18"/>
                <w:vertAlign w:val="superscript"/>
              </w:rPr>
              <w:t>) dans les eaux de l’Union des zones 2a et 4. Lorsque ces espèces sont capturées accidentellement, elles ne doivent pas être blessées. Les spécimens capturés sont rapidement remis à la mer. Les pêcheurs sont encouragés à mettre au point et à utiliser des techniques et des équipements facilitant la remise à la mer rapide et sûre de ces espèces.</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dont 10 %, au plus, de ce quota peuvent être pêchés dans les eaux de l’Union de la zone 7d (SRX/*07D2.), sans préjudice des interdictions prévues aux articles 13 et 48 du présent règlement, pour les zones qui y sont précisées. Les captures de raie lisse (</w:t>
            </w:r>
            <w:r>
              <w:rPr>
                <w:i/>
                <w:iCs/>
                <w:noProof/>
                <w:sz w:val="18"/>
                <w:szCs w:val="18"/>
                <w:vertAlign w:val="superscript"/>
              </w:rPr>
              <w:t>Raja brachyura</w:t>
            </w:r>
            <w:r>
              <w:rPr>
                <w:noProof/>
                <w:sz w:val="18"/>
                <w:szCs w:val="18"/>
                <w:vertAlign w:val="superscript"/>
              </w:rPr>
              <w:t>) (RJH/*07D2.), de raie fleurie (</w:t>
            </w:r>
            <w:r>
              <w:rPr>
                <w:i/>
                <w:iCs/>
                <w:noProof/>
                <w:sz w:val="18"/>
                <w:szCs w:val="18"/>
                <w:vertAlign w:val="superscript"/>
              </w:rPr>
              <w:t>Leucoraja naevus</w:t>
            </w:r>
            <w:r>
              <w:rPr>
                <w:noProof/>
                <w:sz w:val="18"/>
                <w:szCs w:val="18"/>
                <w:vertAlign w:val="superscript"/>
              </w:rPr>
              <w:t>) (RJN/*07D2.), de raie bouclée (</w:t>
            </w:r>
            <w:r>
              <w:rPr>
                <w:i/>
                <w:iCs/>
                <w:noProof/>
                <w:sz w:val="18"/>
                <w:szCs w:val="18"/>
                <w:vertAlign w:val="superscript"/>
              </w:rPr>
              <w:t>Raja clavata</w:t>
            </w:r>
            <w:r>
              <w:rPr>
                <w:noProof/>
                <w:sz w:val="18"/>
                <w:szCs w:val="18"/>
                <w:vertAlign w:val="superscript"/>
              </w:rPr>
              <w:t>) (RJC/*07D2.) et de raie douce (</w:t>
            </w:r>
            <w:r>
              <w:rPr>
                <w:i/>
                <w:iCs/>
                <w:noProof/>
                <w:sz w:val="18"/>
                <w:szCs w:val="18"/>
                <w:vertAlign w:val="superscript"/>
              </w:rPr>
              <w:t>Raja montagui</w:t>
            </w:r>
            <w:r>
              <w:rPr>
                <w:noProof/>
                <w:sz w:val="18"/>
                <w:szCs w:val="18"/>
                <w:vertAlign w:val="superscript"/>
              </w:rPr>
              <w:t>) (RJM/*07D2.) sont déclarées séparément. Cette condition particulière ne s’applique pas à la raie mêlée (</w:t>
            </w:r>
            <w:r>
              <w:rPr>
                <w:i/>
                <w:iCs/>
                <w:noProof/>
                <w:sz w:val="18"/>
                <w:szCs w:val="18"/>
                <w:vertAlign w:val="superscript"/>
              </w:rPr>
              <w:t>Raja microocellata</w:t>
            </w:r>
            <w:r>
              <w:rPr>
                <w:noProof/>
                <w:sz w:val="18"/>
                <w:szCs w:val="18"/>
                <w:vertAlign w:val="superscript"/>
              </w:rPr>
              <w:t>) ni à la raie brunette (</w:t>
            </w:r>
            <w:r>
              <w:rPr>
                <w:i/>
                <w:iCs/>
                <w:noProof/>
                <w:sz w:val="18"/>
                <w:szCs w:val="18"/>
                <w:vertAlign w:val="superscript"/>
              </w:rPr>
              <w:t>Raja undulata</w:t>
            </w:r>
            <w:r>
              <w:rPr>
                <w:noProof/>
                <w:sz w:val="18"/>
                <w:szCs w:val="18"/>
                <w:vertAlign w:val="superscript"/>
              </w:rPr>
              <w:t>).</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Raies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 la zone 3a</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(SRX/03A-C.)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Les captures de raie fleurie (</w:t>
            </w:r>
            <w:r>
              <w:rPr>
                <w:i/>
                <w:iCs/>
                <w:noProof/>
                <w:sz w:val="18"/>
                <w:szCs w:val="18"/>
                <w:vertAlign w:val="superscript"/>
              </w:rPr>
              <w:t>Leucoraja naevus</w:t>
            </w:r>
            <w:r>
              <w:rPr>
                <w:noProof/>
                <w:sz w:val="18"/>
                <w:szCs w:val="18"/>
                <w:vertAlign w:val="superscript"/>
              </w:rPr>
              <w:t>) (RJN/03A-C.), de raie lisse (</w:t>
            </w:r>
            <w:r>
              <w:rPr>
                <w:i/>
                <w:iCs/>
                <w:noProof/>
                <w:sz w:val="18"/>
                <w:szCs w:val="18"/>
                <w:vertAlign w:val="superscript"/>
              </w:rPr>
              <w:t>Raja brachyura</w:t>
            </w:r>
            <w:r>
              <w:rPr>
                <w:noProof/>
                <w:sz w:val="18"/>
                <w:szCs w:val="18"/>
                <w:vertAlign w:val="superscript"/>
              </w:rPr>
              <w:t>) (RJH/03A-C.) et de raie douce (</w:t>
            </w:r>
            <w:r>
              <w:rPr>
                <w:i/>
                <w:iCs/>
                <w:noProof/>
                <w:sz w:val="18"/>
                <w:szCs w:val="18"/>
                <w:vertAlign w:val="superscript"/>
              </w:rPr>
              <w:t>Raja montagui</w:t>
            </w:r>
            <w:r>
              <w:rPr>
                <w:noProof/>
                <w:sz w:val="18"/>
                <w:szCs w:val="18"/>
                <w:vertAlign w:val="superscript"/>
              </w:rPr>
              <w:t>) (RJM/03A-C.) sont déclarées séparément.</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Raies</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6a, 6b, 7a-c et 7e-k</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(SRX/67AKXD)</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Estonie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Lituanie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Les captures de raie fleurie (</w:t>
            </w:r>
            <w:r>
              <w:rPr>
                <w:i/>
                <w:iCs/>
                <w:noProof/>
                <w:sz w:val="18"/>
                <w:szCs w:val="18"/>
                <w:vertAlign w:val="superscript"/>
              </w:rPr>
              <w:t>Leucoraja naevus</w:t>
            </w:r>
            <w:r>
              <w:rPr>
                <w:noProof/>
                <w:sz w:val="18"/>
                <w:szCs w:val="18"/>
                <w:vertAlign w:val="superscript"/>
              </w:rPr>
              <w:t>) (RJN/67AKXD), de raie bouclée (</w:t>
            </w:r>
            <w:r>
              <w:rPr>
                <w:i/>
                <w:iCs/>
                <w:noProof/>
                <w:sz w:val="18"/>
                <w:szCs w:val="18"/>
                <w:vertAlign w:val="superscript"/>
              </w:rPr>
              <w:t>Raja clavata</w:t>
            </w:r>
            <w:r>
              <w:rPr>
                <w:noProof/>
                <w:sz w:val="18"/>
                <w:szCs w:val="18"/>
                <w:vertAlign w:val="superscript"/>
              </w:rPr>
              <w:t>) (RJC/67AKXD), de raie lisse (</w:t>
            </w:r>
            <w:r>
              <w:rPr>
                <w:i/>
                <w:iCs/>
                <w:noProof/>
                <w:sz w:val="18"/>
                <w:szCs w:val="18"/>
                <w:vertAlign w:val="superscript"/>
              </w:rPr>
              <w:t>Raja brachyura</w:t>
            </w:r>
            <w:r>
              <w:rPr>
                <w:noProof/>
                <w:sz w:val="18"/>
                <w:szCs w:val="18"/>
                <w:vertAlign w:val="superscript"/>
              </w:rPr>
              <w:t>) (RJH/67AKXD), de raie douce (</w:t>
            </w:r>
            <w:r>
              <w:rPr>
                <w:i/>
                <w:iCs/>
                <w:noProof/>
                <w:sz w:val="18"/>
                <w:szCs w:val="18"/>
                <w:vertAlign w:val="superscript"/>
              </w:rPr>
              <w:t>Raja montagui</w:t>
            </w:r>
            <w:r>
              <w:rPr>
                <w:noProof/>
                <w:sz w:val="18"/>
                <w:szCs w:val="18"/>
                <w:vertAlign w:val="superscript"/>
              </w:rPr>
              <w:t>) (RJM/67AKXD), de raie circulaire (</w:t>
            </w:r>
            <w:r>
              <w:rPr>
                <w:i/>
                <w:iCs/>
                <w:noProof/>
                <w:sz w:val="18"/>
                <w:szCs w:val="18"/>
                <w:vertAlign w:val="superscript"/>
              </w:rPr>
              <w:t>Raja circularis</w:t>
            </w:r>
            <w:r>
              <w:rPr>
                <w:noProof/>
                <w:sz w:val="18"/>
                <w:szCs w:val="18"/>
                <w:vertAlign w:val="superscript"/>
              </w:rPr>
              <w:t>) (RJI/67AKXD) et de raie chardon (</w:t>
            </w:r>
            <w:r>
              <w:rPr>
                <w:i/>
                <w:iCs/>
                <w:noProof/>
                <w:sz w:val="18"/>
                <w:szCs w:val="18"/>
                <w:vertAlign w:val="superscript"/>
              </w:rPr>
              <w:t>Raja fullonica</w:t>
            </w:r>
            <w:r>
              <w:rPr>
                <w:noProof/>
                <w:sz w:val="18"/>
                <w:szCs w:val="18"/>
                <w:vertAlign w:val="superscript"/>
              </w:rPr>
              <w:t>) (RJF/67AKXD) sont déclarées séparément.</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dont 5 %, au plus, de ce quota peuvent être pêchés dans les eaux de l’Union de la zone 7d (SRX/*07D.), sans préjudice des interdictions prévues aux articles 13 et 48 du présent règlement, pour les zones qui y sont précisées. Les captures de raie fleurie (</w:t>
            </w:r>
            <w:r>
              <w:rPr>
                <w:i/>
                <w:iCs/>
                <w:noProof/>
                <w:sz w:val="18"/>
                <w:szCs w:val="18"/>
                <w:vertAlign w:val="superscript"/>
              </w:rPr>
              <w:t>Leucoraja naevus</w:t>
            </w:r>
            <w:r>
              <w:rPr>
                <w:noProof/>
                <w:sz w:val="18"/>
                <w:szCs w:val="18"/>
                <w:vertAlign w:val="superscript"/>
              </w:rPr>
              <w:t>) (RJN/*07D.), de raie bouclée (</w:t>
            </w:r>
            <w:r>
              <w:rPr>
                <w:i/>
                <w:iCs/>
                <w:noProof/>
                <w:sz w:val="18"/>
                <w:szCs w:val="18"/>
                <w:vertAlign w:val="superscript"/>
              </w:rPr>
              <w:t>Raja clavata</w:t>
            </w:r>
            <w:r>
              <w:rPr>
                <w:noProof/>
                <w:sz w:val="18"/>
                <w:szCs w:val="18"/>
                <w:vertAlign w:val="superscript"/>
              </w:rPr>
              <w:t>) (RJC/*07D.), de raie lisse (</w:t>
            </w:r>
            <w:r>
              <w:rPr>
                <w:i/>
                <w:iCs/>
                <w:noProof/>
                <w:sz w:val="18"/>
                <w:szCs w:val="18"/>
                <w:vertAlign w:val="superscript"/>
              </w:rPr>
              <w:t>Raja brachyura</w:t>
            </w:r>
            <w:r>
              <w:rPr>
                <w:noProof/>
                <w:sz w:val="18"/>
                <w:szCs w:val="18"/>
                <w:vertAlign w:val="superscript"/>
              </w:rPr>
              <w:t>) (RJH/*07D.), de raie douce (</w:t>
            </w:r>
            <w:r>
              <w:rPr>
                <w:i/>
                <w:iCs/>
                <w:noProof/>
                <w:sz w:val="18"/>
                <w:szCs w:val="18"/>
                <w:vertAlign w:val="superscript"/>
              </w:rPr>
              <w:t>Raja montagui</w:t>
            </w:r>
            <w:r>
              <w:rPr>
                <w:noProof/>
                <w:sz w:val="18"/>
                <w:szCs w:val="18"/>
                <w:vertAlign w:val="superscript"/>
              </w:rPr>
              <w:t>) (RJM/*07D.), de raie circulaire (</w:t>
            </w:r>
            <w:r>
              <w:rPr>
                <w:i/>
                <w:iCs/>
                <w:noProof/>
                <w:sz w:val="18"/>
                <w:szCs w:val="18"/>
                <w:vertAlign w:val="superscript"/>
              </w:rPr>
              <w:t>Raja circularis</w:t>
            </w:r>
            <w:r>
              <w:rPr>
                <w:noProof/>
                <w:sz w:val="18"/>
                <w:szCs w:val="18"/>
                <w:vertAlign w:val="superscript"/>
              </w:rPr>
              <w:t>) (RJI/*07D.) et de raie chardon (</w:t>
            </w:r>
            <w:r>
              <w:rPr>
                <w:i/>
                <w:iCs/>
                <w:noProof/>
                <w:sz w:val="18"/>
                <w:szCs w:val="18"/>
                <w:vertAlign w:val="superscript"/>
              </w:rPr>
              <w:t>Raja fullonica</w:t>
            </w:r>
            <w:r>
              <w:rPr>
                <w:noProof/>
                <w:sz w:val="18"/>
                <w:szCs w:val="18"/>
                <w:vertAlign w:val="superscript"/>
              </w:rPr>
              <w:t>) (RJF/*07D.) sont déclarées séparément. Cette condition particulière ne s’applique pas à la raie mêlée (</w:t>
            </w:r>
            <w:r>
              <w:rPr>
                <w:i/>
                <w:iCs/>
                <w:noProof/>
                <w:sz w:val="18"/>
                <w:szCs w:val="18"/>
                <w:vertAlign w:val="superscript"/>
              </w:rPr>
              <w:t>Raja microocellata</w:t>
            </w:r>
            <w:r>
              <w:rPr>
                <w:noProof/>
                <w:sz w:val="18"/>
                <w:szCs w:val="18"/>
                <w:vertAlign w:val="superscript"/>
              </w:rPr>
              <w:t>) ni à la raie brunette (</w:t>
            </w:r>
            <w:r>
              <w:rPr>
                <w:i/>
                <w:iCs/>
                <w:noProof/>
                <w:sz w:val="18"/>
                <w:szCs w:val="18"/>
                <w:vertAlign w:val="superscript"/>
              </w:rPr>
              <w:t>Raja undulata</w:t>
            </w:r>
            <w:r>
              <w:rPr>
                <w:noProof/>
                <w:sz w:val="18"/>
                <w:szCs w:val="18"/>
                <w:vertAlign w:val="superscript"/>
              </w:rPr>
              <w:t>).</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Ne s’applique pas à la raie mêlée (</w:t>
            </w:r>
            <w:r>
              <w:rPr>
                <w:i/>
                <w:iCs/>
                <w:noProof/>
                <w:sz w:val="18"/>
                <w:szCs w:val="18"/>
                <w:vertAlign w:val="superscript"/>
              </w:rPr>
              <w:t>Raja microocellata</w:t>
            </w:r>
            <w:r>
              <w:rPr>
                <w:noProof/>
                <w:sz w:val="18"/>
                <w:szCs w:val="18"/>
                <w:vertAlign w:val="superscript"/>
              </w:rPr>
              <w:t>), sauf dans les eaux de l’Union des zones 7f et 7g. Lorsque cette espèce est capturée accidentellement, elle ne doit pas être blessée. Les spécimens capturés sont rapidement remis à la mer. Les pêcheurs sont encouragés à mettre au point et à utiliser des techniques et des équipements facilitant la remise à la mer rapide et sûre de ces espèces. Dans le cadre des quotas susmentionnés, les captures de raie mêlée dans les eaux de l’Union des divisions 7f et 7g (RJE/7FG.) sont limitées aux quantités portées ci-dessous: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417"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Raie mêlée</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7f et 7g</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7"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Raja microocellata</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(RJE/7FG.)</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Estonie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Lituanie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color w:val="000000"/>
                <w:sz w:val="16"/>
                <w:szCs w:val="16"/>
              </w:rPr>
            </w:pPr>
            <w:r>
              <w:rPr>
                <w:noProof/>
                <w:color w:val="000000"/>
                <w:sz w:val="16"/>
                <w:szCs w:val="16"/>
              </w:rPr>
              <w:t>Condition particulière: dont 5 %, au plus, peuvent être pêchés dans les eaux de l’Union de la zone 7d et sont déclarés sous le code suivant: (RJE/*07D.). Cette condition particulière s’entend sans préjudice des interdictions prévues aux articles 13 et 48 du présent règlement, pour les zones qui y sont précisées.</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Ne s’applique pas à la raie brunette (</w:t>
            </w:r>
            <w:r>
              <w:rPr>
                <w:i/>
                <w:iCs/>
                <w:noProof/>
                <w:sz w:val="18"/>
                <w:szCs w:val="18"/>
                <w:vertAlign w:val="superscript"/>
              </w:rPr>
              <w:t>Raja undulata</w:t>
            </w:r>
            <w:r>
              <w:rPr>
                <w:noProof/>
                <w:sz w:val="18"/>
                <w:szCs w:val="18"/>
                <w:vertAlign w:val="superscript"/>
              </w:rPr>
              <w:t>).</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Raies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 la zone 7d</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(SRX/07D.)</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(4)</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Les captures de raie fleurie (</w:t>
            </w:r>
            <w:r>
              <w:rPr>
                <w:i/>
                <w:iCs/>
                <w:noProof/>
                <w:sz w:val="18"/>
                <w:szCs w:val="18"/>
                <w:vertAlign w:val="superscript"/>
              </w:rPr>
              <w:t>Leucoraja naevus</w:t>
            </w:r>
            <w:r>
              <w:rPr>
                <w:noProof/>
                <w:sz w:val="18"/>
                <w:szCs w:val="18"/>
                <w:vertAlign w:val="superscript"/>
              </w:rPr>
              <w:t>) (RJN/07D.), de raie bouclée (</w:t>
            </w:r>
            <w:r>
              <w:rPr>
                <w:i/>
                <w:iCs/>
                <w:noProof/>
                <w:sz w:val="18"/>
                <w:szCs w:val="18"/>
                <w:vertAlign w:val="superscript"/>
              </w:rPr>
              <w:t>Raja clavata</w:t>
            </w:r>
            <w:r>
              <w:rPr>
                <w:noProof/>
                <w:sz w:val="18"/>
                <w:szCs w:val="18"/>
                <w:vertAlign w:val="superscript"/>
              </w:rPr>
              <w:t>) (RJC/07D.), de raie lisse (</w:t>
            </w:r>
            <w:r>
              <w:rPr>
                <w:i/>
                <w:iCs/>
                <w:noProof/>
                <w:sz w:val="18"/>
                <w:szCs w:val="18"/>
                <w:vertAlign w:val="superscript"/>
              </w:rPr>
              <w:t>Raja brachyura</w:t>
            </w:r>
            <w:r>
              <w:rPr>
                <w:noProof/>
                <w:sz w:val="18"/>
                <w:szCs w:val="18"/>
                <w:vertAlign w:val="superscript"/>
              </w:rPr>
              <w:t>) (RJH/07D.), de raie douce (</w:t>
            </w:r>
            <w:r>
              <w:rPr>
                <w:i/>
                <w:iCs/>
                <w:noProof/>
                <w:sz w:val="18"/>
                <w:szCs w:val="18"/>
                <w:vertAlign w:val="superscript"/>
              </w:rPr>
              <w:t>Raja montagui</w:t>
            </w:r>
            <w:r>
              <w:rPr>
                <w:noProof/>
                <w:sz w:val="18"/>
                <w:szCs w:val="18"/>
                <w:vertAlign w:val="superscript"/>
              </w:rPr>
              <w:t>) (RJM/07D.) et de raie mêlée (</w:t>
            </w:r>
            <w:r>
              <w:rPr>
                <w:i/>
                <w:iCs/>
                <w:noProof/>
                <w:sz w:val="18"/>
                <w:szCs w:val="18"/>
                <w:vertAlign w:val="superscript"/>
              </w:rPr>
              <w:t>Raja microocellata</w:t>
            </w:r>
            <w:r>
              <w:rPr>
                <w:noProof/>
                <w:sz w:val="18"/>
                <w:szCs w:val="18"/>
                <w:vertAlign w:val="superscript"/>
              </w:rPr>
              <w:t>) (RJE/07D.) sont déclarées séparément.</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dont 5 %, au plus, peuvent être pêchés dans les eaux de l’Union des zones 6a, 6b, 7a-c et 7e-k (SRX/*67AKD). Les captures de raie fleurie (</w:t>
            </w:r>
            <w:r>
              <w:rPr>
                <w:i/>
                <w:iCs/>
                <w:noProof/>
                <w:sz w:val="18"/>
                <w:szCs w:val="18"/>
                <w:vertAlign w:val="superscript"/>
              </w:rPr>
              <w:t>Leucoraja naevus</w:t>
            </w:r>
            <w:r>
              <w:rPr>
                <w:noProof/>
                <w:sz w:val="18"/>
                <w:szCs w:val="18"/>
                <w:vertAlign w:val="superscript"/>
              </w:rPr>
              <w:t>) (RJN/*67AKD), de raie bouclée (</w:t>
            </w:r>
            <w:r>
              <w:rPr>
                <w:i/>
                <w:iCs/>
                <w:noProof/>
                <w:sz w:val="18"/>
                <w:szCs w:val="18"/>
                <w:vertAlign w:val="superscript"/>
              </w:rPr>
              <w:t>Raja clavata</w:t>
            </w:r>
            <w:r>
              <w:rPr>
                <w:noProof/>
                <w:sz w:val="18"/>
                <w:szCs w:val="18"/>
                <w:vertAlign w:val="superscript"/>
              </w:rPr>
              <w:t>) (RJC/*67AKD), de raie lisse (</w:t>
            </w:r>
            <w:r>
              <w:rPr>
                <w:i/>
                <w:iCs/>
                <w:noProof/>
                <w:sz w:val="18"/>
                <w:szCs w:val="18"/>
                <w:vertAlign w:val="superscript"/>
              </w:rPr>
              <w:t>Raja brachyura</w:t>
            </w:r>
            <w:r>
              <w:rPr>
                <w:noProof/>
                <w:sz w:val="18"/>
                <w:szCs w:val="18"/>
                <w:vertAlign w:val="superscript"/>
              </w:rPr>
              <w:t>) (RJH/*67AKD) et de raie douce (</w:t>
            </w:r>
            <w:r>
              <w:rPr>
                <w:i/>
                <w:iCs/>
                <w:noProof/>
                <w:sz w:val="18"/>
                <w:szCs w:val="18"/>
                <w:vertAlign w:val="superscript"/>
              </w:rPr>
              <w:t>Raja montagui</w:t>
            </w:r>
            <w:r>
              <w:rPr>
                <w:noProof/>
                <w:sz w:val="18"/>
                <w:szCs w:val="18"/>
                <w:vertAlign w:val="superscript"/>
              </w:rPr>
              <w:t>) (RJM/*67AKD) sont déclarées séparément. Cette condition particulière ne s’applique pas à la raie mêlée (</w:t>
            </w:r>
            <w:r>
              <w:rPr>
                <w:i/>
                <w:iCs/>
                <w:noProof/>
                <w:sz w:val="18"/>
                <w:szCs w:val="18"/>
                <w:vertAlign w:val="superscript"/>
              </w:rPr>
              <w:t>Raja microocellata</w:t>
            </w:r>
            <w:r>
              <w:rPr>
                <w:noProof/>
                <w:sz w:val="18"/>
                <w:szCs w:val="18"/>
                <w:vertAlign w:val="superscript"/>
              </w:rPr>
              <w:t>) ni à la raie brunette (</w:t>
            </w:r>
            <w:r>
              <w:rPr>
                <w:i/>
                <w:iCs/>
                <w:noProof/>
                <w:sz w:val="18"/>
                <w:szCs w:val="18"/>
                <w:vertAlign w:val="superscript"/>
              </w:rPr>
              <w:t>Raja undulata</w:t>
            </w:r>
            <w:r>
              <w:rPr>
                <w:noProof/>
                <w:sz w:val="18"/>
                <w:szCs w:val="18"/>
                <w:vertAlign w:val="superscript"/>
              </w:rPr>
              <w:t>).</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dont au maximum 10 % de ce quota peuvent être pêchés dans les eaux de l’Union des zones 2a et 4 (SRX/*2AC4C). Les captures de raie lisse (Raja brachyura) dans les eaux de l’Union de la zone 4 (RJH/*04-C.), de raie fleurie (</w:t>
            </w:r>
            <w:r>
              <w:rPr>
                <w:i/>
                <w:iCs/>
                <w:noProof/>
                <w:sz w:val="18"/>
                <w:szCs w:val="18"/>
                <w:vertAlign w:val="superscript"/>
              </w:rPr>
              <w:t>Leucoraja naevus</w:t>
            </w:r>
            <w:r>
              <w:rPr>
                <w:noProof/>
                <w:sz w:val="18"/>
                <w:szCs w:val="18"/>
                <w:vertAlign w:val="superscript"/>
              </w:rPr>
              <w:t>) (RJN/*2AC4C), de raie bouclée (</w:t>
            </w:r>
            <w:r>
              <w:rPr>
                <w:i/>
                <w:iCs/>
                <w:noProof/>
                <w:sz w:val="18"/>
                <w:szCs w:val="18"/>
                <w:vertAlign w:val="superscript"/>
              </w:rPr>
              <w:t>Raja clavata</w:t>
            </w:r>
            <w:r>
              <w:rPr>
                <w:noProof/>
                <w:sz w:val="18"/>
                <w:szCs w:val="18"/>
                <w:vertAlign w:val="superscript"/>
              </w:rPr>
              <w:t>) (RJC/*2AC4C) et de raie douce (</w:t>
            </w:r>
            <w:r>
              <w:rPr>
                <w:i/>
                <w:iCs/>
                <w:noProof/>
                <w:sz w:val="18"/>
                <w:szCs w:val="18"/>
                <w:vertAlign w:val="superscript"/>
              </w:rPr>
              <w:t>Raja montagui</w:t>
            </w:r>
            <w:r>
              <w:rPr>
                <w:noProof/>
                <w:sz w:val="18"/>
                <w:szCs w:val="18"/>
                <w:vertAlign w:val="superscript"/>
              </w:rPr>
              <w:t>) (RJM/*2AC4C) sont déclarées séparément. Cette condition particulière ne s’applique pas à la raie mêlée (</w:t>
            </w:r>
            <w:r>
              <w:rPr>
                <w:i/>
                <w:iCs/>
                <w:noProof/>
                <w:sz w:val="18"/>
                <w:szCs w:val="18"/>
                <w:vertAlign w:val="superscript"/>
              </w:rPr>
              <w:t>Raja microocellata</w:t>
            </w:r>
            <w:r>
              <w:rPr>
                <w:noProof/>
                <w:sz w:val="18"/>
                <w:szCs w:val="18"/>
                <w:vertAlign w:val="superscript"/>
              </w:rPr>
              <w:t>).</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Ne s’applique pas à la raie brunette (</w:t>
            </w:r>
            <w:r>
              <w:rPr>
                <w:i/>
                <w:iCs/>
                <w:noProof/>
                <w:sz w:val="18"/>
                <w:szCs w:val="18"/>
                <w:vertAlign w:val="superscript"/>
              </w:rPr>
              <w:t>Raja undulata</w:t>
            </w:r>
            <w:r>
              <w:rPr>
                <w:noProof/>
                <w:sz w:val="18"/>
                <w:szCs w:val="18"/>
                <w:vertAlign w:val="superscript"/>
              </w:rPr>
              <w:t>).</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Raie brunette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7d et 7e</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Raja undulata</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(RJU/7DE.)</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Estonie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Lituanie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Cette espèce n’est pas ciblée dans les zones couvertes par ce TAC. Pour cette espèce, seuls les spécimens entiers ou vidés peuvent être débarqués. Ces dispositions s’entendent sans préjudice des interdictions prévues aux articles 13 et 48 du présent règlement, pour les zones qui y sont précisées.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Raies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8 et 9</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(SRX/89-C.)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Les captures de raie fleurie (</w:t>
            </w:r>
            <w:r>
              <w:rPr>
                <w:i/>
                <w:iCs/>
                <w:noProof/>
                <w:sz w:val="18"/>
                <w:szCs w:val="18"/>
                <w:vertAlign w:val="superscript"/>
              </w:rPr>
              <w:t>Leucoraja naevus</w:t>
            </w:r>
            <w:r>
              <w:rPr>
                <w:noProof/>
                <w:sz w:val="18"/>
                <w:szCs w:val="18"/>
                <w:vertAlign w:val="superscript"/>
              </w:rPr>
              <w:t>) (RJN/89-C.), de raie lisse (</w:t>
            </w:r>
            <w:r>
              <w:rPr>
                <w:i/>
                <w:iCs/>
                <w:noProof/>
                <w:sz w:val="18"/>
                <w:szCs w:val="18"/>
                <w:vertAlign w:val="superscript"/>
              </w:rPr>
              <w:t>Raja brachyura</w:t>
            </w:r>
            <w:r>
              <w:rPr>
                <w:noProof/>
                <w:sz w:val="18"/>
                <w:szCs w:val="18"/>
                <w:vertAlign w:val="superscript"/>
              </w:rPr>
              <w:t>) (RJH/89-C.) et de raie bouclée (</w:t>
            </w:r>
            <w:r>
              <w:rPr>
                <w:i/>
                <w:iCs/>
                <w:noProof/>
                <w:sz w:val="18"/>
                <w:szCs w:val="18"/>
                <w:vertAlign w:val="superscript"/>
              </w:rPr>
              <w:t>Raja clavata</w:t>
            </w:r>
            <w:r>
              <w:rPr>
                <w:noProof/>
                <w:sz w:val="18"/>
                <w:szCs w:val="18"/>
                <w:vertAlign w:val="superscript"/>
              </w:rPr>
              <w:t>) (RJC/89-C.) sont déclarées séparément.</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Ne s’applique pas à la raie brunette (</w:t>
            </w:r>
            <w:r>
              <w:rPr>
                <w:i/>
                <w:iCs/>
                <w:noProof/>
                <w:sz w:val="18"/>
                <w:szCs w:val="18"/>
                <w:vertAlign w:val="superscript"/>
              </w:rPr>
              <w:t>Raja undulata</w:t>
            </w:r>
            <w:r>
              <w:rPr>
                <w:noProof/>
                <w:sz w:val="18"/>
                <w:szCs w:val="18"/>
                <w:vertAlign w:val="superscript"/>
              </w:rPr>
              <w:t>). Cette espèce n’est pas ciblée dans les zones couvertes par ce TAC. Dans les cas où cette espèce n’est pas soumise à l’obligation de débarquement, seuls les spécimens entiers ou vidés des prises accessoires de raie brunette dans les sous-zones 8 et 9 peuvent être débarqués. Les prises restent dans la limite des quotas qui figurent dans le tableau ci-dessous. Ces dispositions s’entendent sans préjudice des interdictions prévues aux articles 13 et 48 du présent règlement, pour les zones qui y sont précisées. Les prises accessoires de raie brunette sont déclarées séparément sous les codes indiqués dans le tableau ci-dessous. Dans le cadre des quotas susmentionnés, les captures de raie brunette sont limitées aux quantités portées ci-dessous: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417"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Raie brunette</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 la zone 8</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7"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Raja undulata</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(RJU/8-C.)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417"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Raie brunette</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 la zone 9</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7"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Raja undulata</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(RJU/9-C.)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single" w:sz="8" w:space="0" w:color="auto"/>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Flétan noir commun</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et 4; eaux de l’Union et eaux internationales des zones 5b et 6</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3853" w:type="dxa"/>
            <w:gridSpan w:val="3"/>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Reinhardtius hippoglossoides</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(GHL/2A-C46)</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Estonie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Lituanie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Pologne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À prélever dans les eaux de l’Union des zones 2a et 6. Dans la zone 6, cette quantité ne peut être pêchée qu’à la palangre (GHL/*2A6-C).</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Maquereau commun</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3a et 4; eaux de l’Union des zones 2a, 3b, 3c et des sous-divisions 22 à 32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(MAC/2A34.)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Dans le cadre des quotas susmentionnés, les captures sont également limitées, dans les deux zones suivantes, aux quantités portées ci-dessous: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sz w:val="16"/>
                <w:szCs w:val="16"/>
              </w:rPr>
            </w:pPr>
            <w:r>
              <w:rPr>
                <w:rFonts w:ascii="Calibri" w:hAnsi="Calibri"/>
                <w:noProof/>
                <w:sz w:val="16"/>
                <w:szCs w:val="16"/>
              </w:rPr>
              <w:t xml:space="preserve"> </w:t>
            </w:r>
          </w:p>
        </w:tc>
        <w:tc>
          <w:tcPr>
            <w:tcW w:w="1283" w:type="dxa"/>
            <w:tcBorders>
              <w:top w:val="nil"/>
              <w:left w:val="nil"/>
              <w:bottom w:val="single" w:sz="4" w:space="0" w:color="auto"/>
              <w:right w:val="nil"/>
            </w:tcBorders>
            <w:shd w:val="clear" w:color="auto" w:fill="auto"/>
            <w:noWrap/>
            <w:hideMark/>
          </w:tcPr>
          <w:p>
            <w:pPr>
              <w:spacing w:after="0"/>
              <w:jc w:val="center"/>
              <w:rPr>
                <w:rFonts w:eastAsia="Times New Roman"/>
                <w:b/>
                <w:bCs/>
                <w:noProof/>
                <w:sz w:val="18"/>
                <w:szCs w:val="18"/>
              </w:rPr>
            </w:pPr>
            <w:r>
              <w:rPr>
                <w:b/>
                <w:bCs/>
                <w:noProof/>
                <w:sz w:val="18"/>
                <w:szCs w:val="18"/>
                <w:vertAlign w:val="superscript"/>
              </w:rPr>
              <w:t>Eaux norvégiennes de la zone 2a (MAC/*02AN-)</w:t>
            </w:r>
          </w:p>
        </w:tc>
        <w:tc>
          <w:tcPr>
            <w:tcW w:w="1134" w:type="dxa"/>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4" w:space="0" w:color="auto"/>
              <w:right w:val="nil"/>
            </w:tcBorders>
            <w:shd w:val="clear" w:color="auto" w:fill="auto"/>
            <w:noWrap/>
            <w:hideMark/>
          </w:tcPr>
          <w:p>
            <w:pPr>
              <w:spacing w:after="0"/>
              <w:rPr>
                <w:rFonts w:eastAsia="Times New Roman"/>
                <w:b/>
                <w:bCs/>
                <w:noProof/>
                <w:sz w:val="18"/>
                <w:szCs w:val="18"/>
              </w:rPr>
            </w:pPr>
            <w:r>
              <w:rPr>
                <w:b/>
                <w:bCs/>
                <w:noProof/>
                <w:sz w:val="18"/>
                <w:szCs w:val="18"/>
                <w:vertAlign w:val="superscript"/>
              </w:rPr>
              <w:t>Eaux des Îles Féroé (MAC/*FRO1)</w:t>
            </w:r>
          </w:p>
        </w:tc>
        <w:tc>
          <w:tcPr>
            <w:tcW w:w="1137" w:type="dxa"/>
            <w:tcBorders>
              <w:top w:val="nil"/>
              <w:left w:val="nil"/>
              <w:bottom w:val="nil"/>
              <w:right w:val="nil"/>
            </w:tcBorders>
            <w:shd w:val="clear" w:color="auto" w:fill="auto"/>
            <w:noWrap/>
            <w:hideMark/>
          </w:tcPr>
          <w:p>
            <w:pPr>
              <w:spacing w:after="0"/>
              <w:rPr>
                <w:rFonts w:eastAsia="Times New Roman"/>
                <w:b/>
                <w:bCs/>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Belgique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Danemark</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Allemagne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France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Suède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Peut également être prélevé dans les eaux norvégiennes de la zone 4a (MAC/*4AN.).</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y compris le tonnage ci-après à prélever dans les eaux norvégiennes des zones 2a et 4a (MAC/*2A4AN):</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8815" w:type="dxa"/>
            <w:gridSpan w:val="7"/>
            <w:tcBorders>
              <w:top w:val="nil"/>
              <w:left w:val="nil"/>
              <w:bottom w:val="nil"/>
              <w:right w:val="nil"/>
            </w:tcBorders>
            <w:shd w:val="clear" w:color="auto" w:fill="auto"/>
            <w:noWrap/>
            <w:vAlign w:val="bottom"/>
            <w:hideMark/>
          </w:tcPr>
          <w:p>
            <w:pPr>
              <w:spacing w:after="0"/>
              <w:rPr>
                <w:rFonts w:eastAsia="Times New Roman"/>
                <w:noProof/>
                <w:sz w:val="18"/>
                <w:szCs w:val="18"/>
              </w:rPr>
            </w:pPr>
            <w:r>
              <w:rPr>
                <w:noProof/>
                <w:sz w:val="18"/>
                <w:szCs w:val="18"/>
                <w:vertAlign w:val="superscript"/>
              </w:rPr>
              <w:t>Lors des activités de pêche au titre de cette condition particulière, les prises accessoires de cabillaud, d’églefin, de lieu jaune, de merlan</w:t>
            </w:r>
            <w:r>
              <w:rPr>
                <w:noProof/>
                <w:sz w:val="18"/>
                <w:szCs w:val="18"/>
                <w:vertAlign w:val="superscript"/>
              </w:rPr>
              <w:cr/>
            </w:r>
            <w:r>
              <w:rPr>
                <w:noProof/>
                <w:sz w:val="18"/>
                <w:szCs w:val="18"/>
                <w:vertAlign w:val="superscript"/>
              </w:rPr>
              <w:br/>
              <w:t>et de lieu noir sont imputées sur les quotas applicables à ces espèces.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À déduire de la part norvégienne du TAC (quota d’accès). Cette quantité inclut la part norvégienne du TAC de la mer du Nord figurant ci-dessous: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Ce quota ne peut être pêché que dans la zone 4a (MAC/*04A.), sauf pour la quantité en tonnes ci-après, qui peut être pêchée dans la zone 3a (MAC/*03A.):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Condition particulière: dans le cadre des quotas susmentionnés, les captures sont limitées, dans les zones suivantes, aux quantités portées ci-dessous:</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4" w:space="0" w:color="auto"/>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436"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b/>
                <w:bCs/>
                <w:noProof/>
                <w:sz w:val="12"/>
                <w:szCs w:val="12"/>
              </w:rPr>
            </w:pPr>
            <w:r>
              <w:rPr>
                <w:b/>
                <w:bCs/>
                <w:noProof/>
                <w:sz w:val="12"/>
                <w:szCs w:val="12"/>
              </w:rPr>
              <w:t>Zone 3a</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rPr>
                <w:rFonts w:ascii="Calibri" w:eastAsia="Times New Roman" w:hAnsi="Calibri" w:cs="Calibri"/>
                <w:b/>
                <w:bCs/>
                <w:noProof/>
                <w:color w:val="000000"/>
                <w:sz w:val="12"/>
                <w:szCs w:val="12"/>
              </w:rPr>
            </w:pPr>
            <w:r>
              <w:rPr>
                <w:rFonts w:ascii="Calibri" w:hAnsi="Calibri"/>
                <w:b/>
                <w:bCs/>
                <w:noProof/>
                <w:color w:val="000000"/>
                <w:sz w:val="12"/>
                <w:szCs w:val="12"/>
              </w:rPr>
              <w:t xml:space="preserve">Zones 3a et 4bc </w:t>
            </w:r>
          </w:p>
        </w:tc>
        <w:tc>
          <w:tcPr>
            <w:tcW w:w="1134" w:type="dxa"/>
            <w:tcBorders>
              <w:top w:val="single" w:sz="4" w:space="0" w:color="auto"/>
              <w:left w:val="nil"/>
              <w:bottom w:val="single" w:sz="4" w:space="0" w:color="auto"/>
              <w:right w:val="single" w:sz="4" w:space="0" w:color="auto"/>
            </w:tcBorders>
            <w:shd w:val="clear" w:color="auto" w:fill="auto"/>
            <w:noWrap/>
            <w:hideMark/>
          </w:tcPr>
          <w:p>
            <w:pPr>
              <w:spacing w:after="0"/>
              <w:rPr>
                <w:rFonts w:ascii="Calibri" w:eastAsia="Times New Roman" w:hAnsi="Calibri" w:cs="Calibri"/>
                <w:b/>
                <w:bCs/>
                <w:noProof/>
                <w:color w:val="000000"/>
                <w:sz w:val="12"/>
                <w:szCs w:val="12"/>
              </w:rPr>
            </w:pPr>
            <w:r>
              <w:rPr>
                <w:rFonts w:ascii="Calibri" w:hAnsi="Calibri"/>
                <w:b/>
                <w:bCs/>
                <w:noProof/>
                <w:color w:val="000000"/>
                <w:sz w:val="12"/>
                <w:szCs w:val="12"/>
              </w:rPr>
              <w:t xml:space="preserve">4b </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4c</w:t>
            </w:r>
          </w:p>
        </w:tc>
        <w:tc>
          <w:tcPr>
            <w:tcW w:w="1137"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Zone 6, eaux internationales de la zone 2a, du 1</w:t>
            </w:r>
            <w:r>
              <w:rPr>
                <w:b/>
                <w:bCs/>
                <w:noProof/>
                <w:color w:val="000000"/>
                <w:sz w:val="12"/>
                <w:szCs w:val="12"/>
                <w:vertAlign w:val="superscript"/>
              </w:rPr>
              <w:t>er</w:t>
            </w:r>
            <w:r>
              <w:rPr>
                <w:b/>
                <w:bCs/>
                <w:noProof/>
                <w:color w:val="000000"/>
                <w:sz w:val="12"/>
                <w:szCs w:val="12"/>
              </w:rPr>
              <w:t xml:space="preserve"> janvier au 15 février et du 1</w:t>
            </w:r>
            <w:r>
              <w:rPr>
                <w:b/>
                <w:bCs/>
                <w:noProof/>
                <w:color w:val="000000"/>
                <w:sz w:val="12"/>
                <w:szCs w:val="12"/>
                <w:vertAlign w:val="superscript"/>
              </w:rPr>
              <w:t>er</w:t>
            </w:r>
            <w:r>
              <w:rPr>
                <w:b/>
                <w:bCs/>
                <w:noProof/>
                <w:color w:val="000000"/>
                <w:sz w:val="12"/>
                <w:szCs w:val="12"/>
              </w:rPr>
              <w:t xml:space="preserve"> septembre au 31 décembre</w:t>
            </w:r>
          </w:p>
        </w:tc>
        <w:tc>
          <w:tcPr>
            <w:tcW w:w="1273"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jc w:val="center"/>
              <w:rPr>
                <w:rFonts w:eastAsia="Times New Roman"/>
                <w:noProof/>
                <w:color w:val="000000"/>
                <w:sz w:val="12"/>
                <w:szCs w:val="12"/>
              </w:rPr>
            </w:pPr>
            <w:r>
              <w:rPr>
                <w:noProof/>
                <w:color w:val="000000"/>
                <w:sz w:val="12"/>
                <w:szCs w:val="12"/>
              </w:rPr>
              <w:t xml:space="preserve"> </w:t>
            </w:r>
          </w:p>
        </w:tc>
        <w:tc>
          <w:tcPr>
            <w:tcW w:w="1436" w:type="dxa"/>
            <w:tcBorders>
              <w:top w:val="nil"/>
              <w:left w:val="nil"/>
              <w:bottom w:val="single" w:sz="4" w:space="0" w:color="auto"/>
              <w:right w:val="single" w:sz="4" w:space="0" w:color="auto"/>
            </w:tcBorders>
            <w:shd w:val="clear" w:color="auto" w:fill="auto"/>
            <w:noWrap/>
            <w:hideMark/>
          </w:tcPr>
          <w:p>
            <w:pPr>
              <w:spacing w:after="0"/>
              <w:rPr>
                <w:rFonts w:eastAsia="Times New Roman"/>
                <w:noProof/>
                <w:sz w:val="12"/>
                <w:szCs w:val="12"/>
              </w:rPr>
            </w:pPr>
            <w:r>
              <w:rPr>
                <w:noProof/>
                <w:sz w:val="12"/>
                <w:szCs w:val="12"/>
              </w:rPr>
              <w:t>(MAC/*03A.)</w:t>
            </w:r>
          </w:p>
        </w:tc>
        <w:tc>
          <w:tcPr>
            <w:tcW w:w="1283"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(MAC/*3A4BC)</w:t>
            </w:r>
          </w:p>
        </w:tc>
        <w:tc>
          <w:tcPr>
            <w:tcW w:w="1134"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(MAC/*04B.)</w:t>
            </w:r>
          </w:p>
        </w:tc>
        <w:tc>
          <w:tcPr>
            <w:tcW w:w="1276"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(MAC/*04C.)</w:t>
            </w:r>
          </w:p>
        </w:tc>
        <w:tc>
          <w:tcPr>
            <w:tcW w:w="1137"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(MAC/*2A6.)</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Danemark</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rPr>
            </w:pPr>
            <w:r>
              <w:rPr>
                <w:rFonts w:ascii="Calibri" w:hAnsi="Calibri"/>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rPr>
            </w:pPr>
            <w:r>
              <w:rPr>
                <w:rFonts w:ascii="Calibri" w:hAnsi="Calibri"/>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France</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rPr>
            </w:pPr>
            <w:r>
              <w:rPr>
                <w:rFonts w:ascii="Calibri" w:hAnsi="Calibri"/>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rPr>
            </w:pPr>
            <w:r>
              <w:rPr>
                <w:rFonts w:ascii="Calibri" w:hAnsi="Calibri"/>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Pays-Bas</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rPr>
            </w:pPr>
            <w:r>
              <w:rPr>
                <w:rFonts w:ascii="Calibri" w:hAnsi="Calibri"/>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rPr>
            </w:pPr>
            <w:r>
              <w:rPr>
                <w:rFonts w:ascii="Calibri" w:hAnsi="Calibri"/>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Suède</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rPr>
            </w:pPr>
            <w:r>
              <w:rPr>
                <w:rFonts w:ascii="Calibri" w:hAnsi="Calibri"/>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rPr>
            </w:pPr>
            <w:r>
              <w:rPr>
                <w:rFonts w:ascii="Calibri" w:hAnsi="Calibri"/>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Norvège</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rPr>
            </w:pPr>
            <w:r>
              <w:rPr>
                <w:rFonts w:ascii="Calibri" w:hAnsi="Calibri"/>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rPr>
            </w:pPr>
            <w:r>
              <w:rPr>
                <w:rFonts w:ascii="Calibri" w:hAnsi="Calibri"/>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Royaume-Uni</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rPr>
            </w:pPr>
            <w:r>
              <w:rPr>
                <w:rFonts w:ascii="Calibri" w:hAnsi="Calibri"/>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rPr>
            </w:pPr>
            <w:r>
              <w:rPr>
                <w:rFonts w:ascii="Calibri" w:hAnsi="Calibri"/>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436" w:type="dxa"/>
            <w:tcBorders>
              <w:top w:val="nil"/>
              <w:left w:val="nil"/>
              <w:bottom w:val="single" w:sz="8" w:space="0" w:color="auto"/>
              <w:right w:val="nil"/>
            </w:tcBorders>
            <w:shd w:val="clear" w:color="auto" w:fill="auto"/>
            <w:noWrap/>
            <w:hideMark/>
          </w:tcPr>
          <w:p>
            <w:pPr>
              <w:spacing w:after="0"/>
              <w:jc w:val="right"/>
              <w:rPr>
                <w:rFonts w:eastAsia="Times New Roman"/>
                <w:noProof/>
                <w:sz w:val="12"/>
                <w:szCs w:val="12"/>
              </w:rPr>
            </w:pPr>
            <w:r>
              <w:rPr>
                <w:noProof/>
                <w:sz w:val="12"/>
                <w:szCs w:val="12"/>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 xml:space="preserve"> </w:t>
            </w:r>
          </w:p>
        </w:tc>
        <w:tc>
          <w:tcPr>
            <w:tcW w:w="1134"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 xml:space="preserve"> </w:t>
            </w:r>
          </w:p>
        </w:tc>
        <w:tc>
          <w:tcPr>
            <w:tcW w:w="1276"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 xml:space="preserve"> </w:t>
            </w:r>
          </w:p>
        </w:tc>
        <w:tc>
          <w:tcPr>
            <w:tcW w:w="1137"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Maquereau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6, 7, 8a, 8b, 8d et 8e; eaux de l’Union et eaux internationales de la zone 5b; eaux internationales des zones 2a, 12 et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(MAC/2CX14-)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Estonie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Lettonie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Lituanie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Pologne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Îles Féroé</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Condition particulière: dont 25 %, au plus, peuvent être mis à disposition pour les échanges à pêcher par l’Espagne, la France et le Portugal dans les zones 8c, 9 et 10 et les eaux de l’Union de la zone Copace 34.1.1 (MAC/*8C910).</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Peut être pêché dans les zones 2a, 6a au nord de 56° 30′ N, 4a, 7d, 7e, 7f et 7h (MAC/*AX7H).</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La Norvège peut pêcher la quantité en tonnes figurant ci-dessous à titre de limite d’accès (MAC/*N5630) au nord de 56° 30′ N. Les quantités non imputées conformément à la note 2 sont imputées sur la limite de capture de la Norvège.</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Cette quantité est à déduire de la limite de capture des Îles Féroé (quota d’accès). Peut être pêché exclusivement dans la zone 6a, au nord de 56° 30′ N (MAC/*6AN56). Toutefois, du 1er janvier au 15 février et du 1er octobre au 31 décembre, ce quota peut également être pêché dans les zones 2a, 4a, au nord de 59° (zone Union) (MAC/*24N59).</w:t>
            </w: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Condition particulière: dans le cadre des quotas susmentionnés, les captures sont limitées, dans les zones et périodes suivantes, aux quantités portées ci-dessous:</w:t>
            </w:r>
          </w:p>
        </w:tc>
      </w:tr>
      <w:tr>
        <w:trPr>
          <w:trHeight w:val="264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hideMark/>
          </w:tcPr>
          <w:p>
            <w:pPr>
              <w:spacing w:after="0"/>
              <w:rPr>
                <w:rFonts w:ascii="Calibri" w:eastAsia="Times New Roman" w:hAnsi="Calibri" w:cs="Calibri"/>
                <w:b/>
                <w:bCs/>
                <w:noProof/>
                <w:sz w:val="12"/>
                <w:szCs w:val="12"/>
              </w:rPr>
            </w:pPr>
            <w:r>
              <w:rPr>
                <w:rFonts w:ascii="Calibri" w:hAnsi="Calibri"/>
                <w:b/>
                <w:bCs/>
                <w:noProof/>
                <w:color w:val="000000"/>
                <w:sz w:val="12"/>
                <w:szCs w:val="12"/>
              </w:rPr>
              <w:t>E</w:t>
            </w:r>
            <w:r>
              <w:rPr>
                <w:rFonts w:ascii="Calibri" w:hAnsi="Calibri"/>
                <w:b/>
                <w:bCs/>
                <w:noProof/>
                <w:sz w:val="12"/>
                <w:szCs w:val="12"/>
              </w:rPr>
              <w:t>aux de l’Union de la zone 2a; eaux de l’Union et eaux norvégiennes de la zone 4a. Durant les périodes comprises entre le 1</w:t>
            </w:r>
            <w:r>
              <w:rPr>
                <w:rFonts w:ascii="Calibri" w:hAnsi="Calibri"/>
                <w:b/>
                <w:bCs/>
                <w:noProof/>
                <w:sz w:val="12"/>
                <w:szCs w:val="12"/>
                <w:vertAlign w:val="superscript"/>
              </w:rPr>
              <w:t>er</w:t>
            </w:r>
            <w:r>
              <w:rPr>
                <w:rFonts w:ascii="Calibri" w:hAnsi="Calibri"/>
                <w:b/>
                <w:bCs/>
                <w:noProof/>
                <w:sz w:val="12"/>
                <w:szCs w:val="12"/>
              </w:rPr>
              <w:t xml:space="preserve"> janvier et le 15 février et entre le 1</w:t>
            </w:r>
            <w:r>
              <w:rPr>
                <w:rFonts w:ascii="Calibri" w:hAnsi="Calibri"/>
                <w:b/>
                <w:bCs/>
                <w:noProof/>
                <w:sz w:val="12"/>
                <w:szCs w:val="12"/>
                <w:vertAlign w:val="superscript"/>
              </w:rPr>
              <w:t>er</w:t>
            </w:r>
            <w:r>
              <w:rPr>
                <w:rFonts w:ascii="Calibri" w:hAnsi="Calibri"/>
                <w:b/>
                <w:bCs/>
                <w:noProof/>
                <w:sz w:val="12"/>
                <w:szCs w:val="12"/>
              </w:rPr>
              <w:t xml:space="preserve"> septembre et le 31 décembre</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b/>
                <w:bCs/>
                <w:noProof/>
                <w:color w:val="000000"/>
                <w:sz w:val="12"/>
                <w:szCs w:val="12"/>
              </w:rPr>
            </w:pPr>
            <w:r>
              <w:rPr>
                <w:rFonts w:ascii="Calibri" w:hAnsi="Calibri"/>
                <w:b/>
                <w:bCs/>
                <w:noProof/>
                <w:color w:val="000000"/>
                <w:sz w:val="12"/>
                <w:szCs w:val="12"/>
              </w:rPr>
              <w:t xml:space="preserve"> </w:t>
            </w:r>
          </w:p>
        </w:tc>
        <w:tc>
          <w:tcPr>
            <w:tcW w:w="2410" w:type="dxa"/>
            <w:gridSpan w:val="2"/>
            <w:tcBorders>
              <w:top w:val="nil"/>
              <w:left w:val="single" w:sz="4" w:space="0" w:color="auto"/>
              <w:bottom w:val="nil"/>
              <w:right w:val="single" w:sz="4" w:space="0" w:color="000000"/>
            </w:tcBorders>
            <w:shd w:val="clear" w:color="auto" w:fill="auto"/>
            <w:noWrap/>
            <w:hideMark/>
          </w:tcPr>
          <w:p>
            <w:pPr>
              <w:spacing w:after="0"/>
              <w:rPr>
                <w:rFonts w:ascii="Calibri" w:eastAsia="Times New Roman" w:hAnsi="Calibri" w:cs="Calibri"/>
                <w:b/>
                <w:bCs/>
                <w:noProof/>
                <w:color w:val="000000"/>
                <w:sz w:val="12"/>
                <w:szCs w:val="12"/>
              </w:rPr>
            </w:pPr>
            <w:r>
              <w:rPr>
                <w:rFonts w:ascii="Calibri" w:hAnsi="Calibri"/>
                <w:b/>
                <w:bCs/>
                <w:noProof/>
                <w:color w:val="000000"/>
                <w:sz w:val="12"/>
                <w:szCs w:val="12"/>
              </w:rPr>
              <w:t>Eaux norvégiennes de la zone 2a</w:t>
            </w:r>
          </w:p>
        </w:tc>
        <w:tc>
          <w:tcPr>
            <w:tcW w:w="2410" w:type="dxa"/>
            <w:gridSpan w:val="2"/>
            <w:tcBorders>
              <w:top w:val="nil"/>
              <w:left w:val="nil"/>
              <w:bottom w:val="nil"/>
              <w:right w:val="single" w:sz="4" w:space="0" w:color="000000"/>
            </w:tcBorders>
            <w:shd w:val="clear" w:color="auto" w:fill="auto"/>
            <w:noWrap/>
            <w:hideMark/>
          </w:tcPr>
          <w:p>
            <w:pPr>
              <w:spacing w:after="0"/>
              <w:rPr>
                <w:rFonts w:eastAsia="Times New Roman"/>
                <w:b/>
                <w:bCs/>
                <w:noProof/>
                <w:color w:val="000000"/>
                <w:sz w:val="12"/>
                <w:szCs w:val="12"/>
              </w:rPr>
            </w:pPr>
            <w:r>
              <w:rPr>
                <w:b/>
                <w:bCs/>
                <w:noProof/>
                <w:color w:val="000000"/>
                <w:sz w:val="12"/>
                <w:szCs w:val="12"/>
              </w:rPr>
              <w:t>Eaux des Îles Féroé</w:t>
            </w:r>
          </w:p>
        </w:tc>
        <w:tc>
          <w:tcPr>
            <w:tcW w:w="1276"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single" w:sz="4" w:space="0" w:color="auto"/>
              <w:left w:val="single" w:sz="4" w:space="0" w:color="auto"/>
              <w:bottom w:val="single" w:sz="4" w:space="0" w:color="auto"/>
              <w:right w:val="nil"/>
            </w:tcBorders>
            <w:shd w:val="clear" w:color="auto" w:fill="auto"/>
            <w:noWrap/>
            <w:hideMark/>
          </w:tcPr>
          <w:p>
            <w:pPr>
              <w:spacing w:after="0"/>
              <w:rPr>
                <w:rFonts w:eastAsia="Times New Roman"/>
                <w:noProof/>
                <w:sz w:val="12"/>
                <w:szCs w:val="12"/>
              </w:rPr>
            </w:pPr>
            <w:r>
              <w:rPr>
                <w:noProof/>
                <w:sz w:val="12"/>
                <w:szCs w:val="12"/>
              </w:rPr>
              <w:t>(MAC/*4A-EN)</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4" w:type="dxa"/>
            <w:tcBorders>
              <w:top w:val="single" w:sz="4" w:space="0" w:color="auto"/>
              <w:left w:val="nil"/>
              <w:bottom w:val="single" w:sz="4" w:space="0" w:color="auto"/>
              <w:right w:val="nil"/>
            </w:tcBorders>
            <w:shd w:val="clear" w:color="auto" w:fill="auto"/>
            <w:noWrap/>
            <w:hideMark/>
          </w:tcPr>
          <w:p>
            <w:pPr>
              <w:spacing w:after="0"/>
              <w:rPr>
                <w:rFonts w:eastAsia="Times New Roman"/>
                <w:noProof/>
                <w:color w:val="000000"/>
                <w:sz w:val="12"/>
                <w:szCs w:val="12"/>
              </w:rPr>
            </w:pPr>
            <w:r>
              <w:rPr>
                <w:noProof/>
                <w:color w:val="000000"/>
                <w:sz w:val="12"/>
                <w:szCs w:val="12"/>
              </w:rPr>
              <w:t>(MAC/*2AN-)</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single" w:sz="4" w:space="0" w:color="auto"/>
              <w:left w:val="nil"/>
              <w:bottom w:val="single" w:sz="4" w:space="0" w:color="auto"/>
              <w:right w:val="nil"/>
            </w:tcBorders>
            <w:shd w:val="clear" w:color="auto" w:fill="auto"/>
            <w:noWrap/>
            <w:hideMark/>
          </w:tcPr>
          <w:p>
            <w:pPr>
              <w:spacing w:after="0"/>
              <w:jc w:val="center"/>
              <w:rPr>
                <w:rFonts w:eastAsia="Times New Roman"/>
                <w:noProof/>
                <w:color w:val="000000"/>
                <w:sz w:val="12"/>
                <w:szCs w:val="12"/>
              </w:rPr>
            </w:pPr>
            <w:r>
              <w:rPr>
                <w:noProof/>
                <w:color w:val="000000"/>
                <w:sz w:val="12"/>
                <w:szCs w:val="12"/>
              </w:rPr>
              <w:t>(MAC/*FRO2)</w:t>
            </w:r>
          </w:p>
        </w:tc>
        <w:tc>
          <w:tcPr>
            <w:tcW w:w="1273"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Allemagne</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single" w:sz="4" w:space="0" w:color="auto"/>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France</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Irlande</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Pays-Bas</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Union</w:t>
            </w:r>
          </w:p>
        </w:tc>
        <w:tc>
          <w:tcPr>
            <w:tcW w:w="1436" w:type="dxa"/>
            <w:tcBorders>
              <w:top w:val="nil"/>
              <w:left w:val="nil"/>
              <w:bottom w:val="single" w:sz="4" w:space="0" w:color="auto"/>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nil"/>
              <w:left w:val="nil"/>
              <w:bottom w:val="single" w:sz="4" w:space="0" w:color="auto"/>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single" w:sz="4" w:space="0" w:color="auto"/>
              <w:bottom w:val="single" w:sz="4" w:space="0" w:color="auto"/>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single" w:sz="4" w:space="0" w:color="auto"/>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Royaume-Uni</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Maquereau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8c, 9 et 10; eaux de l’Union de la zone Copace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(MAC/8C3411)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les quantités faisant l’objet d’échanges avec les autres États membres peuvent être prélevées dans les zones 8a, 8b et 8d (MAC/*8ABD.). Toutefois, les quantités fournies par l’Espagne, le Portugal ou la France à des fins d’échange et pêchées dans les zones 8a, 8b et 8d ne peuvent excéder 25 % des quotas de l’État membre donneur.</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Condition particulière: dans le cadre des quotas susmentionnés, les captures sont limitées, dans la zone suivante, aux quantités portées ci-dessous:</w:t>
            </w:r>
          </w:p>
        </w:tc>
      </w:tr>
      <w:tr>
        <w:trPr>
          <w:trHeight w:val="255"/>
        </w:trPr>
        <w:tc>
          <w:tcPr>
            <w:tcW w:w="2862" w:type="dxa"/>
            <w:gridSpan w:val="2"/>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8b (MAC/*08B.)</w:t>
            </w:r>
          </w:p>
        </w:tc>
        <w:tc>
          <w:tcPr>
            <w:tcW w:w="1283" w:type="dxa"/>
            <w:tcBorders>
              <w:top w:val="nil"/>
              <w:left w:val="nil"/>
              <w:bottom w:val="single" w:sz="4" w:space="0" w:color="auto"/>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Maquereau commun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des zones 2a et 4a</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(MAC/2A4A-N)</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Sans objet</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Sole commune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3a; eaux de l’Union des sous-divisions 22 à 24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(SOL/3ABC24)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500</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29</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48</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19</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596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596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Ne peut être pêché que dans les eaux de l’Union de la zone 3a, sous-divisions 22 à 24.</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Sole commune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et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(SOL/24-C.)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À pêcher exclusivement dans les eaux de l’Union de la zone 4 (SOL/*04-C.).</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Sole commune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6; eaux de l’Union et eaux internationales de la zone 5b; eaux internationales des zones 12 et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Sole commune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(SOL/07A.)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Sole commune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7b et 7c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(SOL/7BC.)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36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34</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 xml:space="preserve"> 34</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Sole commune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7d</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(SOL/07D.)</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Sole commune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7e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(SOL/07E.)</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Sole commune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7f et 7g</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(SOL/7FG.)</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Sole commune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7h, 7j et 7k</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(SOL/7HJK.)</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Sole commune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8a et 8b</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(SOL/8AB.)</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42</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8</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3 077</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231</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3 358</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3 483</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Soles</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Zones 8c, 8d, 8e, 9 et 10; eaux de l’Union de la zone Copace 34.1.1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 xml:space="preserve">Solea </w:t>
            </w:r>
            <w:r>
              <w:rPr>
                <w:iCs/>
                <w:noProof/>
                <w:sz w:val="18"/>
                <w:szCs w:val="18"/>
              </w:rPr>
              <w:t>spp.</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(SOO/8CDE34)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189</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313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502</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 xml:space="preserve"> 502</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Sprat et prises accessoires associées</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3a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Sprattus sprattus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(SPR/03A.)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Jusqu’à 5 % du quota peuvent être constitués de prises accessoires de merlan et d’églefin (OTH/*03A.). Les prises accessoires de merlan et d’églefin imputées sur le quota conformément à la présente disposition et les prises accessoires d’espèces imputées sur le quota conformément à l’article 15, paragraphe 8, du règlement (UE) nº 1380/2013 ne dépassent pas, au total, 9 % du quota.</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Ce quota ne peut être pêché que du 1er juillet 2021 au 30 juin 2022.</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Sprat et prises accessoires associées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et 4</w:t>
            </w:r>
          </w:p>
        </w:tc>
        <w:tc>
          <w:tcPr>
            <w:tcW w:w="1276" w:type="dxa"/>
            <w:tcBorders>
              <w:top w:val="single" w:sz="8" w:space="0" w:color="auto"/>
              <w:left w:val="nil"/>
              <w:bottom w:val="nil"/>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r>
      <w:tr>
        <w:trPr>
          <w:trHeight w:val="735"/>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Sprattus sprattus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7" w:type="dxa"/>
            <w:tcBorders>
              <w:top w:val="nil"/>
              <w:left w:val="nil"/>
              <w:bottom w:val="single" w:sz="8" w:space="0" w:color="auto"/>
              <w:right w:val="nil"/>
            </w:tcBorders>
            <w:shd w:val="clear" w:color="auto" w:fill="auto"/>
            <w:hideMark/>
          </w:tcPr>
          <w:p>
            <w:pPr>
              <w:spacing w:after="0"/>
              <w:jc w:val="center"/>
              <w:rPr>
                <w:rFonts w:eastAsia="Times New Roman"/>
                <w:noProof/>
                <w:sz w:val="18"/>
                <w:szCs w:val="18"/>
              </w:rPr>
            </w:pPr>
            <w:r>
              <w:rPr>
                <w:noProof/>
                <w:sz w:val="18"/>
                <w:szCs w:val="18"/>
              </w:rPr>
              <w:t xml:space="preserve"> (SPR/2AC4-C)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Îles Féroé</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 quota peut être pêché uniquement du 1er juillet 2021 au 30 juin 2022.</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Jusqu’à 2 % du quota peuvent être constitués de prises accessoires de merlan (OTH/*2AC4C). Les prises accessoires de merlan imputées sur le quota conformément à la présente disposition et les prises accessoires d’espèces imputées sur le quota conformément à l’article 15, paragraphe 8, du règlement (UE) nº 1380/2013 ne dépassent pas, au total, 9 % du quota.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Y compris le lançon.</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Peut contenir jusqu’à 4 % de prises accessoires de hareng.</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Sprat</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Zones 7d et 7e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Sprattus sprattus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(SPR/7DE.)</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Aiguillat commun</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et eaux internationales des zones 1, 5, 6, 7, 8, 12 et 14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Squalus acanthias</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(DGS/15X14)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L’aiguillat commun n’est pas ciblé dans les zones couvertes par ce TAC. En cas de capture accidentelle dans des pêcheries où l’aiguillat commun n’est pas soumis à l’obligation de débarquement, les spécimens ne sont pas blessés et sont remis à la mer immédiatement, comme l’exigent les articles 13 et 48 du présent règlement. Par dérogation à l’article 14, un navire participant au programme visant à éviter les prises accessoires qui a fait l’objet d’une évaluation positive par le CSTEP ne peut pas débarquer plus de 2 tonnes par mois d’aiguillats communs qui sont morts au moment où l’engin de pêche est remonté à bord. Les États membres participant au programme visant à éviter les prises accessoires s’assurent que les débarquements annuels totaux d’aiguillats communs sur la base de cette dérogation ne dépassent pas les quantités indiquées ci-dessus. Ils communiquent à la Commission la liste des navires participants avant d’autoriser tout débarquement. Les États membres échangent des informations sur les zones où le programme visant à éviter les prises accessoires est mis en œuvre.</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vAlign w:val="bottom"/>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Chinchards et prises accessoires associées</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4b, 4c et 7d</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iCs/>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(JAX/4BC7D)</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Jusqu’à 5 % du quota peuvent être constitués de prises accessoires de sangliers, d’églefin, de merlan et de maquereau commun (OTH/*4BC7D). Les prises accessoires de sangliers, d’églefin, de merlan et de maquereau commun imputées sur le quota conformément à la présente disposition et les prises accessoires d’espèces imputées sur le quota conformément à l’article 15, paragraphe 8, du règlement (UE) nº 1380/2013 ne dépassent pas, au total, 9 % du quota.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jusqu’à p.m. % de ce quota exploité dans la division 7d peuvent être imputés sur le quota concernant la zone suivante: eaux de l’Union des zones 2a, 4a, 6, 7a-c,7e-k, 8a, 8b, 8d et 8e; eaux de l’Union et eaux internationales de la zone 5b; eaux internationales des zones 12 et 14 (JAX/*7D-EU).</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Pêche autorisée dans les eaux de l’Union de la zone 4a mais non autorisée dans les eaux de l’Union de la zone 7d (JAX/*04-C.).</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Chinchards et prises accessoires associées</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Eaux de l’Union des zones 2a, 4a; 6, 7a-c, 7e-k, 8a, 8b, 8d et 8e; eaux de l’Union et eaux internationales de la zone 5b; eaux internationales des zones 12 et 14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iCs/>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(JAX/2A-14)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(3)</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 (5)</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(5)</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Irlande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 (5)</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Îles Féroé</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jusqu’à 5 % de ce quota exploité dans les eaux de l’Union des zones 2a ou 4a avant le 30 juin peuvent être imputés sur le quota concernant les eaux de l’Union des zones 4b, 4c et 7d (JAX/*2A4AC).</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jusqu’à p.m. % de ce quota peuvent être pêchés dans la zone 7d (JAX/*07D). En vertu de cette condition particulière, et conformément à la note 3, les prises accessoires de sangliers et de merlan doivent être déclarées séparément sous le code suivant: (OTH/*07D.).</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Jusqu’à 5 % du quota peuvent être constitués de prises accessoires de sangliers, d’églefin, de merlan et de maquereau commun (OTH/*2A-14). Les prises accessoires de sangliers, d’églefin, de merlan et de maquereau commun imputées sur le quota conformément à la présente disposition et les prises accessoires d’espèces imputées sur le quota conformément à l’article 15, paragraphe 8, du règlement (UE) nº 1380/2013 ne dépassent pas, au total, 9 % du quota.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Limité uniquement aux zones 4a, 6a (au nord de 56° 30′ N uniquement), 7e, 7f, 7h.</w:t>
            </w:r>
          </w:p>
        </w:tc>
        <w:tc>
          <w:tcPr>
            <w:tcW w:w="1276" w:type="dxa"/>
            <w:tcBorders>
              <w:top w:val="nil"/>
              <w:left w:val="nil"/>
              <w:bottom w:val="nil"/>
              <w:right w:val="nil"/>
            </w:tcBorders>
            <w:shd w:val="clear" w:color="auto" w:fill="auto"/>
            <w:noWrap/>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(5)</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jusqu’à 80 % de ce quota peuvent être pêchés dans la zone 8c (JAX/*08C2). En vertu de cette condition particulière, et conformément à la note 3, les prises accessoires de sangliers et de merlan doivent être déclarées séparément sous le code suivant: (OTH/*08C2).</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Chinchards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8c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iCs/>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(JAX/08C.)</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jusqu’à p.m. % de ce quota peuvent être pêchés dans la zone 9 (JAX/*09.).</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Chinchards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9</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iCs/>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(JAX/09.)</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31 834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91 211</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7, paragraphe 2,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123 045</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128 627</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jusqu’à p.m. % de ce quota peuvent être pêchés dans la zone 8c (JAX/*08C).</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Chinchards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Zone 10; eaux de l’Union de la zone Copace (1)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iCs/>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(JAX/X34PRT)</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À fixer</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À fixer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6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À fixer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Eaux bordant les Açores.</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La quantité fixée est égale au quota du Portugal.</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Chinchards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Eaux de l’Union de la zone Copace (1)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iCs/>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(JAX/341PRT)</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À fixer</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À fixer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6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À fixer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Eaux bordant Madère.</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La quantité fixée est égale au quota du Portugal.</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Chinchards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Eaux de l’Union de la zone Copace (1)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iCs/>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(JAX/341SPN)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À fixer</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À fixer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6 du présent règlement s’applique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À fixer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Eaux bordant les îles Canaries.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La quantité fixée est égale au quota de l’Espagne.</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Tacaud norvégien et prises accessoires associées</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 3a; eaux de l’Union des zones 2a et 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Trisopterus esmarkii</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(NOP/2A3A4.)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8"/>
                <w:szCs w:val="18"/>
              </w:rPr>
            </w:pPr>
            <w:r>
              <w:rPr>
                <w:b/>
                <w:bCs/>
                <w:noProof/>
                <w:color w:val="000000"/>
                <w:sz w:val="18"/>
                <w:szCs w:val="18"/>
              </w:rPr>
              <w:t>Année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2021</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2022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(6)</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analytique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 (2)(3)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(6)</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3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(1)(2)(3)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(2)(6)</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L’article 4 du règlement (CE) nº 847/96 ne s’applique pas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(6)</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(4)</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Îles Féroé</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(5)</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(5)</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Sans objet</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Sans objet</w:t>
            </w:r>
          </w:p>
        </w:tc>
        <w:tc>
          <w:tcPr>
            <w:tcW w:w="1276"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Jusqu’à 5 % du quota peuvent être constitués de prises accessoires d’églefin et de merlan (OT2/*2A3A4). Les prises accessoires d’églefin et de merlan imputées sur le quota conformément à la présente disposition et les prises accessoires d’espèces imputées sur le quota conformément à l’article 15, paragraphe 8, du règlement (UE) nº 1380/2013 ne dépassent pas, au total, 9 % du quota.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Ne peut être pêché que dans les eaux de l’Union des zones CIEM 2a, 3a et 4.</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Le quota de l’Union ne peut être pêché que du 1er novembre 2020 au 31 octobre 2021.</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Une grille de tri est utilisée.</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(5)</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Une grille de tri est utilisée. Inclut un maximum de 15 % de prises accessoires inévitables (NOP/*2A3A4), à imputer sur ce quota.</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(6)</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Le quota de l’Union ne peut être pêché que du 1er novembre 2021 au 31 octobre 2022.</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Poisson industriel</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 la zone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(I/F/04-N.)</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Prises accessoires de cabillaud, d’églefin, de lieu jaune, de merlan et de lieu noir à imputer sur les quotas applicables à ces espèces.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Condition particulière: dont la quantité maximale suivante de chinchards (JAX/*04-N.):</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Autres espèces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5b, 6 et 7</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(OTH/5B67-C)</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Pêche à la palangre uniquement.</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Autres espèces</w:t>
            </w:r>
          </w:p>
        </w:tc>
        <w:tc>
          <w:tcPr>
            <w:tcW w:w="1134" w:type="dxa"/>
            <w:tcBorders>
              <w:top w:val="nil"/>
              <w:left w:val="nil"/>
              <w:bottom w:val="nil"/>
              <w:right w:val="single" w:sz="8" w:space="0" w:color="auto"/>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norvégiennes de la zone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(OTH/04-N.)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Belgique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Danemark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Allemagne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Pays-Bas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Suède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Sans objet</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Royaume-Uni</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Quota attribué à un niveau habituel par la Norvège à la Suède pour les «autres espèces».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Y compris les pêcheries non mentionnées spécifiquement. Le cas échéant, des exceptions peuvent être introduites après consultations.</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Espèce:</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Autres espèces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Eaux de l’Union des zones 2a, 4 et 6a au nord de 56° 30′ N</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(OTH/2A46AN)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 de précaution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Norvège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Îles Féroé</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Sans objet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Limité aux zones 2a et 4 (OTH/*2A4-C).</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Y compris les pêcheries non mentionnées spécifiquement. Le cas échéant, des exceptions peuvent être introduites après consultations.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(3)</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À pêcher dans les zones 4 et 6a au nord de 56° 30′ N (OTH/*46AN).</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r>
    </w:tbl>
    <w:p>
      <w:pPr>
        <w:pStyle w:val="Lignefinal"/>
        <w:rPr>
          <w:noProof/>
        </w:rPr>
      </w:pPr>
    </w:p>
    <w:p>
      <w:pPr>
        <w:spacing w:before="0" w:after="200" w:line="276" w:lineRule="auto"/>
        <w:jc w:val="left"/>
        <w:rPr>
          <w:noProof/>
        </w:rPr>
      </w:pPr>
      <w:r>
        <w:rPr>
          <w:noProof/>
        </w:rPr>
        <w:br w:type="page"/>
      </w:r>
    </w:p>
    <w:p>
      <w:pPr>
        <w:jc w:val="center"/>
        <w:rPr>
          <w:b/>
          <w:noProof/>
        </w:rPr>
      </w:pPr>
      <w:r>
        <w:rPr>
          <w:b/>
          <w:noProof/>
        </w:rPr>
        <w:t>ANNEXE IB</w:t>
      </w:r>
    </w:p>
    <w:p>
      <w:pPr>
        <w:pStyle w:val="NormalCentered"/>
        <w:rPr>
          <w:noProof/>
        </w:rPr>
      </w:pPr>
      <w:r>
        <w:rPr>
          <w:noProof/>
        </w:rPr>
        <w:t>ATLANTIQUE DU NORD-EST ET GROENLAND, SOUS-ZONES CIEM 1, 2, 5, 12 ET 14 ET EAUX GROENLANDAISES DE LA ZONE OPANO 1</w:t>
      </w:r>
    </w:p>
    <w:tbl>
      <w:tblPr>
        <w:tblW w:w="9747" w:type="dxa"/>
        <w:tblInd w:w="108" w:type="dxa"/>
        <w:tblLayout w:type="fixed"/>
        <w:tblLook w:val="04A0" w:firstRow="1" w:lastRow="0" w:firstColumn="1" w:lastColumn="0" w:noHBand="0" w:noVBand="1"/>
      </w:tblPr>
      <w:tblGrid>
        <w:gridCol w:w="1980"/>
        <w:gridCol w:w="1355"/>
        <w:gridCol w:w="988"/>
        <w:gridCol w:w="367"/>
        <w:gridCol w:w="436"/>
        <w:gridCol w:w="919"/>
        <w:gridCol w:w="3702"/>
      </w:tblGrid>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Hareng commun</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de l’Union, des Îles Féroé et de la Norvège et eaux internationales des zones 1 et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Clupea harengus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(HER/1/2-)</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Belgique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Danemark</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Espagne</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Irlande</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Pays-Bas</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Pologne</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Portugal</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Finlande</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Suède</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szCs w:val="24"/>
              </w:rPr>
            </w:pPr>
            <w:r>
              <w:rPr>
                <w:rFonts w:asciiTheme="majorBidi" w:hAnsiTheme="majorBidi"/>
                <w:noProof/>
              </w:rPr>
              <w:t>Îles Féroé</w:t>
            </w:r>
          </w:p>
        </w:tc>
        <w:tc>
          <w:tcPr>
            <w:tcW w:w="2343" w:type="dxa"/>
            <w:gridSpan w:val="2"/>
            <w:noWrap/>
            <w:hideMark/>
          </w:tcPr>
          <w:p>
            <w:pPr>
              <w:spacing w:before="60" w:after="60"/>
              <w:jc w:val="right"/>
              <w:rPr>
                <w:rFonts w:asciiTheme="majorBidi" w:hAnsiTheme="majorBidi" w:cstheme="majorBidi"/>
                <w:noProof/>
              </w:rPr>
            </w:pPr>
            <w:r>
              <w:rPr>
                <w:noProof/>
              </w:rPr>
              <w:t>p.m.</w:t>
            </w:r>
          </w:p>
        </w:tc>
        <w:tc>
          <w:tcPr>
            <w:tcW w:w="803" w:type="dxa"/>
            <w:gridSpan w:val="2"/>
            <w:noWrap/>
            <w:hideMark/>
          </w:tcPr>
          <w:p>
            <w:pPr>
              <w:spacing w:before="60" w:after="60"/>
              <w:rPr>
                <w:rFonts w:asciiTheme="majorBidi" w:hAnsiTheme="majorBidi" w:cstheme="majorBidi"/>
                <w:b/>
                <w:bCs/>
                <w:noProof/>
              </w:rPr>
            </w:pPr>
            <w:r>
              <w:rPr>
                <w:rFonts w:asciiTheme="majorBidi" w:hAnsiTheme="majorBidi"/>
                <w:b/>
                <w:bCs/>
                <w:noProof/>
                <w:vertAlign w:val="superscript"/>
              </w:rPr>
              <w:t>(2)(3)</w:t>
            </w:r>
          </w:p>
        </w:tc>
        <w:tc>
          <w:tcPr>
            <w:tcW w:w="919" w:type="dxa"/>
            <w:noWrap/>
            <w:hideMark/>
          </w:tcPr>
          <w:p>
            <w:pPr>
              <w:rPr>
                <w:rFonts w:asciiTheme="majorBidi" w:hAnsiTheme="majorBidi" w:cstheme="majorBidi"/>
                <w:b/>
                <w:bCs/>
                <w:noProof/>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szCs w:val="24"/>
              </w:rPr>
            </w:pPr>
            <w:r>
              <w:rPr>
                <w:rFonts w:asciiTheme="majorBidi" w:hAnsiTheme="majorBidi"/>
                <w:noProof/>
              </w:rPr>
              <w:t>Norvège</w:t>
            </w:r>
          </w:p>
        </w:tc>
        <w:tc>
          <w:tcPr>
            <w:tcW w:w="2343" w:type="dxa"/>
            <w:gridSpan w:val="2"/>
            <w:noWrap/>
            <w:hideMark/>
          </w:tcPr>
          <w:p>
            <w:pPr>
              <w:spacing w:before="60" w:after="60"/>
              <w:jc w:val="right"/>
              <w:rPr>
                <w:rFonts w:asciiTheme="majorBidi" w:hAnsiTheme="majorBidi" w:cstheme="majorBidi"/>
                <w:noProof/>
              </w:rPr>
            </w:pPr>
            <w:r>
              <w:rPr>
                <w:noProof/>
              </w:rPr>
              <w:t>p.m.</w:t>
            </w:r>
          </w:p>
        </w:tc>
        <w:tc>
          <w:tcPr>
            <w:tcW w:w="803" w:type="dxa"/>
            <w:gridSpan w:val="2"/>
            <w:noWrap/>
            <w:hideMark/>
          </w:tcPr>
          <w:p>
            <w:pPr>
              <w:spacing w:before="60" w:after="60"/>
              <w:rPr>
                <w:rFonts w:asciiTheme="majorBidi" w:hAnsiTheme="majorBidi" w:cstheme="majorBidi"/>
                <w:b/>
                <w:bCs/>
                <w:noProof/>
              </w:rPr>
            </w:pPr>
            <w:r>
              <w:rPr>
                <w:rFonts w:asciiTheme="majorBidi" w:hAnsiTheme="majorBidi"/>
                <w:b/>
                <w:bCs/>
                <w:noProof/>
                <w:vertAlign w:val="superscript"/>
              </w:rPr>
              <w:t>(2)(4)</w:t>
            </w:r>
          </w:p>
        </w:tc>
        <w:tc>
          <w:tcPr>
            <w:tcW w:w="919" w:type="dxa"/>
            <w:noWrap/>
            <w:hideMark/>
          </w:tcPr>
          <w:p>
            <w:pPr>
              <w:rPr>
                <w:rFonts w:asciiTheme="majorBidi" w:hAnsiTheme="majorBidi" w:cstheme="majorBidi"/>
                <w:b/>
                <w:bCs/>
                <w:noProof/>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lang w:eastAsia="en-GB"/>
              </w:rPr>
            </w:pPr>
          </w:p>
        </w:tc>
        <w:tc>
          <w:tcPr>
            <w:tcW w:w="7767" w:type="dxa"/>
            <w:gridSpan w:val="6"/>
            <w:noWrap/>
            <w:hideMark/>
          </w:tcPr>
          <w:p>
            <w:pPr>
              <w:spacing w:before="60" w:after="60"/>
              <w:rPr>
                <w:rFonts w:asciiTheme="majorBidi" w:hAnsiTheme="majorBidi" w:cstheme="majorBidi"/>
                <w:noProof/>
                <w:color w:val="000000"/>
                <w:lang w:eastAsia="en-GB"/>
              </w:rPr>
            </w:pPr>
          </w:p>
        </w:tc>
      </w:tr>
      <w:tr>
        <w:trPr>
          <w:trHeight w:val="270"/>
        </w:trPr>
        <w:tc>
          <w:tcPr>
            <w:tcW w:w="1980" w:type="dxa"/>
            <w:noWrap/>
            <w:hideMark/>
          </w:tcPr>
          <w:p>
            <w:pPr>
              <w:spacing w:before="60" w:after="60"/>
              <w:jc w:val="right"/>
              <w:rPr>
                <w:rFonts w:asciiTheme="majorBidi" w:hAnsiTheme="majorBidi" w:cstheme="majorBidi"/>
                <w:b/>
                <w:bCs/>
                <w:noProof/>
              </w:rPr>
            </w:pPr>
            <w:r>
              <w:rPr>
                <w:rFonts w:asciiTheme="majorBidi" w:hAnsiTheme="majorBidi"/>
                <w:b/>
                <w:bCs/>
                <w:noProof/>
                <w:vertAlign w:val="superscript"/>
              </w:rPr>
              <w:t>(1)</w:t>
            </w:r>
          </w:p>
        </w:tc>
        <w:tc>
          <w:tcPr>
            <w:tcW w:w="7767" w:type="dxa"/>
            <w:gridSpan w:val="6"/>
            <w:noWrap/>
            <w:hideMark/>
          </w:tcPr>
          <w:p>
            <w:pPr>
              <w:spacing w:before="60" w:after="60"/>
              <w:rPr>
                <w:rFonts w:asciiTheme="majorBidi" w:hAnsiTheme="majorBidi" w:cstheme="majorBidi"/>
                <w:noProof/>
              </w:rPr>
            </w:pPr>
            <w:r>
              <w:rPr>
                <w:rFonts w:asciiTheme="majorBidi" w:hAnsiTheme="majorBidi"/>
                <w:noProof/>
              </w:rPr>
              <w:t>Peut être pêché dans les eaux de l’Union situées au nord de 62° N.</w:t>
            </w:r>
          </w:p>
        </w:tc>
      </w:tr>
      <w:tr>
        <w:trPr>
          <w:trHeight w:val="270"/>
        </w:trPr>
        <w:tc>
          <w:tcPr>
            <w:tcW w:w="1980" w:type="dxa"/>
            <w:noWrap/>
            <w:hideMark/>
          </w:tcPr>
          <w:p>
            <w:pPr>
              <w:spacing w:before="60" w:after="60"/>
              <w:jc w:val="right"/>
              <w:rPr>
                <w:rFonts w:asciiTheme="majorBidi" w:hAnsiTheme="majorBidi" w:cstheme="majorBidi"/>
                <w:b/>
                <w:bCs/>
                <w:noProof/>
              </w:rPr>
            </w:pPr>
            <w:r>
              <w:rPr>
                <w:rFonts w:asciiTheme="majorBidi" w:hAnsiTheme="majorBidi"/>
                <w:b/>
                <w:bCs/>
                <w:noProof/>
                <w:vertAlign w:val="superscript"/>
              </w:rPr>
              <w:t>(2)</w:t>
            </w:r>
          </w:p>
        </w:tc>
        <w:tc>
          <w:tcPr>
            <w:tcW w:w="7767" w:type="dxa"/>
            <w:gridSpan w:val="6"/>
            <w:noWrap/>
            <w:hideMark/>
          </w:tcPr>
          <w:p>
            <w:pPr>
              <w:spacing w:before="60" w:after="60"/>
              <w:rPr>
                <w:rFonts w:asciiTheme="majorBidi" w:hAnsiTheme="majorBidi" w:cstheme="majorBidi"/>
                <w:noProof/>
              </w:rPr>
            </w:pPr>
            <w:r>
              <w:rPr>
                <w:rFonts w:asciiTheme="majorBidi" w:hAnsiTheme="majorBidi"/>
                <w:noProof/>
              </w:rPr>
              <w:t>À imputer sur les limites de captures des Îles Féroé.</w:t>
            </w:r>
          </w:p>
        </w:tc>
      </w:tr>
      <w:tr>
        <w:trPr>
          <w:trHeight w:val="270"/>
        </w:trPr>
        <w:tc>
          <w:tcPr>
            <w:tcW w:w="1980" w:type="dxa"/>
            <w:noWrap/>
            <w:hideMark/>
          </w:tcPr>
          <w:p>
            <w:pPr>
              <w:spacing w:before="60" w:after="60"/>
              <w:jc w:val="right"/>
              <w:rPr>
                <w:rFonts w:asciiTheme="majorBidi" w:hAnsiTheme="majorBidi" w:cstheme="majorBidi"/>
                <w:b/>
                <w:bCs/>
                <w:noProof/>
              </w:rPr>
            </w:pPr>
            <w:r>
              <w:rPr>
                <w:rFonts w:asciiTheme="majorBidi" w:hAnsiTheme="majorBidi"/>
                <w:b/>
                <w:bCs/>
                <w:noProof/>
                <w:vertAlign w:val="superscript"/>
              </w:rPr>
              <w:t>(3)</w:t>
            </w:r>
          </w:p>
        </w:tc>
        <w:tc>
          <w:tcPr>
            <w:tcW w:w="7767" w:type="dxa"/>
            <w:gridSpan w:val="6"/>
            <w:noWrap/>
            <w:hideMark/>
          </w:tcPr>
          <w:p>
            <w:pPr>
              <w:spacing w:before="60" w:after="60"/>
              <w:rPr>
                <w:rFonts w:asciiTheme="majorBidi" w:hAnsiTheme="majorBidi" w:cstheme="majorBidi"/>
                <w:noProof/>
              </w:rPr>
            </w:pPr>
            <w:r>
              <w:rPr>
                <w:rFonts w:asciiTheme="majorBidi" w:hAnsiTheme="majorBidi"/>
                <w:noProof/>
              </w:rPr>
              <w:t>À imputer sur les limites de captures de la Norvège.</w:t>
            </w:r>
          </w:p>
        </w:tc>
      </w:tr>
      <w:tr>
        <w:trPr>
          <w:trHeight w:val="255"/>
        </w:trPr>
        <w:tc>
          <w:tcPr>
            <w:tcW w:w="9747" w:type="dxa"/>
            <w:gridSpan w:val="7"/>
            <w:tcBorders>
              <w:top w:val="single" w:sz="4" w:space="0" w:color="auto"/>
              <w:left w:val="nil"/>
              <w:bottom w:val="nil"/>
              <w:right w:val="nil"/>
            </w:tcBorders>
            <w:noWrap/>
            <w:hideMark/>
          </w:tcPr>
          <w:p>
            <w:pPr>
              <w:pageBreakBefore/>
              <w:spacing w:before="60" w:after="60"/>
              <w:rPr>
                <w:rFonts w:asciiTheme="majorBidi" w:hAnsiTheme="majorBidi" w:cstheme="majorBidi"/>
                <w:noProof/>
                <w:color w:val="000000"/>
              </w:rPr>
            </w:pPr>
            <w:r>
              <w:rPr>
                <w:rFonts w:asciiTheme="majorBidi" w:hAnsiTheme="majorBidi"/>
                <w:noProof/>
                <w:color w:val="000000"/>
              </w:rPr>
              <w:t>Condition particulière: dans le cadre des quotas susmentionnés, les captures sont limitées, dans les zones suivantes, aux quantités portées ci-dessous:</w:t>
            </w:r>
          </w:p>
        </w:tc>
      </w:tr>
      <w:tr>
        <w:trPr>
          <w:trHeight w:val="255"/>
        </w:trPr>
        <w:tc>
          <w:tcPr>
            <w:tcW w:w="9747" w:type="dxa"/>
            <w:gridSpan w:val="7"/>
            <w:noWrap/>
            <w:hideMark/>
          </w:tcPr>
          <w:p>
            <w:pPr>
              <w:spacing w:before="60" w:after="60"/>
              <w:rPr>
                <w:rFonts w:asciiTheme="majorBidi" w:hAnsiTheme="majorBidi" w:cstheme="majorBidi"/>
                <w:noProof/>
                <w:color w:val="000000"/>
              </w:rPr>
            </w:pPr>
            <w:r>
              <w:rPr>
                <w:rFonts w:asciiTheme="majorBidi" w:hAnsiTheme="majorBidi"/>
                <w:noProof/>
                <w:color w:val="000000"/>
              </w:rPr>
              <w:t>Eaux norvégiennes situées au nord de 62° N et zone de pêche située autour de Jan Mayen (HER/*2AJMN)</w:t>
            </w:r>
          </w:p>
        </w:tc>
      </w:tr>
      <w:tr>
        <w:trPr>
          <w:trHeight w:val="25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60" w:after="60"/>
              <w:jc w:val="right"/>
              <w:rPr>
                <w:rFonts w:asciiTheme="majorBidi" w:hAnsiTheme="majorBidi" w:cstheme="majorBidi"/>
                <w:noProof/>
                <w:szCs w:val="24"/>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9747" w:type="dxa"/>
            <w:gridSpan w:val="7"/>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Zones 2 et 5b au nord de 62° N (eaux des Îles Féroé) (HER/*25B-F)</w:t>
            </w:r>
          </w:p>
        </w:tc>
      </w:tr>
      <w:tr>
        <w:trPr>
          <w:trHeight w:val="255"/>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Belgique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Danemark</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Espagne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Irlande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Pays-Bas</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Pologne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Portugal</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Finlande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Suède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szCs w:val="24"/>
                <w:lang w:eastAsia="en-GB"/>
              </w:rPr>
            </w:pPr>
          </w:p>
        </w:tc>
        <w:tc>
          <w:tcPr>
            <w:tcW w:w="2343" w:type="dxa"/>
            <w:gridSpan w:val="2"/>
            <w:tcBorders>
              <w:top w:val="nil"/>
              <w:left w:val="nil"/>
              <w:bottom w:val="single" w:sz="8" w:space="0" w:color="auto"/>
              <w:right w:val="nil"/>
            </w:tcBorders>
            <w:noWrap/>
          </w:tcPr>
          <w:p>
            <w:pPr>
              <w:spacing w:before="60" w:after="60"/>
              <w:jc w:val="right"/>
              <w:rPr>
                <w:rFonts w:asciiTheme="majorBidi" w:hAnsiTheme="majorBidi" w:cstheme="majorBidi"/>
                <w:noProof/>
                <w:lang w:eastAsia="en-GB"/>
              </w:rPr>
            </w:pPr>
          </w:p>
        </w:tc>
        <w:tc>
          <w:tcPr>
            <w:tcW w:w="803" w:type="dxa"/>
            <w:gridSpan w:val="2"/>
            <w:tcBorders>
              <w:top w:val="nil"/>
              <w:left w:val="nil"/>
              <w:bottom w:val="single" w:sz="8" w:space="0" w:color="auto"/>
              <w:right w:val="nil"/>
            </w:tcBorders>
            <w:noWrap/>
            <w:hideMark/>
          </w:tcPr>
          <w:p>
            <w:pPr>
              <w:rPr>
                <w:rFonts w:asciiTheme="majorBidi" w:hAnsiTheme="majorBidi" w:cstheme="majorBidi"/>
                <w:noProof/>
                <w:lang w:eastAsia="en-GB"/>
              </w:rPr>
            </w:pPr>
          </w:p>
        </w:tc>
        <w:tc>
          <w:tcPr>
            <w:tcW w:w="919" w:type="dxa"/>
            <w:tcBorders>
              <w:top w:val="nil"/>
              <w:left w:val="nil"/>
              <w:bottom w:val="single" w:sz="8" w:space="0" w:color="auto"/>
              <w:right w:val="nil"/>
            </w:tcBorders>
            <w:noWrap/>
            <w:hideMark/>
          </w:tcPr>
          <w:p>
            <w:pPr>
              <w:spacing w:before="0" w:after="0"/>
              <w:rPr>
                <w:noProof/>
                <w:sz w:val="20"/>
                <w:szCs w:val="20"/>
                <w:lang w:eastAsia="en-GB"/>
              </w:rPr>
            </w:pPr>
          </w:p>
        </w:tc>
        <w:tc>
          <w:tcPr>
            <w:tcW w:w="3702" w:type="dxa"/>
            <w:tcBorders>
              <w:top w:val="nil"/>
              <w:left w:val="nil"/>
              <w:bottom w:val="single" w:sz="8" w:space="0" w:color="auto"/>
              <w:right w:val="nil"/>
            </w:tcBorders>
            <w:noWrap/>
            <w:hideMark/>
          </w:tcPr>
          <w:p>
            <w:pPr>
              <w:spacing w:before="0" w:after="0"/>
              <w:rPr>
                <w:noProof/>
                <w:sz w:val="20"/>
                <w:szCs w:val="20"/>
                <w:lang w:eastAsia="en-GB"/>
              </w:rPr>
            </w:pPr>
          </w:p>
        </w:tc>
      </w:tr>
      <w:tr>
        <w:trPr>
          <w:trHeight w:val="285"/>
        </w:trPr>
        <w:tc>
          <w:tcPr>
            <w:tcW w:w="1980" w:type="dxa"/>
            <w:tcBorders>
              <w:top w:val="nil"/>
              <w:left w:val="nil"/>
              <w:bottom w:val="single" w:sz="4" w:space="0" w:color="auto"/>
              <w:right w:val="nil"/>
            </w:tcBorders>
            <w:noWrap/>
            <w:hideMark/>
          </w:tcPr>
          <w:p>
            <w:pPr>
              <w:spacing w:before="0" w:after="0"/>
              <w:rPr>
                <w:noProof/>
                <w:sz w:val="20"/>
                <w:szCs w:val="20"/>
                <w:lang w:eastAsia="en-GB"/>
              </w:rPr>
            </w:pPr>
          </w:p>
        </w:tc>
        <w:tc>
          <w:tcPr>
            <w:tcW w:w="234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80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70"/>
        </w:trPr>
        <w:tc>
          <w:tcPr>
            <w:tcW w:w="1980" w:type="dxa"/>
            <w:tcBorders>
              <w:top w:val="single" w:sz="4"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4"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Cabillaud</w:t>
            </w:r>
          </w:p>
        </w:tc>
        <w:tc>
          <w:tcPr>
            <w:tcW w:w="803" w:type="dxa"/>
            <w:gridSpan w:val="2"/>
            <w:tcBorders>
              <w:top w:val="single" w:sz="4"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4"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4"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norvégiennes des zones 1 et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Gadus morhua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(COD/1N2AB.)</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Grèce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Espagne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Irlande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Portugal</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4621" w:type="dxa"/>
            <w:gridSpan w:val="2"/>
            <w:tcBorders>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noWrap/>
            <w:hideMark/>
          </w:tcPr>
          <w:p>
            <w:pPr>
              <w:spacing w:before="0" w:after="0"/>
              <w:rPr>
                <w:noProof/>
                <w:sz w:val="20"/>
                <w:szCs w:val="2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Cabillaud</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groenlandaises de la zone OPANO 1 F et eaux groenlandaises des zones 5, 12 et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Gadus morhua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(COD/N1GL14)</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Union</w:t>
            </w:r>
          </w:p>
        </w:tc>
        <w:tc>
          <w:tcPr>
            <w:tcW w:w="2343" w:type="dxa"/>
            <w:gridSpan w:val="2"/>
            <w:noWrap/>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tcPr>
          <w:p>
            <w:pPr>
              <w:spacing w:before="60" w:after="60"/>
              <w:rPr>
                <w:rFonts w:asciiTheme="majorBidi" w:hAnsiTheme="majorBidi" w:cstheme="majorBidi"/>
                <w:b/>
                <w:bCs/>
                <w:noProof/>
                <w:color w:val="000000"/>
                <w:lang w:eastAsia="en-GB"/>
              </w:rPr>
            </w:pP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tcPr>
          <w:p>
            <w:pPr>
              <w:rPr>
                <w:rFonts w:asciiTheme="majorBidi" w:hAnsiTheme="majorBidi" w:cstheme="majorBidi"/>
                <w:noProof/>
                <w:color w:val="000000"/>
                <w:lang w:eastAsia="en-GB"/>
              </w:rPr>
            </w:pPr>
          </w:p>
        </w:tc>
        <w:tc>
          <w:tcPr>
            <w:tcW w:w="919" w:type="dxa"/>
            <w:noWrap/>
          </w:tcPr>
          <w:p>
            <w:pPr>
              <w:spacing w:before="0" w:after="0"/>
              <w:rPr>
                <w:noProof/>
                <w:sz w:val="20"/>
                <w:szCs w:val="20"/>
                <w:lang w:eastAsia="en-GB"/>
              </w:rPr>
            </w:pPr>
          </w:p>
        </w:tc>
        <w:tc>
          <w:tcPr>
            <w:tcW w:w="3702" w:type="dxa"/>
            <w:noWrap/>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szCs w:val="24"/>
              </w:rPr>
            </w:pPr>
            <w:r>
              <w:rPr>
                <w:rFonts w:asciiTheme="majorBidi" w:hAnsiTheme="majorBidi"/>
                <w:b/>
                <w:bCs/>
                <w:noProof/>
                <w:vertAlign w:val="superscript"/>
              </w:rPr>
              <w:t>(1)</w:t>
            </w:r>
          </w:p>
        </w:tc>
        <w:tc>
          <w:tcPr>
            <w:tcW w:w="7767" w:type="dxa"/>
            <w:gridSpan w:val="6"/>
            <w:noWrap/>
            <w:hideMark/>
          </w:tcPr>
          <w:p>
            <w:pPr>
              <w:spacing w:before="60" w:after="60"/>
              <w:rPr>
                <w:rFonts w:asciiTheme="majorBidi" w:hAnsiTheme="majorBidi" w:cstheme="majorBidi"/>
                <w:noProof/>
              </w:rPr>
            </w:pPr>
            <w:r>
              <w:rPr>
                <w:rFonts w:asciiTheme="majorBidi" w:hAnsiTheme="majorBidi"/>
                <w:noProof/>
              </w:rPr>
              <w:t>À l’exception des prises accessoires, les conditions suivantes s’appliquent à ces quotas:</w:t>
            </w:r>
          </w:p>
        </w:tc>
      </w:tr>
      <w:tr>
        <w:trPr>
          <w:trHeight w:val="270"/>
        </w:trPr>
        <w:tc>
          <w:tcPr>
            <w:tcW w:w="1980" w:type="dxa"/>
            <w:noWrap/>
            <w:hideMark/>
          </w:tcPr>
          <w:p>
            <w:pPr>
              <w:rPr>
                <w:rFonts w:asciiTheme="majorBidi" w:hAnsiTheme="majorBidi" w:cstheme="majorBidi"/>
                <w:noProof/>
                <w:lang w:eastAsia="en-GB"/>
              </w:rPr>
            </w:pPr>
          </w:p>
        </w:tc>
        <w:tc>
          <w:tcPr>
            <w:tcW w:w="7767" w:type="dxa"/>
            <w:gridSpan w:val="6"/>
            <w:noWrap/>
            <w:hideMark/>
          </w:tcPr>
          <w:p>
            <w:pPr>
              <w:spacing w:before="60" w:after="60"/>
              <w:rPr>
                <w:rFonts w:asciiTheme="majorBidi" w:hAnsiTheme="majorBidi" w:cstheme="majorBidi"/>
                <w:noProof/>
                <w:szCs w:val="24"/>
              </w:rPr>
            </w:pPr>
            <w:r>
              <w:rPr>
                <w:rFonts w:asciiTheme="majorBidi" w:hAnsiTheme="majorBidi"/>
                <w:noProof/>
              </w:rPr>
              <w:t>1.</w:t>
            </w:r>
            <w:r>
              <w:rPr>
                <w:noProof/>
              </w:rPr>
              <w:tab/>
            </w:r>
            <w:r>
              <w:rPr>
                <w:rFonts w:asciiTheme="majorBidi" w:hAnsiTheme="majorBidi"/>
                <w:noProof/>
              </w:rPr>
              <w:t>Ils ne peuvent être pêchés entre le 1</w:t>
            </w:r>
            <w:r>
              <w:rPr>
                <w:rFonts w:asciiTheme="majorBidi" w:hAnsiTheme="majorBidi"/>
                <w:noProof/>
                <w:vertAlign w:val="superscript"/>
              </w:rPr>
              <w:t>er</w:t>
            </w:r>
            <w:r>
              <w:rPr>
                <w:rFonts w:asciiTheme="majorBidi" w:hAnsiTheme="majorBidi"/>
                <w:noProof/>
              </w:rPr>
              <w:t xml:space="preserve"> avril et le 31 mai.</w:t>
            </w:r>
          </w:p>
        </w:tc>
      </w:tr>
      <w:tr>
        <w:trPr>
          <w:trHeight w:val="270"/>
        </w:trPr>
        <w:tc>
          <w:tcPr>
            <w:tcW w:w="1980" w:type="dxa"/>
            <w:noWrap/>
            <w:hideMark/>
          </w:tcPr>
          <w:p>
            <w:pPr>
              <w:rPr>
                <w:rFonts w:asciiTheme="majorBidi" w:hAnsiTheme="majorBidi" w:cstheme="majorBidi"/>
                <w:noProof/>
                <w:lang w:eastAsia="en-GB"/>
              </w:rPr>
            </w:pPr>
          </w:p>
        </w:tc>
        <w:tc>
          <w:tcPr>
            <w:tcW w:w="7767" w:type="dxa"/>
            <w:gridSpan w:val="6"/>
            <w:noWrap/>
            <w:hideMark/>
          </w:tcPr>
          <w:p>
            <w:pPr>
              <w:spacing w:before="60" w:after="60"/>
              <w:rPr>
                <w:rFonts w:asciiTheme="majorBidi" w:hAnsiTheme="majorBidi" w:cstheme="majorBidi"/>
                <w:noProof/>
                <w:szCs w:val="24"/>
              </w:rPr>
            </w:pPr>
            <w:r>
              <w:rPr>
                <w:rFonts w:asciiTheme="majorBidi" w:hAnsiTheme="majorBidi"/>
                <w:noProof/>
              </w:rPr>
              <w:t>2.</w:t>
            </w:r>
            <w:r>
              <w:rPr>
                <w:noProof/>
              </w:rPr>
              <w:tab/>
            </w:r>
            <w:r>
              <w:rPr>
                <w:rFonts w:asciiTheme="majorBidi" w:hAnsiTheme="majorBidi"/>
                <w:noProof/>
              </w:rPr>
              <w:t>Les navires de l’UE peuvent choisir de pêcher dans l’une des zones suivantes ou dans ces deux zones:</w:t>
            </w:r>
          </w:p>
        </w:tc>
      </w:tr>
      <w:tr>
        <w:trPr>
          <w:trHeight w:val="285"/>
        </w:trPr>
        <w:tc>
          <w:tcPr>
            <w:tcW w:w="1980" w:type="dxa"/>
            <w:noWrap/>
            <w:hideMark/>
          </w:tcPr>
          <w:p>
            <w:pPr>
              <w:rPr>
                <w:rFonts w:asciiTheme="majorBidi" w:hAnsiTheme="majorBidi" w:cstheme="majorBidi"/>
                <w:noProof/>
                <w:lang w:eastAsia="en-GB"/>
              </w:rPr>
            </w:pPr>
          </w:p>
        </w:tc>
        <w:tc>
          <w:tcPr>
            <w:tcW w:w="2343" w:type="dxa"/>
            <w:gridSpan w:val="2"/>
            <w:noWrap/>
            <w:hideMark/>
          </w:tcPr>
          <w:p>
            <w:pPr>
              <w:spacing w:before="60" w:after="60"/>
              <w:rPr>
                <w:rFonts w:asciiTheme="majorBidi" w:hAnsiTheme="majorBidi" w:cstheme="majorBidi"/>
                <w:noProof/>
                <w:szCs w:val="24"/>
              </w:rPr>
            </w:pPr>
            <w:r>
              <w:rPr>
                <w:rFonts w:asciiTheme="majorBidi" w:hAnsiTheme="majorBidi"/>
                <w:noProof/>
              </w:rPr>
              <w:t>Codes de déclaration</w:t>
            </w:r>
          </w:p>
        </w:tc>
        <w:tc>
          <w:tcPr>
            <w:tcW w:w="5424" w:type="dxa"/>
            <w:gridSpan w:val="4"/>
            <w:noWrap/>
            <w:hideMark/>
          </w:tcPr>
          <w:p>
            <w:pPr>
              <w:spacing w:before="60" w:after="60"/>
              <w:rPr>
                <w:rFonts w:asciiTheme="majorBidi" w:hAnsiTheme="majorBidi" w:cstheme="majorBidi"/>
                <w:noProof/>
              </w:rPr>
            </w:pPr>
            <w:r>
              <w:rPr>
                <w:rFonts w:asciiTheme="majorBidi" w:hAnsiTheme="majorBidi"/>
                <w:noProof/>
              </w:rPr>
              <w:t>Limites géographiques</w:t>
            </w:r>
          </w:p>
        </w:tc>
      </w:tr>
      <w:tr>
        <w:trPr>
          <w:trHeight w:val="270"/>
        </w:trPr>
        <w:tc>
          <w:tcPr>
            <w:tcW w:w="1980" w:type="dxa"/>
            <w:noWrap/>
            <w:hideMark/>
          </w:tcPr>
          <w:p>
            <w:pPr>
              <w:rPr>
                <w:rFonts w:asciiTheme="majorBidi" w:hAnsiTheme="majorBidi" w:cstheme="majorBidi"/>
                <w:noProof/>
                <w:lang w:eastAsia="en-GB"/>
              </w:rPr>
            </w:pPr>
          </w:p>
        </w:tc>
        <w:tc>
          <w:tcPr>
            <w:tcW w:w="2343" w:type="dxa"/>
            <w:gridSpan w:val="2"/>
            <w:noWrap/>
            <w:hideMark/>
          </w:tcPr>
          <w:p>
            <w:pPr>
              <w:spacing w:before="60" w:after="60"/>
              <w:rPr>
                <w:rFonts w:asciiTheme="majorBidi" w:hAnsiTheme="majorBidi" w:cstheme="majorBidi"/>
                <w:noProof/>
                <w:szCs w:val="24"/>
              </w:rPr>
            </w:pPr>
            <w:r>
              <w:rPr>
                <w:rFonts w:asciiTheme="majorBidi" w:hAnsiTheme="majorBidi"/>
                <w:noProof/>
              </w:rPr>
              <w:t>COD/GRL1</w:t>
            </w:r>
          </w:p>
        </w:tc>
        <w:tc>
          <w:tcPr>
            <w:tcW w:w="5424" w:type="dxa"/>
            <w:gridSpan w:val="4"/>
            <w:noWrap/>
            <w:hideMark/>
          </w:tcPr>
          <w:p>
            <w:pPr>
              <w:spacing w:before="60" w:after="60"/>
              <w:rPr>
                <w:rFonts w:asciiTheme="majorBidi" w:hAnsiTheme="majorBidi" w:cstheme="majorBidi"/>
                <w:noProof/>
              </w:rPr>
            </w:pPr>
            <w:r>
              <w:rPr>
                <w:rFonts w:asciiTheme="majorBidi" w:hAnsiTheme="majorBidi"/>
                <w:noProof/>
              </w:rPr>
              <w:t>La partie du territoire de pêche du Groenland située dans la division OPANO 1 F à l’ouest de 44° 00′ O et au sud de 60° 45′ N, la partie de la sous-zone 1 de l’OPANO située au sud du parallèle de 60° 45′ de latitude nord (cap Desolation) et la partie du territoire de pêche du Groenland située dans la division CIEM 14b à l’est de 44° 00′ O et au sud de 62° 30′ N.</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lang w:eastAsia="en-GB"/>
              </w:rPr>
            </w:pPr>
          </w:p>
        </w:tc>
        <w:tc>
          <w:tcPr>
            <w:tcW w:w="2343" w:type="dxa"/>
            <w:gridSpan w:val="2"/>
            <w:tcBorders>
              <w:top w:val="nil"/>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COD/GRL2</w:t>
            </w:r>
          </w:p>
        </w:tc>
        <w:tc>
          <w:tcPr>
            <w:tcW w:w="5424"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La partie du territoire de pêche du Groenland située dans la division CIEM 14b au nord de 62° 30′ N.</w:t>
            </w:r>
          </w:p>
        </w:tc>
      </w:tr>
      <w:tr>
        <w:trPr>
          <w:trHeight w:val="285"/>
        </w:trPr>
        <w:tc>
          <w:tcPr>
            <w:tcW w:w="1980" w:type="dxa"/>
            <w:noWrap/>
            <w:hideMark/>
          </w:tcPr>
          <w:p>
            <w:pPr>
              <w:rPr>
                <w:rFonts w:asciiTheme="majorBidi" w:hAnsiTheme="majorBidi" w:cstheme="majorBidi"/>
                <w:noProof/>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Cabillaud</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Zones 1 et 2b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Gadus morhua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(COD/1/2B.)</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Espagne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Pologne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Portugal</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Autres États membres</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(3)</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(2) (3)</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À l’exception de l’Allemagne, de l’Espagne, de la France, de la Pologne et du Portugal. Les captures à imputer sur ce quota partagé sont déclarées séparément (COD/1/2B_AMS).</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L’attribution de la part du stock de cabillaud accessible à l’Union dans la zone de Spitzberg et de l’île aux Ours ainsi que les prises accessoires associées d’églefin n’ont pas d’incidence sur les droits et obligations découlant du traité de Paris de 1920.</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(3)</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Les prises accessoires d’églefin peuvent représenter jusqu’à 14 % des débarquements par trait. Les quantités de prises accessoires d’églefin viennent s’ajouter au quota de capture de cabillaud.</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Cabillaud et églefin</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des Îles Féroé de la zone 5b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Gadus morhua</w:t>
            </w:r>
            <w:r>
              <w:rPr>
                <w:rFonts w:asciiTheme="majorBidi" w:hAnsiTheme="majorBidi"/>
                <w:iCs/>
                <w:noProof/>
                <w:color w:val="000000"/>
              </w:rPr>
              <w:t xml:space="preserve"> et </w:t>
            </w:r>
            <w:r>
              <w:rPr>
                <w:rFonts w:asciiTheme="majorBidi" w:hAnsiTheme="majorBidi"/>
                <w:i/>
                <w:iCs/>
                <w:noProof/>
                <w:color w:val="000000"/>
              </w:rPr>
              <w:t>Melanogrammus aeglefinus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(C/H/05B-F.)</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3146" w:type="dxa"/>
            <w:gridSpan w:val="4"/>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color w:val="00000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Grenadiers</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groenlandaises des zones 5 et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 xml:space="preserve">Macrourus </w:t>
            </w:r>
            <w:r>
              <w:rPr>
                <w:rFonts w:asciiTheme="majorBidi" w:hAnsiTheme="majorBidi"/>
                <w:noProof/>
                <w:color w:val="000000"/>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(GRV/514GRN)</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Condition particulière: le grenadier de roche (</w:t>
            </w:r>
            <w:r>
              <w:rPr>
                <w:rFonts w:asciiTheme="majorBidi" w:hAnsiTheme="majorBidi"/>
                <w:i/>
                <w:iCs/>
                <w:noProof/>
                <w:color w:val="000000"/>
              </w:rPr>
              <w:t>Coryphaenoides rupestris</w:t>
            </w:r>
            <w:r>
              <w:rPr>
                <w:rFonts w:asciiTheme="majorBidi" w:hAnsiTheme="majorBidi"/>
                <w:noProof/>
                <w:color w:val="000000"/>
              </w:rPr>
              <w:t>) (RNG/514GRN) et le grenadier berglax (</w:t>
            </w:r>
            <w:r>
              <w:rPr>
                <w:rFonts w:asciiTheme="majorBidi" w:hAnsiTheme="majorBidi"/>
                <w:i/>
                <w:iCs/>
                <w:noProof/>
                <w:color w:val="000000"/>
              </w:rPr>
              <w:t>Macrourus berglax</w:t>
            </w:r>
            <w:r>
              <w:rPr>
                <w:rFonts w:asciiTheme="majorBidi" w:hAnsiTheme="majorBidi"/>
                <w:noProof/>
                <w:color w:val="000000"/>
              </w:rPr>
              <w:t>) (RHG/514GRN) ne sont pas ciblés. Les captures correspondantes ne peuvent être que des prises accessoires et sont déclarées séparément.</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La quantité en tonnes figurant ci-après est attribuée à la Norvège. Condition particulière pour cette quantité: le grenadier de roche (</w:t>
            </w:r>
            <w:r>
              <w:rPr>
                <w:rFonts w:asciiTheme="majorBidi" w:hAnsiTheme="majorBidi"/>
                <w:i/>
                <w:iCs/>
                <w:noProof/>
                <w:color w:val="000000"/>
              </w:rPr>
              <w:t>Coryphaenoides rupestris</w:t>
            </w:r>
            <w:r>
              <w:rPr>
                <w:rFonts w:asciiTheme="majorBidi" w:hAnsiTheme="majorBidi"/>
                <w:noProof/>
                <w:color w:val="000000"/>
              </w:rPr>
              <w:t>) (RNG/514GRN) et le grenadier berglax (</w:t>
            </w:r>
            <w:r>
              <w:rPr>
                <w:rFonts w:asciiTheme="majorBidi" w:hAnsiTheme="majorBidi"/>
                <w:i/>
                <w:iCs/>
                <w:noProof/>
                <w:color w:val="000000"/>
              </w:rPr>
              <w:t>Macrourus berglax</w:t>
            </w:r>
            <w:r>
              <w:rPr>
                <w:rFonts w:asciiTheme="majorBidi" w:hAnsiTheme="majorBidi"/>
                <w:noProof/>
                <w:color w:val="000000"/>
              </w:rPr>
              <w:t>) (RHG/514GRN) ne sont pas ciblés. Les captures correspondantes ne peuvent être que des prises accessoires et sont déclarées séparément.</w:t>
            </w:r>
          </w:p>
        </w:tc>
      </w:tr>
      <w:tr>
        <w:trPr>
          <w:trHeight w:val="270"/>
        </w:trPr>
        <w:tc>
          <w:tcPr>
            <w:tcW w:w="1980" w:type="dxa"/>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234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80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szCs w:val="24"/>
              </w:rPr>
            </w:pPr>
            <w:r>
              <w:rPr>
                <w:rFonts w:asciiTheme="majorBidi" w:hAnsiTheme="majorBidi"/>
                <w:noProof/>
                <w:color w:val="000000"/>
              </w:rPr>
              <w:t>25</w:t>
            </w:r>
          </w:p>
        </w:tc>
        <w:tc>
          <w:tcPr>
            <w:tcW w:w="919" w:type="dxa"/>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Grenadiers</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groenlandaises de la zone OPANO 1</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 xml:space="preserve">Macrourus </w:t>
            </w:r>
            <w:r>
              <w:rPr>
                <w:rFonts w:asciiTheme="majorBidi" w:hAnsiTheme="majorBidi"/>
                <w:noProof/>
                <w:color w:val="000000"/>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(GRV/N1GRN.)</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Condition particulière: le grenadier de roche (</w:t>
            </w:r>
            <w:r>
              <w:rPr>
                <w:rFonts w:asciiTheme="majorBidi" w:hAnsiTheme="majorBidi"/>
                <w:i/>
                <w:iCs/>
                <w:noProof/>
                <w:color w:val="000000"/>
              </w:rPr>
              <w:t>Coryphaenoides rupestris</w:t>
            </w:r>
            <w:r>
              <w:rPr>
                <w:rFonts w:asciiTheme="majorBidi" w:hAnsiTheme="majorBidi"/>
                <w:noProof/>
                <w:color w:val="000000"/>
              </w:rPr>
              <w:t>) (RNG/N1GRN) et le grenadier berglax (</w:t>
            </w:r>
            <w:r>
              <w:rPr>
                <w:rFonts w:asciiTheme="majorBidi" w:hAnsiTheme="majorBidi"/>
                <w:i/>
                <w:iCs/>
                <w:noProof/>
                <w:color w:val="000000"/>
              </w:rPr>
              <w:t>Macrourus berglax</w:t>
            </w:r>
            <w:r>
              <w:rPr>
                <w:rFonts w:asciiTheme="majorBidi" w:hAnsiTheme="majorBidi"/>
                <w:noProof/>
                <w:color w:val="000000"/>
              </w:rPr>
              <w:t>) (RHG/N1GRN) ne sont pas ciblés. Les captures correspondantes ne peuvent être que des prises accessoires et sont déclarées séparément.</w:t>
            </w:r>
          </w:p>
        </w:tc>
      </w:tr>
      <w:tr>
        <w:trPr>
          <w:trHeight w:val="1234"/>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La quantité en tonnes figurant ci-après est attribuée à la Norvège. Condition particulière pour cette quantité: le grenadier de roche (</w:t>
            </w:r>
            <w:r>
              <w:rPr>
                <w:rFonts w:asciiTheme="majorBidi" w:hAnsiTheme="majorBidi"/>
                <w:i/>
                <w:iCs/>
                <w:noProof/>
                <w:color w:val="000000"/>
              </w:rPr>
              <w:t>Coryphaenoides rupestris</w:t>
            </w:r>
            <w:r>
              <w:rPr>
                <w:rFonts w:asciiTheme="majorBidi" w:hAnsiTheme="majorBidi"/>
                <w:noProof/>
                <w:color w:val="000000"/>
              </w:rPr>
              <w:t>) (RNG/N1GRN) et le grenadier berglax (</w:t>
            </w:r>
            <w:r>
              <w:rPr>
                <w:rFonts w:asciiTheme="majorBidi" w:hAnsiTheme="majorBidi"/>
                <w:i/>
                <w:iCs/>
                <w:noProof/>
                <w:color w:val="000000"/>
              </w:rPr>
              <w:t>Macrourus berglax</w:t>
            </w:r>
            <w:r>
              <w:rPr>
                <w:rFonts w:asciiTheme="majorBidi" w:hAnsiTheme="majorBidi"/>
                <w:noProof/>
                <w:color w:val="000000"/>
              </w:rPr>
              <w:t>) (RHG/N1GRN) ne sont pas ciblés. Les captures correspondantes ne peuvent être que des prises accessoires et sont déclarées séparément.</w:t>
            </w:r>
          </w:p>
        </w:tc>
      </w:tr>
      <w:tr>
        <w:trPr>
          <w:trHeight w:val="270"/>
        </w:trPr>
        <w:tc>
          <w:tcPr>
            <w:tcW w:w="1980" w:type="dxa"/>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234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80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szCs w:val="24"/>
              </w:rPr>
            </w:pPr>
            <w:r>
              <w:rPr>
                <w:rFonts w:asciiTheme="majorBidi" w:hAnsiTheme="majorBidi"/>
                <w:noProof/>
                <w:color w:val="000000"/>
              </w:rPr>
              <w:t>40</w:t>
            </w:r>
          </w:p>
        </w:tc>
        <w:tc>
          <w:tcPr>
            <w:tcW w:w="919" w:type="dxa"/>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Capelan</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 2b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Mallotus villosus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(CAP/02B.)</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TAC</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919" w:type="dxa"/>
            <w:tcBorders>
              <w:top w:val="nil"/>
              <w:left w:val="nil"/>
              <w:bottom w:val="single" w:sz="8" w:space="0" w:color="auto"/>
              <w:right w:val="nil"/>
            </w:tcBorders>
            <w:noWrap/>
            <w:hideMark/>
          </w:tcPr>
          <w:p>
            <w:pPr>
              <w:spacing w:before="0" w:after="0"/>
              <w:rPr>
                <w:noProof/>
                <w:sz w:val="20"/>
                <w:szCs w:val="20"/>
                <w:lang w:eastAsia="en-GB"/>
              </w:rPr>
            </w:pPr>
          </w:p>
        </w:tc>
        <w:tc>
          <w:tcPr>
            <w:tcW w:w="3702" w:type="dxa"/>
            <w:tcBorders>
              <w:top w:val="nil"/>
              <w:left w:val="nil"/>
              <w:bottom w:val="single" w:sz="8" w:space="0" w:color="auto"/>
              <w:right w:val="nil"/>
            </w:tcBorders>
            <w:noWrap/>
            <w:hideMark/>
          </w:tcPr>
          <w:p>
            <w:pPr>
              <w:spacing w:before="0" w:after="0"/>
              <w:rPr>
                <w:noProof/>
                <w:sz w:val="20"/>
                <w:szCs w:val="20"/>
                <w:lang w:eastAsia="en-GB"/>
              </w:rPr>
            </w:pPr>
          </w:p>
        </w:tc>
      </w:tr>
      <w:tr>
        <w:trPr>
          <w:trHeight w:val="285"/>
        </w:trPr>
        <w:tc>
          <w:tcPr>
            <w:tcW w:w="1980" w:type="dxa"/>
            <w:noWrap/>
            <w:hideMark/>
          </w:tcPr>
          <w:p>
            <w:pPr>
              <w:spacing w:before="0" w:after="0"/>
              <w:rPr>
                <w:noProof/>
                <w:sz w:val="20"/>
                <w:szCs w:val="2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Capelan</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groenlandaises des zones 5 et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Mallotus villosus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(CAP/514GRN)</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Danemark</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Suède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Tous les États membres</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Norvège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Le Danemark, l’Allemagne et la Suède ne peuvent accéder au quota destiné à «tous les États membres» qu’après avoir épuisé leur propre quota. Toutefois, les États membres disposant de plus de 10 % du quota de l’Union n’ont, en aucun cas, accès au quota destiné à «tous les États membres». Les captures à imputer sur ce quota partagé sont déclarées séparément (CAP/514GRN_AMS).</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Pour la campagne de pêche allant du 20 juin 2021 au 30 avril 2022.</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Églefin</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norvégiennes des zones 1 et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Melanogrammus aeglefinus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(HAD/1N2AB.)</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 xml:space="preserve">Union </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Merlan bleu</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des Îles Féroé</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Micromesistius poutassou</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(WHB/2A4AXF)</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Danemark</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Pays-Bas</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 xml:space="preserve">Union </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rPr>
            </w:pPr>
            <w:r>
              <w:rPr>
                <w:rFonts w:asciiTheme="majorBidi" w:hAnsiTheme="majorBidi"/>
                <w:b/>
                <w:bCs/>
                <w:noProof/>
                <w:color w:val="000000"/>
                <w:vertAlign w:val="superscript"/>
              </w:rPr>
              <w:t>(1)</w:t>
            </w: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spacing w:before="60" w:after="60"/>
              <w:rPr>
                <w:rFonts w:asciiTheme="majorBidi" w:hAnsiTheme="majorBidi" w:cstheme="majorBidi"/>
                <w:b/>
                <w:bCs/>
                <w:noProof/>
                <w:color w:val="000000"/>
                <w:lang w:eastAsia="en-GB"/>
              </w:rPr>
            </w:pP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Les prises de merlan bleu peuvent comprendre les prises accessoires inévitables de grande argentine.</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Lingue franche et lingue bleue</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des Îles Féroé de la zone 5b</w:t>
            </w:r>
          </w:p>
        </w:tc>
      </w:tr>
      <w:tr>
        <w:trPr>
          <w:trHeight w:val="270"/>
        </w:trPr>
        <w:tc>
          <w:tcPr>
            <w:tcW w:w="1980" w:type="dxa"/>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4" w:space="0" w:color="auto"/>
              <w:right w:val="nil"/>
            </w:tcBorders>
            <w:noWrap/>
            <w:hideMark/>
          </w:tcPr>
          <w:p>
            <w:pPr>
              <w:spacing w:before="60" w:after="60"/>
              <w:rPr>
                <w:rFonts w:asciiTheme="majorBidi" w:hAnsiTheme="majorBidi" w:cstheme="majorBidi"/>
                <w:i/>
                <w:iCs/>
                <w:noProof/>
                <w:color w:val="000000"/>
                <w:szCs w:val="24"/>
                <w:lang w:val="es-ES_tradnl"/>
              </w:rPr>
            </w:pPr>
            <w:r>
              <w:rPr>
                <w:rFonts w:asciiTheme="majorBidi" w:hAnsiTheme="majorBidi"/>
                <w:i/>
                <w:iCs/>
                <w:noProof/>
                <w:color w:val="000000"/>
                <w:lang w:val="es-ES_tradnl"/>
              </w:rPr>
              <w:t>Molva molva</w:t>
            </w:r>
            <w:r>
              <w:rPr>
                <w:rFonts w:asciiTheme="majorBidi" w:hAnsiTheme="majorBidi"/>
                <w:iCs/>
                <w:noProof/>
                <w:color w:val="000000"/>
                <w:lang w:val="es-ES_tradnl"/>
              </w:rPr>
              <w:t xml:space="preserve"> et </w:t>
            </w:r>
            <w:r>
              <w:rPr>
                <w:rFonts w:asciiTheme="majorBidi" w:hAnsiTheme="majorBidi"/>
                <w:i/>
                <w:iCs/>
                <w:noProof/>
                <w:color w:val="000000"/>
                <w:lang w:val="es-ES_tradnl"/>
              </w:rPr>
              <w:t>Molva dypterygia</w:t>
            </w:r>
          </w:p>
        </w:tc>
        <w:tc>
          <w:tcPr>
            <w:tcW w:w="919" w:type="dxa"/>
            <w:tcBorders>
              <w:top w:val="nil"/>
              <w:left w:val="single" w:sz="8" w:space="0" w:color="auto"/>
              <w:bottom w:val="single" w:sz="4" w:space="0" w:color="auto"/>
              <w:right w:val="nil"/>
            </w:tcBorders>
            <w:noWrap/>
            <w:hideMark/>
          </w:tcPr>
          <w:p>
            <w:pPr>
              <w:rPr>
                <w:rFonts w:asciiTheme="majorBidi" w:hAnsiTheme="majorBidi" w:cstheme="majorBidi"/>
                <w:i/>
                <w:iCs/>
                <w:noProof/>
                <w:color w:val="000000"/>
                <w:lang w:val="es-ES_tradnl" w:eastAsia="en-GB"/>
              </w:rPr>
            </w:pPr>
          </w:p>
        </w:tc>
        <w:tc>
          <w:tcPr>
            <w:tcW w:w="3702"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(B/L/05B-F.)</w:t>
            </w:r>
          </w:p>
        </w:tc>
      </w:tr>
      <w:tr>
        <w:trPr>
          <w:trHeight w:val="270"/>
        </w:trPr>
        <w:tc>
          <w:tcPr>
            <w:tcW w:w="1980" w:type="dxa"/>
            <w:tcBorders>
              <w:top w:val="single" w:sz="4"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tcBorders>
              <w:top w:val="single" w:sz="4" w:space="0" w:color="auto"/>
              <w:left w:val="nil"/>
              <w:bottom w:val="nil"/>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tcBorders>
              <w:top w:val="single" w:sz="4" w:space="0" w:color="auto"/>
              <w:left w:val="nil"/>
              <w:bottom w:val="nil"/>
              <w:right w:val="nil"/>
            </w:tcBorders>
            <w:noWrap/>
            <w:hideMark/>
          </w:tcPr>
          <w:p>
            <w:pPr>
              <w:rPr>
                <w:rFonts w:asciiTheme="majorBidi" w:hAnsiTheme="majorBidi" w:cstheme="majorBidi"/>
                <w:noProof/>
                <w:color w:val="000000"/>
                <w:lang w:eastAsia="en-GB"/>
              </w:rPr>
            </w:pPr>
          </w:p>
        </w:tc>
        <w:tc>
          <w:tcPr>
            <w:tcW w:w="4621" w:type="dxa"/>
            <w:gridSpan w:val="2"/>
            <w:tcBorders>
              <w:top w:val="single" w:sz="4"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Union </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4 du règlement (CE) nº 847/96 ne s’applique pas</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Les prises accessoires de grenadier de roche et de sabre noir peuvent être imputées sur ce quota, jusqu’à la limite suivante (OTH/*05B-F):</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szCs w:val="24"/>
              </w:rPr>
            </w:pPr>
            <w:r>
              <w:rPr>
                <w:rFonts w:asciiTheme="majorBidi" w:hAnsiTheme="majorBidi"/>
                <w:noProof/>
                <w:color w:val="000000"/>
              </w:rPr>
              <w:t>p.m.</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Crevette nordique</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groenlandaises des zones 5 et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Pandalus borealis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(PRA/514GRN)</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Danemark</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Norvège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Îles Féroé</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Crevette nordique</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groenlandaises de la zone OPANO 1</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Pandalus borealis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(PRA/N1GRN.)</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Danemark</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Lieu noir</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norvégiennes des zones 1 et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Pollachius virens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(POK/1N2AB.)</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Lieu noir</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internationales des zones 1 et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Pollachius virens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(POK/1/2INT)</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TAC</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Lieu noir</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des Îles Féroé de la zone 5b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Pollachius virens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(POK/05B-F.)</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Belgique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Pays-Bas</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Flétan noir commun</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norvégiennes des zones 1 et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(GHL/1N2AB.)</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Union</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tc>
      </w:tr>
      <w:tr>
        <w:trPr>
          <w:trHeight w:val="270"/>
        </w:trPr>
        <w:tc>
          <w:tcPr>
            <w:tcW w:w="1980" w:type="dxa"/>
            <w:noWrap/>
          </w:tcPr>
          <w:p>
            <w:pPr>
              <w:spacing w:before="60" w:after="60"/>
              <w:rPr>
                <w:rFonts w:asciiTheme="majorBidi" w:hAnsiTheme="majorBidi" w:cstheme="majorBidi"/>
                <w:noProof/>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TAC</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Sans objet</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4"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Exclusivement pour les prises accessoires. Aucune pêche ciblée n’est autorisée dans le cadre de ce quota.</w:t>
            </w: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color w:val="00000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Flétan noir commun</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internationales des zones 1 et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(GHL/1/2INT)</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Union</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de précaution</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TAC</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Sans objet</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Exclusivement pour les prises accessoires. Aucune pêche ciblée n’est autorisée dans le cadre de ce quota.</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Flétan noir commun</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groenlandaises de la zone OPANO 1</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(GHL/N1G-S68)</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Union</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Norvège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TAC</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Sans objet</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color w:val="000000"/>
              </w:rPr>
              <w:t>À pêcher au sud de 68° N.</w:t>
            </w: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Flétan noir commun</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groenlandaises des zones 5, 12 et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(GHL/5-14GL)</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tc>
      </w:tr>
      <w:tr>
        <w:trPr>
          <w:trHeight w:val="270"/>
        </w:trPr>
        <w:tc>
          <w:tcPr>
            <w:tcW w:w="1980" w:type="dxa"/>
            <w:noWrap/>
          </w:tcPr>
          <w:p>
            <w:pPr>
              <w:spacing w:before="60" w:after="60"/>
              <w:rPr>
                <w:rFonts w:asciiTheme="majorBidi" w:hAnsiTheme="majorBidi" w:cstheme="majorBidi"/>
                <w:noProof/>
                <w:color w:val="000000"/>
              </w:rPr>
            </w:pPr>
            <w:r>
              <w:rPr>
                <w:rFonts w:asciiTheme="majorBidi" w:hAnsiTheme="majorBidi"/>
                <w:noProof/>
              </w:rPr>
              <w:t>Union</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tcPr>
          <w:p>
            <w:pPr>
              <w:spacing w:before="60" w:after="60"/>
              <w:rPr>
                <w:rFonts w:asciiTheme="majorBidi" w:hAnsiTheme="majorBidi" w:cstheme="majorBidi"/>
                <w:noProof/>
              </w:rPr>
            </w:pPr>
            <w:r>
              <w:rPr>
                <w:rFonts w:asciiTheme="majorBidi" w:hAnsiTheme="majorBidi"/>
                <w:noProof/>
                <w:color w:val="000000"/>
              </w:rPr>
              <w:t>Norvège</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tcPr>
          <w:p>
            <w:pPr>
              <w:spacing w:before="60" w:after="60"/>
              <w:rPr>
                <w:rFonts w:asciiTheme="majorBidi" w:hAnsiTheme="majorBidi" w:cstheme="majorBidi"/>
                <w:b/>
                <w:bCs/>
                <w:noProof/>
                <w:color w:val="000000"/>
                <w:lang w:eastAsia="en-GB"/>
              </w:rPr>
            </w:pP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tcPr>
          <w:p>
            <w:pPr>
              <w:spacing w:before="60" w:after="60"/>
              <w:rPr>
                <w:rFonts w:asciiTheme="majorBidi" w:hAnsiTheme="majorBidi" w:cstheme="majorBidi"/>
                <w:noProof/>
                <w:color w:val="000000"/>
              </w:rPr>
            </w:pPr>
            <w:r>
              <w:rPr>
                <w:rFonts w:asciiTheme="majorBidi" w:hAnsiTheme="majorBidi"/>
                <w:noProof/>
                <w:color w:val="000000"/>
              </w:rPr>
              <w:t>Îles Féroé</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szCs w:val="24"/>
              </w:rPr>
            </w:pPr>
            <w:r>
              <w:rPr>
                <w:rFonts w:asciiTheme="majorBidi" w:hAnsiTheme="majorBidi"/>
                <w:noProof/>
              </w:rPr>
              <w:t>TAC</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Sans objet</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La pêche ne peut être réalisée par plus de 6 navires en même temps.</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Sébastes de l’Atlantique (pélagiques des mers peu profondes)</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de l’Union et eaux internationales de la zone 5; eaux internationales des zones 12 et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Sebastes</w:t>
            </w:r>
            <w:r>
              <w:rPr>
                <w:rFonts w:asciiTheme="majorBidi" w:hAnsiTheme="majorBidi"/>
                <w:noProof/>
                <w:color w:val="000000"/>
              </w:rPr>
              <w:t xml:space="preserve"> 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(RED/51214S)</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Estonie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 xml:space="preserve">Espagne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Irlande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Lettonie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Pays-Bas</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Pologne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Portugal</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Sébastes de l’Atlantique (pélagiques des mers profondes)</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de l’Union et eaux internationales de la zone 5; eaux internationales des zones 12 et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Sebastes</w:t>
            </w:r>
            <w:r>
              <w:rPr>
                <w:rFonts w:asciiTheme="majorBidi" w:hAnsiTheme="majorBidi"/>
                <w:noProof/>
                <w:color w:val="000000"/>
              </w:rPr>
              <w:t xml:space="preserve"> 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(RED/51214D)</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Estonie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 xml:space="preserve">Espagne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Irlande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Lettonie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Pays-Bas</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Pologne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Portugal</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pageBreakBefore/>
              <w:spacing w:before="60" w:after="60"/>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Pêche autorisée uniquement dans la zone délimitée par les lignes reliant les coordonnées ci-après:</w:t>
            </w:r>
          </w:p>
        </w:tc>
      </w:tr>
      <w:tr>
        <w:trPr>
          <w:trHeight w:val="285"/>
        </w:trPr>
        <w:tc>
          <w:tcPr>
            <w:tcW w:w="1980" w:type="dxa"/>
            <w:noWrap/>
            <w:hideMark/>
          </w:tcPr>
          <w:p>
            <w:pPr>
              <w:rPr>
                <w:rFonts w:asciiTheme="majorBidi" w:hAnsiTheme="majorBidi" w:cstheme="majorBidi"/>
                <w:noProof/>
                <w:color w:val="00000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Point</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Latitude</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Longitude</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1</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64° 45'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28° 30'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2</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62° 50'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25° 45'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3</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55'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26° 45'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4</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00'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26° 30'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5</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59° 00'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30° 00'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6</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59° 00'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34° 00'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7</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30'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34° 00'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8</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62° 50'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36° 00'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9</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64° 45'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28° 30' O</w:t>
            </w:r>
          </w:p>
        </w:tc>
        <w:tc>
          <w:tcPr>
            <w:tcW w:w="3702" w:type="dxa"/>
            <w:noWrap/>
            <w:hideMark/>
          </w:tcPr>
          <w:p>
            <w:pPr>
              <w:rPr>
                <w:rFonts w:asciiTheme="majorBidi" w:hAnsiTheme="majorBidi" w:cstheme="majorBidi"/>
                <w:noProof/>
                <w:color w:val="000000"/>
                <w:lang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(2)</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Pêche autorisée uniquement du 10 mai au 31 décembre.</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Sébastes de l’Atlantique</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norvégiennes des zones 1 et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Sebastes mentella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(REB/1N2AB.)</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Espagne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France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Portugal</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rPr>
            </w:pPr>
            <w:r>
              <w:rPr>
                <w:rFonts w:asciiTheme="majorBidi" w:hAnsiTheme="majorBidi"/>
                <w:noProof/>
              </w:rPr>
              <w:t>Sans objet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lang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Sébastes de l’Atlantique</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internationales des zones 1 et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Sebastes</w:t>
            </w:r>
            <w:r>
              <w:rPr>
                <w:rFonts w:asciiTheme="majorBidi" w:hAnsiTheme="majorBidi"/>
                <w:noProof/>
                <w:color w:val="000000"/>
              </w:rPr>
              <w:t xml:space="preserve"> 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(RED/1/2INT)</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Union</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À fixer</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 xml:space="preserve">(1) </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La pêcherie sera fermée lorsque le TAC aura été pleinement utilisé par les parties contractantes de la CPANE. À compter de la date de fermeture, les États membres interdisent la pêche ciblée des sébastes par les navires battant leur pavillon.</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Les navires limitent leurs prises accessoires de sébastes effectuées dans d’autres pêcheries à 1 % au maximum de l’ensemble des captures détenues à bord.</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(3)</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Limite de captures provisoire pour couvrir toutes les parties contractantes de la CPANE.</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Sébastes de l’Atlantique (pélagiques)</w:t>
            </w:r>
          </w:p>
        </w:tc>
        <w:tc>
          <w:tcPr>
            <w:tcW w:w="919" w:type="dxa"/>
            <w:tcBorders>
              <w:top w:val="nil"/>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noWrap/>
            <w:hideMark/>
          </w:tcPr>
          <w:p>
            <w:pPr>
              <w:spacing w:before="60" w:after="60"/>
              <w:rPr>
                <w:rFonts w:asciiTheme="majorBidi" w:hAnsiTheme="majorBidi" w:cstheme="majorBidi"/>
                <w:noProof/>
                <w:color w:val="000000"/>
              </w:rPr>
            </w:pPr>
            <w:r>
              <w:rPr>
                <w:rFonts w:asciiTheme="majorBidi" w:hAnsiTheme="majorBidi"/>
                <w:noProof/>
                <w:color w:val="000000"/>
              </w:rPr>
              <w:t>Eaux groenlandaises de la zone OPANO 1 F et eaux groenlandaises des zones 5, 12 et 14</w:t>
            </w: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 </w:t>
            </w: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rPr>
            </w:pPr>
            <w:r>
              <w:rPr>
                <w:rFonts w:asciiTheme="majorBidi" w:hAnsiTheme="majorBidi"/>
                <w:i/>
                <w:iCs/>
                <w:noProof/>
                <w:color w:val="000000"/>
              </w:rPr>
              <w:t>Sebastes</w:t>
            </w:r>
            <w:r>
              <w:rPr>
                <w:rFonts w:asciiTheme="majorBidi" w:hAnsiTheme="majorBidi"/>
                <w:noProof/>
                <w:color w:val="000000"/>
              </w:rPr>
              <w:t xml:space="preserve"> 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(RED/N1G14P)</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(1)(2)(3)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(1)(2)(3)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tc>
      </w:tr>
      <w:tr>
        <w:trPr>
          <w:trHeight w:val="270"/>
        </w:trPr>
        <w:tc>
          <w:tcPr>
            <w:tcW w:w="1980" w:type="dxa"/>
            <w:noWrap/>
          </w:tcPr>
          <w:p>
            <w:pPr>
              <w:spacing w:before="60" w:after="60"/>
              <w:rPr>
                <w:rFonts w:asciiTheme="majorBidi" w:hAnsiTheme="majorBidi" w:cstheme="majorBidi"/>
                <w:noProof/>
                <w:color w:val="000000"/>
              </w:rPr>
            </w:pPr>
            <w:r>
              <w:rPr>
                <w:rFonts w:asciiTheme="majorBidi" w:hAnsiTheme="majorBidi"/>
                <w:noProof/>
                <w:color w:val="000000"/>
              </w:rPr>
              <w:t>Union</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(1)(2)(3)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tcPr>
          <w:p>
            <w:pPr>
              <w:spacing w:before="60" w:after="60"/>
              <w:rPr>
                <w:rFonts w:asciiTheme="majorBidi" w:hAnsiTheme="majorBidi" w:cstheme="majorBidi"/>
                <w:noProof/>
                <w:color w:val="000000"/>
              </w:rPr>
            </w:pPr>
            <w:r>
              <w:rPr>
                <w:rFonts w:asciiTheme="majorBidi" w:hAnsiTheme="majorBidi"/>
                <w:noProof/>
                <w:color w:val="000000"/>
              </w:rPr>
              <w:t>Norvège</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rPr>
            </w:pPr>
            <w:r>
              <w:rPr>
                <w:rFonts w:asciiTheme="majorBidi" w:hAnsiTheme="majorBidi"/>
                <w:noProof/>
                <w:color w:val="000000"/>
              </w:rPr>
              <w:t>Îles Féroé</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(1)(2)(4)</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3146" w:type="dxa"/>
            <w:gridSpan w:val="4"/>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919" w:type="dxa"/>
            <w:noWrap/>
            <w:hideMark/>
          </w:tcPr>
          <w:p>
            <w:pPr>
              <w:rPr>
                <w:rFonts w:asciiTheme="majorBidi" w:hAnsiTheme="majorBidi" w:cstheme="majorBidi"/>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pageBreakBefore/>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Pêche autorisée uniquement du 10 mai au 31 décembre.</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Ne peut être pêché dans les eaux groenlandaises que dans les limites de la zone de conservation des sébastes délimitée par les lignes reliant les coordonnées ci-après:</w:t>
            </w:r>
          </w:p>
        </w:tc>
      </w:tr>
      <w:tr>
        <w:trPr>
          <w:trHeight w:val="285"/>
        </w:trPr>
        <w:tc>
          <w:tcPr>
            <w:tcW w:w="1980" w:type="dxa"/>
            <w:noWrap/>
            <w:hideMark/>
          </w:tcPr>
          <w:p>
            <w:pPr>
              <w:rPr>
                <w:rFonts w:asciiTheme="majorBidi" w:hAnsiTheme="majorBidi" w:cstheme="majorBidi"/>
                <w:noProof/>
                <w:color w:val="00000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Point</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Latitude</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Longitude</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1</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64° 45'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28° 30'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2</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62° 50'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25° 45'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3</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55'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26° 45'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4</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00'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26° 30'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5</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59° 00'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30° 00'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6</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59° 00'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34° 00'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7</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30'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34° 00'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8</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62° 50'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36° 00'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9</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64° 45' N</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28° 30' O</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(3)</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Condition particulière: ce quota peut également être pêché dans les eaux internationales de la «zone de conservation des sébastes» visée ci-dessus (RED/*5-14P).</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(4)</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Ne peut être pêché que dans les eaux groenlandaises des zones 5 et 14 (RED/*514GN).</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Sébastes de l’Atlantique (espèces démersales)</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groenlandaises de la zone OPANO 1 F et eaux groenlandaises des zones 5 et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Sebastes</w:t>
            </w:r>
            <w:r>
              <w:rPr>
                <w:rFonts w:asciiTheme="majorBidi" w:hAnsiTheme="majorBidi"/>
                <w:noProof/>
                <w:color w:val="000000"/>
              </w:rPr>
              <w:t xml:space="preserve"> 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(RED/N1G14D)</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Union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3146" w:type="dxa"/>
            <w:gridSpan w:val="4"/>
            <w:noWrap/>
            <w:hideMark/>
          </w:tcPr>
          <w:p>
            <w:pPr>
              <w:spacing w:before="60" w:after="60"/>
              <w:jc w:val="right"/>
              <w:rPr>
                <w:rFonts w:asciiTheme="majorBidi" w:hAnsiTheme="majorBidi" w:cstheme="majorBidi"/>
                <w:noProof/>
                <w:color w:val="000000"/>
              </w:rPr>
            </w:pPr>
            <w:r>
              <w:rPr>
                <w:rFonts w:asciiTheme="majorBidi" w:hAnsiTheme="majorBidi"/>
                <w:noProof/>
                <w:color w:val="000000"/>
              </w:rPr>
              <w:t>Sans objet</w:t>
            </w:r>
          </w:p>
        </w:tc>
        <w:tc>
          <w:tcPr>
            <w:tcW w:w="919" w:type="dxa"/>
            <w:noWrap/>
            <w:hideMark/>
          </w:tcPr>
          <w:p>
            <w:pPr>
              <w:rPr>
                <w:rFonts w:asciiTheme="majorBidi" w:hAnsiTheme="majorBidi" w:cstheme="majorBidi"/>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rPr>
            </w:pPr>
            <w:r>
              <w:rPr>
                <w:rFonts w:asciiTheme="majorBidi" w:hAnsiTheme="majorBidi"/>
                <w:noProof/>
              </w:rPr>
              <w:t>Ne peut être pêché qu’au chalut et uniquement au nord et à l’ouest de la ligne définie par les coordonnées ci-après:</w:t>
            </w:r>
          </w:p>
        </w:tc>
      </w:tr>
      <w:tr>
        <w:trPr>
          <w:trHeight w:val="285"/>
        </w:trPr>
        <w:tc>
          <w:tcPr>
            <w:tcW w:w="1980" w:type="dxa"/>
            <w:noWrap/>
            <w:hideMark/>
          </w:tcPr>
          <w:p>
            <w:pPr>
              <w:rPr>
                <w:rFonts w:asciiTheme="majorBidi" w:hAnsiTheme="majorBidi" w:cstheme="majorBidi"/>
                <w:noProof/>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Point</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Latitude</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Longitude</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1</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59° 15' N</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54° 26' O</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2</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59° 15' N</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44° 00' O</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3</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59° 30' N</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42° 45' O</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4</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60° 00' N</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42° 00' O</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5</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62° 00' N</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40° 30' O</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6</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62° 00' N</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40° 00' O</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7</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62° 40' N</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40° 15' O</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8</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63° 09' N</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39° 40' O</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9</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63° 30' N</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37° 15' O</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10</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64° 20' N</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35° 00' O</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11</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65° 15' N</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32° 30' O</w:t>
            </w:r>
          </w:p>
        </w:tc>
        <w:tc>
          <w:tcPr>
            <w:tcW w:w="3702" w:type="dxa"/>
            <w:noWrap/>
            <w:hideMark/>
          </w:tcPr>
          <w:p>
            <w:pPr>
              <w:rPr>
                <w:rFonts w:asciiTheme="majorBidi" w:hAnsiTheme="majorBidi" w:cstheme="majorBidi"/>
                <w:noProof/>
                <w:lang w:eastAsia="en-GB"/>
              </w:rPr>
            </w:pPr>
          </w:p>
        </w:tc>
      </w:tr>
      <w:tr>
        <w:trPr>
          <w:trHeight w:val="270"/>
        </w:trPr>
        <w:tc>
          <w:tcPr>
            <w:tcW w:w="1980" w:type="dxa"/>
            <w:tcBorders>
              <w:top w:val="nil"/>
              <w:left w:val="nil"/>
              <w:bottom w:val="single" w:sz="4" w:space="0" w:color="auto"/>
              <w:right w:val="nil"/>
            </w:tcBorders>
            <w:noWrap/>
            <w:hideMark/>
          </w:tcPr>
          <w:p>
            <w:pPr>
              <w:spacing w:before="0" w:after="0"/>
              <w:rPr>
                <w:noProof/>
                <w:sz w:val="20"/>
                <w:szCs w:val="20"/>
                <w:lang w:eastAsia="en-GB"/>
              </w:rPr>
            </w:pPr>
          </w:p>
        </w:tc>
        <w:tc>
          <w:tcPr>
            <w:tcW w:w="1355" w:type="dxa"/>
            <w:tcBorders>
              <w:top w:val="nil"/>
              <w:left w:val="nil"/>
              <w:bottom w:val="single" w:sz="4"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12</w:t>
            </w:r>
          </w:p>
        </w:tc>
        <w:tc>
          <w:tcPr>
            <w:tcW w:w="1355" w:type="dxa"/>
            <w:gridSpan w:val="2"/>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65° 15' N</w:t>
            </w:r>
          </w:p>
        </w:tc>
        <w:tc>
          <w:tcPr>
            <w:tcW w:w="1355" w:type="dxa"/>
            <w:gridSpan w:val="2"/>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29° 50' O</w:t>
            </w:r>
          </w:p>
        </w:tc>
        <w:tc>
          <w:tcPr>
            <w:tcW w:w="3702" w:type="dxa"/>
            <w:tcBorders>
              <w:top w:val="nil"/>
              <w:left w:val="nil"/>
              <w:bottom w:val="single" w:sz="4" w:space="0" w:color="auto"/>
              <w:right w:val="nil"/>
            </w:tcBorders>
            <w:noWrap/>
            <w:hideMark/>
          </w:tcPr>
          <w:p>
            <w:pPr>
              <w:rPr>
                <w:rFonts w:asciiTheme="majorBidi" w:hAnsiTheme="majorBidi" w:cstheme="majorBidi"/>
                <w:noProof/>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Sébastes de l’Atlantique</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des Îles Féroé de la zone 5b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Sebastes</w:t>
            </w:r>
            <w:r>
              <w:rPr>
                <w:rFonts w:asciiTheme="majorBidi" w:hAnsiTheme="majorBidi"/>
                <w:noProof/>
                <w:color w:val="000000"/>
              </w:rPr>
              <w:t xml:space="preserve"> 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(RED/05B-F.)</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Belgique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4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Union</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rPr>
            </w:pPr>
            <w:r>
              <w:rPr>
                <w:rFonts w:asciiTheme="majorBidi" w:hAnsiTheme="majorBidi"/>
                <w:noProof/>
              </w:rPr>
              <w:t>Sans objet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lang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szCs w:val="24"/>
                <w:lang w:eastAsia="en-GB"/>
              </w:rPr>
            </w:pPr>
          </w:p>
        </w:tc>
        <w:tc>
          <w:tcPr>
            <w:tcW w:w="2343" w:type="dxa"/>
            <w:gridSpan w:val="2"/>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803" w:type="dxa"/>
            <w:gridSpan w:val="2"/>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eastAsia="en-GB"/>
              </w:rPr>
            </w:pP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Autres espèces</w:t>
            </w:r>
          </w:p>
        </w:tc>
        <w:tc>
          <w:tcPr>
            <w:tcW w:w="919" w:type="dxa"/>
            <w:tcBorders>
              <w:top w:val="nil"/>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noWrap/>
            <w:hideMark/>
          </w:tcPr>
          <w:p>
            <w:pPr>
              <w:spacing w:before="60" w:after="60"/>
              <w:rPr>
                <w:rFonts w:asciiTheme="majorBidi" w:hAnsiTheme="majorBidi" w:cstheme="majorBidi"/>
                <w:noProof/>
                <w:color w:val="000000"/>
              </w:rPr>
            </w:pPr>
            <w:r>
              <w:rPr>
                <w:rFonts w:asciiTheme="majorBidi" w:hAnsiTheme="majorBidi"/>
                <w:noProof/>
                <w:color w:val="000000"/>
              </w:rPr>
              <w:t>Eaux norvégiennes des zones 1 et 2</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(OTH/1N2AB.)</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Union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L’article 4 du règlement (CE) nº 847/96 ne s’applique pas</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Sans objet</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Exclusivement pour les prises accessoires. Aucune pêche ciblée n’est autorisée dans le cadre de ce quota.</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Autres espèces</w:t>
            </w:r>
          </w:p>
        </w:tc>
        <w:tc>
          <w:tcPr>
            <w:tcW w:w="803" w:type="dxa"/>
            <w:gridSpan w:val="2"/>
            <w:tcBorders>
              <w:top w:val="single" w:sz="8" w:space="0" w:color="auto"/>
              <w:left w:val="nil"/>
              <w:bottom w:val="nil"/>
              <w:right w:val="nil"/>
            </w:tcBorders>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des Îles Féroé de la zone 5b</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(OTH/05B-F.)</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Union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4 du règlement (CE) nº 847/96 ne s’applique pas</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Sans objet</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4"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À l’exclusion des espèces sans valeur commerciale.</w:t>
            </w: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color w:val="00000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Poissons plats</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des Îles Féroé de la zone 5b</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(FLX/05B-F.)</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Allemagne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analytique</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France</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Union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4 du règlement (CE) nº 847/96 ne s’applique pas</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rPr>
            </w:pPr>
            <w:r>
              <w:rPr>
                <w:rFonts w:asciiTheme="majorBidi" w:hAnsiTheme="majorBidi"/>
                <w:noProof/>
              </w:rPr>
              <w:t>Sans objet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lang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Espèce:</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Prises accessoires (</w:t>
            </w:r>
            <w:r>
              <w:rPr>
                <w:rFonts w:asciiTheme="majorBidi" w:hAnsiTheme="majorBidi"/>
                <w:b/>
                <w:bCs/>
                <w:noProof/>
                <w:color w:val="000000"/>
                <w:vertAlign w:val="superscript"/>
              </w:rPr>
              <w:t>1</w:t>
            </w:r>
            <w:r>
              <w:rPr>
                <w:rFonts w:asciiTheme="majorBidi" w:hAnsiTheme="majorBidi"/>
                <w:noProof/>
                <w:color w:val="000000"/>
              </w:rPr>
              <w:t>)</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Eaux groenlandaises</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(B-C/GRL)</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Union</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TAC de précaution</w:t>
            </w:r>
          </w:p>
        </w:tc>
      </w:tr>
      <w:tr>
        <w:trPr>
          <w:trHeight w:val="270"/>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3 du règlement (CE) nº 847/96 ne s’applique pas</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TAC</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Sans objet</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L’article 4 du règlement (CE) nº 847/96 ne s’applique pas</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Les prises accessoires de grenadiers (</w:t>
            </w:r>
            <w:r>
              <w:rPr>
                <w:rFonts w:asciiTheme="majorBidi" w:hAnsiTheme="majorBidi"/>
                <w:i/>
                <w:iCs/>
                <w:noProof/>
                <w:color w:val="000000"/>
              </w:rPr>
              <w:t>Macrourus</w:t>
            </w:r>
            <w:r>
              <w:rPr>
                <w:rFonts w:asciiTheme="majorBidi" w:hAnsiTheme="majorBidi"/>
                <w:noProof/>
                <w:color w:val="000000"/>
              </w:rPr>
              <w:t xml:space="preserve"> spp.) sont déclarées conformément aux tableaux des possibilités de pêche suivants: grenadiers dans les eaux groenlandaises des zones 5 et 14 (GRV/514GRN) et grenadiers dans les eaux groenlandaises de la zone OPANO 1 (GRV/N1GRN).</w:t>
            </w:r>
          </w:p>
        </w:tc>
      </w:tr>
    </w:tbl>
    <w:p>
      <w:pPr>
        <w:pStyle w:val="Lignefinal"/>
        <w:rPr>
          <w:noProof/>
        </w:rPr>
      </w:pPr>
    </w:p>
    <w:p>
      <w:pPr>
        <w:spacing w:before="0" w:after="0"/>
        <w:rPr>
          <w:noProof/>
        </w:rPr>
        <w:sectPr>
          <w:pgSz w:w="11907" w:h="16840"/>
          <w:pgMar w:top="1134" w:right="1134" w:bottom="1134" w:left="1134" w:header="567" w:footer="567" w:gutter="0"/>
          <w:pgNumType w:start="14"/>
          <w:cols w:space="720"/>
          <w:docGrid w:linePitch="326"/>
        </w:sectPr>
      </w:pPr>
    </w:p>
    <w:p>
      <w:pPr>
        <w:jc w:val="center"/>
        <w:rPr>
          <w:b/>
          <w:noProof/>
        </w:rPr>
      </w:pPr>
      <w:r>
        <w:rPr>
          <w:b/>
          <w:noProof/>
        </w:rPr>
        <w:t>ANNEXE IC</w:t>
      </w:r>
    </w:p>
    <w:p>
      <w:pPr>
        <w:pStyle w:val="NormalCentered"/>
        <w:rPr>
          <w:noProof/>
        </w:rPr>
      </w:pPr>
      <w:r>
        <w:rPr>
          <w:noProof/>
        </w:rPr>
        <w:t>ATLANTIQUE DU NORD-OUEST – ZONE DE LA CONVENTION OPANO</w:t>
      </w:r>
    </w:p>
    <w:tbl>
      <w:tblPr>
        <w:tblW w:w="9747" w:type="dxa"/>
        <w:tblInd w:w="108" w:type="dxa"/>
        <w:tblLook w:val="04A0" w:firstRow="1" w:lastRow="0" w:firstColumn="1" w:lastColumn="0" w:noHBand="0" w:noVBand="1"/>
      </w:tblPr>
      <w:tblGrid>
        <w:gridCol w:w="1667"/>
        <w:gridCol w:w="2350"/>
        <w:gridCol w:w="1333"/>
        <w:gridCol w:w="1454"/>
        <w:gridCol w:w="2943"/>
      </w:tblGrid>
      <w:tr>
        <w:trPr>
          <w:trHeight w:val="227"/>
        </w:trPr>
        <w:tc>
          <w:tcPr>
            <w:tcW w:w="1667"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Cabillaud</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Gadus morhua</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s-ES_tradnl"/>
              </w:rPr>
            </w:pPr>
            <w:r>
              <w:rPr>
                <w:rFonts w:asciiTheme="majorBidi" w:hAnsiTheme="majorBidi"/>
                <w:noProof/>
                <w:lang w:val="es-ES_tradnl"/>
              </w:rPr>
              <w:t>OPANO 2 J 3 K L</w:t>
            </w:r>
          </w:p>
          <w:p>
            <w:pPr>
              <w:spacing w:before="60" w:after="60"/>
              <w:rPr>
                <w:rFonts w:asciiTheme="majorBidi" w:hAnsiTheme="majorBidi" w:cstheme="majorBidi"/>
                <w:noProof/>
                <w:lang w:val="es-ES_tradnl"/>
              </w:rPr>
            </w:pPr>
            <w:r>
              <w:rPr>
                <w:rFonts w:asciiTheme="majorBidi" w:hAnsiTheme="majorBidi"/>
                <w:noProof/>
                <w:lang w:val="es-ES_tradnl"/>
              </w:rPr>
              <w:t>(COD/N2J3KL)</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Union</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Aucune pêche ciblée n’est autorisée dans le cadre de ce quota. Cette espèce ne peut être capturée qu’en tant que prise accessoire dans les limites suivantes: au maximum 1 250 kg ou 5 %, la quantité la plus importante étant retenue.</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Cabillaud</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Gadus morhua</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s-ES_tradnl"/>
              </w:rPr>
            </w:pPr>
            <w:r>
              <w:rPr>
                <w:rFonts w:asciiTheme="majorBidi" w:hAnsiTheme="majorBidi"/>
                <w:noProof/>
                <w:lang w:val="es-ES_tradnl"/>
              </w:rPr>
              <w:t>OPANO 3 N O</w:t>
            </w:r>
          </w:p>
          <w:p>
            <w:pPr>
              <w:spacing w:before="60" w:after="60"/>
              <w:rPr>
                <w:rFonts w:asciiTheme="majorBidi" w:hAnsiTheme="majorBidi" w:cstheme="majorBidi"/>
                <w:noProof/>
                <w:lang w:val="es-ES_tradnl"/>
              </w:rPr>
            </w:pPr>
            <w:r>
              <w:rPr>
                <w:rFonts w:asciiTheme="majorBidi" w:hAnsiTheme="majorBidi"/>
                <w:noProof/>
                <w:lang w:val="es-ES_tradnl"/>
              </w:rPr>
              <w:t>(COD/N3NO.)</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Union</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Aucune pêche ciblée n’est autorisée dans le cadre de ce quota. Cette espèce ne peut être capturée qu’en tant que prise accessoire dans les limites suivantes: au maximum 1 000 kg ou 4 %, la quantité la plus importante étant retenue.</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Cabillaud</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Gadus morhua</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OPANO 3 M</w:t>
            </w:r>
          </w:p>
          <w:p>
            <w:pPr>
              <w:spacing w:before="60" w:after="60"/>
              <w:rPr>
                <w:rFonts w:asciiTheme="majorBidi" w:hAnsiTheme="majorBidi" w:cstheme="majorBidi"/>
                <w:noProof/>
              </w:rPr>
            </w:pPr>
            <w:r>
              <w:rPr>
                <w:rFonts w:asciiTheme="majorBidi" w:hAnsiTheme="majorBidi"/>
                <w:noProof/>
              </w:rPr>
              <w:t>(COD/N3M.)</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Estonie</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17</w:t>
            </w:r>
          </w:p>
        </w:tc>
        <w:tc>
          <w:tcPr>
            <w:tcW w:w="1333" w:type="dxa"/>
            <w:tcBorders>
              <w:top w:val="single" w:sz="8" w:space="0" w:color="auto"/>
              <w:left w:val="nil"/>
              <w:bottom w:val="nil"/>
              <w:right w:val="nil"/>
            </w:tcBorders>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4397"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Allemagne</w:t>
            </w:r>
          </w:p>
        </w:tc>
        <w:tc>
          <w:tcPr>
            <w:tcW w:w="2350" w:type="dxa"/>
            <w:noWrap/>
            <w:hideMark/>
          </w:tcPr>
          <w:p>
            <w:pPr>
              <w:spacing w:before="60" w:after="60"/>
              <w:jc w:val="right"/>
              <w:rPr>
                <w:noProof/>
                <w:color w:val="000000"/>
              </w:rPr>
            </w:pPr>
            <w:r>
              <w:rPr>
                <w:rFonts w:asciiTheme="majorBidi" w:hAnsiTheme="majorBidi"/>
                <w:noProof/>
                <w:color w:val="000000"/>
              </w:rPr>
              <w:t>70</w:t>
            </w:r>
          </w:p>
        </w:tc>
        <w:tc>
          <w:tcPr>
            <w:tcW w:w="1333"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Lettonie</w:t>
            </w:r>
          </w:p>
        </w:tc>
        <w:tc>
          <w:tcPr>
            <w:tcW w:w="2350" w:type="dxa"/>
            <w:noWrap/>
            <w:hideMark/>
          </w:tcPr>
          <w:p>
            <w:pPr>
              <w:spacing w:before="60" w:after="60"/>
              <w:jc w:val="right"/>
              <w:rPr>
                <w:noProof/>
                <w:color w:val="000000"/>
              </w:rPr>
            </w:pPr>
            <w:r>
              <w:rPr>
                <w:rFonts w:asciiTheme="majorBidi" w:hAnsiTheme="majorBidi"/>
                <w:noProof/>
                <w:color w:val="000000"/>
              </w:rPr>
              <w:t>17</w:t>
            </w:r>
          </w:p>
        </w:tc>
        <w:tc>
          <w:tcPr>
            <w:tcW w:w="1333"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Lituanie</w:t>
            </w:r>
          </w:p>
        </w:tc>
        <w:tc>
          <w:tcPr>
            <w:tcW w:w="2350" w:type="dxa"/>
            <w:noWrap/>
            <w:hideMark/>
          </w:tcPr>
          <w:p>
            <w:pPr>
              <w:spacing w:before="60" w:after="60"/>
              <w:jc w:val="right"/>
              <w:rPr>
                <w:noProof/>
                <w:color w:val="000000"/>
              </w:rPr>
            </w:pPr>
            <w:r>
              <w:rPr>
                <w:rFonts w:asciiTheme="majorBidi" w:hAnsiTheme="majorBidi"/>
                <w:noProof/>
                <w:color w:val="000000"/>
              </w:rPr>
              <w:t>17</w:t>
            </w:r>
          </w:p>
        </w:tc>
        <w:tc>
          <w:tcPr>
            <w:tcW w:w="1333"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Pologne</w:t>
            </w:r>
          </w:p>
        </w:tc>
        <w:tc>
          <w:tcPr>
            <w:tcW w:w="2350" w:type="dxa"/>
            <w:noWrap/>
            <w:hideMark/>
          </w:tcPr>
          <w:p>
            <w:pPr>
              <w:spacing w:before="60" w:after="60"/>
              <w:jc w:val="right"/>
              <w:rPr>
                <w:noProof/>
                <w:color w:val="000000"/>
              </w:rPr>
            </w:pPr>
            <w:r>
              <w:rPr>
                <w:rFonts w:asciiTheme="majorBidi" w:hAnsiTheme="majorBidi"/>
                <w:noProof/>
                <w:color w:val="000000"/>
              </w:rPr>
              <w:t>57</w:t>
            </w:r>
          </w:p>
        </w:tc>
        <w:tc>
          <w:tcPr>
            <w:tcW w:w="1333" w:type="dxa"/>
            <w:noWrap/>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Espagne</w:t>
            </w:r>
          </w:p>
        </w:tc>
        <w:tc>
          <w:tcPr>
            <w:tcW w:w="2350" w:type="dxa"/>
            <w:noWrap/>
            <w:hideMark/>
          </w:tcPr>
          <w:p>
            <w:pPr>
              <w:spacing w:before="60" w:after="60"/>
              <w:jc w:val="right"/>
              <w:rPr>
                <w:noProof/>
                <w:color w:val="000000"/>
              </w:rPr>
            </w:pPr>
            <w:r>
              <w:rPr>
                <w:rFonts w:asciiTheme="majorBidi" w:hAnsiTheme="majorBidi"/>
                <w:noProof/>
                <w:color w:val="000000"/>
              </w:rPr>
              <w:t>215</w:t>
            </w:r>
          </w:p>
        </w:tc>
        <w:tc>
          <w:tcPr>
            <w:tcW w:w="1333"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France</w:t>
            </w:r>
          </w:p>
        </w:tc>
        <w:tc>
          <w:tcPr>
            <w:tcW w:w="2350" w:type="dxa"/>
            <w:noWrap/>
            <w:hideMark/>
          </w:tcPr>
          <w:p>
            <w:pPr>
              <w:spacing w:before="60" w:after="60"/>
              <w:jc w:val="right"/>
              <w:rPr>
                <w:noProof/>
                <w:color w:val="000000"/>
              </w:rPr>
            </w:pPr>
            <w:r>
              <w:rPr>
                <w:rFonts w:asciiTheme="majorBidi" w:hAnsiTheme="majorBidi"/>
                <w:noProof/>
                <w:color w:val="000000"/>
              </w:rPr>
              <w:t>30</w:t>
            </w:r>
          </w:p>
        </w:tc>
        <w:tc>
          <w:tcPr>
            <w:tcW w:w="1333"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Portugal</w:t>
            </w:r>
          </w:p>
        </w:tc>
        <w:tc>
          <w:tcPr>
            <w:tcW w:w="2350" w:type="dxa"/>
            <w:noWrap/>
            <w:hideMark/>
          </w:tcPr>
          <w:p>
            <w:pPr>
              <w:spacing w:before="60" w:after="60"/>
              <w:jc w:val="right"/>
              <w:rPr>
                <w:noProof/>
                <w:color w:val="000000"/>
              </w:rPr>
            </w:pPr>
            <w:r>
              <w:rPr>
                <w:rFonts w:asciiTheme="majorBidi" w:hAnsiTheme="majorBidi"/>
                <w:noProof/>
                <w:color w:val="000000"/>
              </w:rPr>
              <w:t>293</w:t>
            </w:r>
          </w:p>
        </w:tc>
        <w:tc>
          <w:tcPr>
            <w:tcW w:w="1333"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Union</w:t>
            </w:r>
          </w:p>
        </w:tc>
        <w:tc>
          <w:tcPr>
            <w:tcW w:w="2350" w:type="dxa"/>
            <w:noWrap/>
            <w:hideMark/>
          </w:tcPr>
          <w:p>
            <w:pPr>
              <w:spacing w:before="60" w:after="60"/>
              <w:jc w:val="right"/>
              <w:rPr>
                <w:noProof/>
                <w:color w:val="000000"/>
              </w:rPr>
            </w:pPr>
            <w:r>
              <w:rPr>
                <w:rFonts w:asciiTheme="majorBidi" w:hAnsiTheme="majorBidi"/>
                <w:noProof/>
                <w:color w:val="000000"/>
              </w:rPr>
              <w:t>716</w:t>
            </w:r>
          </w:p>
        </w:tc>
        <w:tc>
          <w:tcPr>
            <w:tcW w:w="1333"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4397" w:type="dxa"/>
            <w:gridSpan w:val="2"/>
            <w:vMerge/>
            <w:tcBorders>
              <w:top w:val="single" w:sz="8" w:space="0" w:color="auto"/>
              <w:left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right w:val="nil"/>
            </w:tcBorders>
            <w:noWrap/>
            <w:hideMark/>
          </w:tcPr>
          <w:p>
            <w:pPr>
              <w:spacing w:before="60" w:after="60"/>
              <w:rPr>
                <w:rFonts w:asciiTheme="majorBidi" w:hAnsiTheme="majorBidi" w:cstheme="majorBidi"/>
                <w:noProof/>
              </w:rPr>
            </w:pPr>
            <w:r>
              <w:rPr>
                <w:rFonts w:asciiTheme="majorBidi" w:hAnsiTheme="majorBidi"/>
                <w:noProof/>
              </w:rPr>
              <w:t>TAC</w:t>
            </w:r>
          </w:p>
        </w:tc>
        <w:tc>
          <w:tcPr>
            <w:tcW w:w="2350" w:type="dxa"/>
            <w:tcBorders>
              <w:top w:val="nil"/>
              <w:left w:val="nil"/>
              <w:right w:val="nil"/>
            </w:tcBorders>
            <w:noWrap/>
            <w:hideMark/>
          </w:tcPr>
          <w:p>
            <w:pPr>
              <w:spacing w:before="60" w:after="60"/>
              <w:jc w:val="right"/>
              <w:rPr>
                <w:noProof/>
                <w:color w:val="000000"/>
              </w:rPr>
            </w:pPr>
            <w:r>
              <w:rPr>
                <w:rFonts w:asciiTheme="majorBidi" w:hAnsiTheme="majorBidi"/>
                <w:noProof/>
                <w:color w:val="000000"/>
              </w:rPr>
              <w:t>1 500</w:t>
            </w:r>
          </w:p>
        </w:tc>
        <w:tc>
          <w:tcPr>
            <w:tcW w:w="1333" w:type="dxa"/>
            <w:tcBorders>
              <w:top w:val="nil"/>
              <w:left w:val="nil"/>
              <w:right w:val="nil"/>
            </w:tcBorders>
            <w:noWrap/>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p>
            <w:pPr>
              <w:spacing w:before="60" w:after="60"/>
              <w:rPr>
                <w:rFonts w:asciiTheme="majorBidi" w:hAnsiTheme="majorBidi" w:cstheme="majorBidi"/>
                <w:noProof/>
              </w:rPr>
            </w:pPr>
          </w:p>
        </w:tc>
        <w:tc>
          <w:tcPr>
            <w:tcW w:w="4397" w:type="dxa"/>
            <w:gridSpan w:val="2"/>
            <w:tcBorders>
              <w:left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left w:val="nil"/>
              <w:right w:val="nil"/>
            </w:tcBorders>
            <w:noWrap/>
          </w:tcPr>
          <w:p>
            <w:pPr>
              <w:spacing w:before="60" w:after="60"/>
              <w:jc w:val="right"/>
              <w:rPr>
                <w:rFonts w:asciiTheme="majorBidi" w:hAnsiTheme="majorBidi" w:cstheme="majorBidi"/>
                <w:noProof/>
              </w:rPr>
            </w:pPr>
            <w:r>
              <w:rPr>
                <w:rFonts w:asciiTheme="majorBidi" w:hAnsiTheme="majorBidi"/>
                <w:b/>
                <w:bCs/>
                <w:noProof/>
                <w:vertAlign w:val="superscript"/>
              </w:rPr>
              <w:t>(1)</w:t>
            </w:r>
          </w:p>
        </w:tc>
        <w:tc>
          <w:tcPr>
            <w:tcW w:w="8080" w:type="dxa"/>
            <w:gridSpan w:val="4"/>
            <w:tcBorders>
              <w:top w:val="nil"/>
              <w:left w:val="nil"/>
              <w:bottom w:val="single" w:sz="4" w:space="0" w:color="auto"/>
              <w:right w:val="nil"/>
            </w:tcBorders>
            <w:noWrap/>
          </w:tcPr>
          <w:p>
            <w:pPr>
              <w:spacing w:before="60" w:after="60"/>
              <w:rPr>
                <w:rFonts w:asciiTheme="majorBidi" w:hAnsiTheme="majorBidi" w:cstheme="majorBidi"/>
                <w:noProof/>
                <w:szCs w:val="24"/>
              </w:rPr>
            </w:pPr>
            <w:r>
              <w:rPr>
                <w:rFonts w:asciiTheme="majorBidi" w:hAnsiTheme="majorBidi"/>
                <w:noProof/>
              </w:rPr>
              <w:t>Aucune pêche ciblée n’est autorisée dans le cadre de ce quota entre 24 h 00 TUC le 31 décembre 2020 et 24 h 00 TUC le 31 mars 2021.</w:t>
            </w:r>
          </w:p>
        </w:tc>
      </w:tr>
      <w:tr>
        <w:trPr>
          <w:trHeight w:val="227"/>
        </w:trPr>
        <w:tc>
          <w:tcPr>
            <w:tcW w:w="9747" w:type="dxa"/>
            <w:gridSpan w:val="5"/>
            <w:tcBorders>
              <w:top w:val="single" w:sz="4" w:space="0" w:color="auto"/>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Plie cynoglosse</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Glyptocephalus cynoglossus</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OPANO 3 L</w:t>
            </w:r>
          </w:p>
          <w:p>
            <w:pPr>
              <w:spacing w:before="60" w:after="60"/>
              <w:rPr>
                <w:rFonts w:asciiTheme="majorBidi" w:hAnsiTheme="majorBidi" w:cstheme="majorBidi"/>
                <w:noProof/>
              </w:rPr>
            </w:pPr>
            <w:r>
              <w:rPr>
                <w:rFonts w:asciiTheme="majorBidi" w:hAnsiTheme="majorBidi"/>
                <w:noProof/>
              </w:rPr>
              <w:t>(WIT/N3L.)</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Union</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Aucune pêche ciblée n’est autorisée dans le cadre de ce quota. Cette espèce ne peut être capturée qu’en tant que prise accessoire dans les limites suivantes: au maximum 1 250 kg ou 5 %, la quantité la plus importante étant retenue.</w:t>
            </w:r>
          </w:p>
        </w:tc>
      </w:tr>
      <w:tr>
        <w:trPr>
          <w:trHeight w:val="227"/>
        </w:trPr>
        <w:tc>
          <w:tcPr>
            <w:tcW w:w="9747" w:type="dxa"/>
            <w:gridSpan w:val="5"/>
            <w:noWrap/>
            <w:hideMark/>
          </w:tcPr>
          <w:p>
            <w:pPr>
              <w:rPr>
                <w:rFonts w:asciiTheme="majorBidi" w:hAnsiTheme="majorBidi" w:cstheme="majorBidi"/>
                <w:noProof/>
              </w:rPr>
            </w:pPr>
          </w:p>
        </w:tc>
      </w:tr>
      <w:tr>
        <w:trPr>
          <w:trHeight w:val="227"/>
        </w:trPr>
        <w:tc>
          <w:tcPr>
            <w:tcW w:w="1667" w:type="dxa"/>
            <w:tcBorders>
              <w:top w:val="single" w:sz="8" w:space="0" w:color="auto"/>
              <w:left w:val="nil"/>
              <w:bottom w:val="nil"/>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Plie cynoglosse</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Glyptocephalus cynoglossus</w:t>
            </w:r>
          </w:p>
        </w:tc>
        <w:tc>
          <w:tcPr>
            <w:tcW w:w="1454"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nil"/>
              <w:right w:val="nil"/>
            </w:tcBorders>
            <w:noWrap/>
            <w:hideMark/>
          </w:tcPr>
          <w:p>
            <w:pPr>
              <w:spacing w:before="60" w:after="60"/>
              <w:rPr>
                <w:rFonts w:asciiTheme="majorBidi" w:hAnsiTheme="majorBidi" w:cstheme="majorBidi"/>
                <w:noProof/>
                <w:lang w:val="es-ES_tradnl"/>
              </w:rPr>
            </w:pPr>
            <w:r>
              <w:rPr>
                <w:rFonts w:asciiTheme="majorBidi" w:hAnsiTheme="majorBidi"/>
                <w:noProof/>
                <w:lang w:val="es-ES_tradnl"/>
              </w:rPr>
              <w:t>OPANO 3 N O</w:t>
            </w:r>
          </w:p>
          <w:p>
            <w:pPr>
              <w:spacing w:before="60" w:after="60"/>
              <w:rPr>
                <w:rFonts w:asciiTheme="majorBidi" w:hAnsiTheme="majorBidi" w:cstheme="majorBidi"/>
                <w:noProof/>
                <w:lang w:val="es-ES_tradnl"/>
              </w:rPr>
            </w:pPr>
            <w:r>
              <w:rPr>
                <w:rFonts w:asciiTheme="majorBidi" w:hAnsiTheme="majorBidi"/>
                <w:noProof/>
                <w:lang w:val="es-ES_tradnl"/>
              </w:rPr>
              <w:t>(WIT/N3NO.)</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Estonie</w:t>
            </w:r>
          </w:p>
        </w:tc>
        <w:tc>
          <w:tcPr>
            <w:tcW w:w="2350" w:type="dxa"/>
            <w:noWrap/>
            <w:hideMark/>
          </w:tcPr>
          <w:p>
            <w:pPr>
              <w:spacing w:before="60" w:after="60"/>
              <w:jc w:val="right"/>
              <w:rPr>
                <w:noProof/>
                <w:color w:val="000000"/>
              </w:rPr>
            </w:pPr>
            <w:r>
              <w:rPr>
                <w:rFonts w:asciiTheme="majorBidi" w:hAnsiTheme="majorBidi"/>
                <w:noProof/>
                <w:color w:val="000000"/>
              </w:rPr>
              <w:t>52</w:t>
            </w:r>
          </w:p>
        </w:tc>
        <w:tc>
          <w:tcPr>
            <w:tcW w:w="1333" w:type="dxa"/>
            <w:noWrap/>
          </w:tcPr>
          <w:p>
            <w:pPr>
              <w:spacing w:before="60" w:after="60"/>
              <w:rPr>
                <w:rFonts w:asciiTheme="majorBidi" w:hAnsiTheme="majorBidi" w:cstheme="majorBidi"/>
                <w:noProof/>
              </w:rPr>
            </w:pPr>
          </w:p>
        </w:tc>
        <w:tc>
          <w:tcPr>
            <w:tcW w:w="4397" w:type="dxa"/>
            <w:gridSpan w:val="2"/>
            <w:vMerge w:val="restart"/>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Lettonie</w:t>
            </w:r>
          </w:p>
        </w:tc>
        <w:tc>
          <w:tcPr>
            <w:tcW w:w="2350" w:type="dxa"/>
            <w:noWrap/>
            <w:hideMark/>
          </w:tcPr>
          <w:p>
            <w:pPr>
              <w:spacing w:before="60" w:after="60"/>
              <w:jc w:val="right"/>
              <w:rPr>
                <w:noProof/>
                <w:color w:val="000000"/>
              </w:rPr>
            </w:pPr>
            <w:r>
              <w:rPr>
                <w:rFonts w:asciiTheme="majorBidi" w:hAnsiTheme="majorBidi"/>
                <w:noProof/>
                <w:color w:val="000000"/>
              </w:rPr>
              <w:t>52</w:t>
            </w:r>
          </w:p>
        </w:tc>
        <w:tc>
          <w:tcPr>
            <w:tcW w:w="1333" w:type="dxa"/>
            <w:noWrap/>
          </w:tcPr>
          <w:p>
            <w:pPr>
              <w:spacing w:before="60" w:after="60"/>
              <w:rPr>
                <w:rFonts w:asciiTheme="majorBidi" w:hAnsiTheme="majorBidi" w:cstheme="majorBidi"/>
                <w:noProof/>
              </w:rPr>
            </w:pPr>
          </w:p>
        </w:tc>
        <w:tc>
          <w:tcPr>
            <w:tcW w:w="4397"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Lituanie</w:t>
            </w:r>
          </w:p>
        </w:tc>
        <w:tc>
          <w:tcPr>
            <w:tcW w:w="2350" w:type="dxa"/>
            <w:noWrap/>
            <w:hideMark/>
          </w:tcPr>
          <w:p>
            <w:pPr>
              <w:spacing w:before="60" w:after="60"/>
              <w:jc w:val="right"/>
              <w:rPr>
                <w:noProof/>
                <w:color w:val="000000"/>
              </w:rPr>
            </w:pPr>
            <w:r>
              <w:rPr>
                <w:rFonts w:asciiTheme="majorBidi" w:hAnsiTheme="majorBidi"/>
                <w:noProof/>
                <w:color w:val="000000"/>
              </w:rPr>
              <w:t>52</w:t>
            </w:r>
          </w:p>
        </w:tc>
        <w:tc>
          <w:tcPr>
            <w:tcW w:w="1333" w:type="dxa"/>
            <w:noWrap/>
          </w:tcPr>
          <w:p>
            <w:pPr>
              <w:spacing w:before="60" w:after="60"/>
              <w:rPr>
                <w:rFonts w:asciiTheme="majorBidi" w:hAnsiTheme="majorBidi" w:cstheme="majorBidi"/>
                <w:noProof/>
              </w:rPr>
            </w:pPr>
          </w:p>
        </w:tc>
        <w:tc>
          <w:tcPr>
            <w:tcW w:w="4397"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Union</w:t>
            </w:r>
          </w:p>
        </w:tc>
        <w:tc>
          <w:tcPr>
            <w:tcW w:w="2350" w:type="dxa"/>
            <w:noWrap/>
            <w:hideMark/>
          </w:tcPr>
          <w:p>
            <w:pPr>
              <w:spacing w:before="60" w:after="60"/>
              <w:jc w:val="right"/>
              <w:rPr>
                <w:noProof/>
                <w:color w:val="000000"/>
              </w:rPr>
            </w:pPr>
            <w:r>
              <w:rPr>
                <w:rFonts w:asciiTheme="majorBidi" w:hAnsiTheme="majorBidi"/>
                <w:noProof/>
                <w:color w:val="000000"/>
              </w:rPr>
              <w:t>156</w:t>
            </w:r>
          </w:p>
        </w:tc>
        <w:tc>
          <w:tcPr>
            <w:tcW w:w="1333" w:type="dxa"/>
            <w:noWrap/>
          </w:tcPr>
          <w:p>
            <w:pPr>
              <w:spacing w:before="60" w:after="60"/>
              <w:rPr>
                <w:rFonts w:asciiTheme="majorBidi" w:hAnsiTheme="majorBidi" w:cstheme="majorBidi"/>
                <w:noProof/>
              </w:rPr>
            </w:pPr>
          </w:p>
        </w:tc>
        <w:tc>
          <w:tcPr>
            <w:tcW w:w="4397"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TAC</w:t>
            </w:r>
          </w:p>
        </w:tc>
        <w:tc>
          <w:tcPr>
            <w:tcW w:w="2350" w:type="dxa"/>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1 175</w:t>
            </w:r>
          </w:p>
        </w:tc>
        <w:tc>
          <w:tcPr>
            <w:tcW w:w="1333"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4397"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Plie canadienne</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Hippoglossoides platessoides</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OPANO 3 M</w:t>
            </w:r>
          </w:p>
          <w:p>
            <w:pPr>
              <w:spacing w:before="60" w:after="60"/>
              <w:rPr>
                <w:rFonts w:asciiTheme="majorBidi" w:hAnsiTheme="majorBidi" w:cstheme="majorBidi"/>
                <w:noProof/>
              </w:rPr>
            </w:pPr>
            <w:r>
              <w:rPr>
                <w:rFonts w:asciiTheme="majorBidi" w:hAnsiTheme="majorBidi"/>
                <w:noProof/>
              </w:rPr>
              <w:t>(PLA/N3M.)</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Union</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Aucune pêche ciblée n’est autorisée dans le cadre de ce quota. Cette espèce ne peut être capturée qu’en tant que prise accessoire dans les limites suivantes: au maximum 1 250 kg ou 5 %, la quantité la plus importante étant retenue.</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Plie canadienne</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Hippoglossoides platessoides</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s-ES_tradnl"/>
              </w:rPr>
            </w:pPr>
            <w:r>
              <w:rPr>
                <w:rFonts w:asciiTheme="majorBidi" w:hAnsiTheme="majorBidi"/>
                <w:noProof/>
                <w:lang w:val="es-ES_tradnl"/>
              </w:rPr>
              <w:t>OPANO 3 L N O</w:t>
            </w:r>
          </w:p>
          <w:p>
            <w:pPr>
              <w:spacing w:before="60" w:after="60"/>
              <w:rPr>
                <w:rFonts w:asciiTheme="majorBidi" w:hAnsiTheme="majorBidi" w:cstheme="majorBidi"/>
                <w:noProof/>
                <w:lang w:val="es-ES_tradnl"/>
              </w:rPr>
            </w:pPr>
            <w:r>
              <w:rPr>
                <w:rFonts w:asciiTheme="majorBidi" w:hAnsiTheme="majorBidi"/>
                <w:noProof/>
                <w:lang w:val="es-ES_tradnl"/>
              </w:rPr>
              <w:t>(PLA/N3LNO.)</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Union</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Aucune pêche ciblée n’est autorisée dans le cadre de ce quota. Cette espèce ne peut être capturée qu’en tant que prise accessoire dans les limites suivantes: au maximum 1 250 kg ou 5 %, la quantité la plus importante étant retenue.</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Encornet rouge nordique</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Illex illecebrosus</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Sous-zones OPANO 3 et 4</w:t>
            </w:r>
          </w:p>
          <w:p>
            <w:pPr>
              <w:spacing w:before="60" w:after="60"/>
              <w:rPr>
                <w:rFonts w:asciiTheme="majorBidi" w:hAnsiTheme="majorBidi" w:cstheme="majorBidi"/>
                <w:noProof/>
              </w:rPr>
            </w:pPr>
            <w:r>
              <w:rPr>
                <w:rFonts w:asciiTheme="majorBidi" w:hAnsiTheme="majorBidi"/>
                <w:noProof/>
              </w:rPr>
              <w:t>(SQI/N34.)</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Estonie</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128</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Lettonie</w:t>
            </w:r>
          </w:p>
        </w:tc>
        <w:tc>
          <w:tcPr>
            <w:tcW w:w="2350" w:type="dxa"/>
            <w:noWrap/>
            <w:hideMark/>
          </w:tcPr>
          <w:p>
            <w:pPr>
              <w:spacing w:before="60" w:after="60"/>
              <w:jc w:val="right"/>
              <w:rPr>
                <w:noProof/>
                <w:color w:val="000000"/>
              </w:rPr>
            </w:pPr>
            <w:r>
              <w:rPr>
                <w:rFonts w:asciiTheme="majorBidi" w:hAnsiTheme="majorBidi"/>
                <w:noProof/>
                <w:color w:val="000000"/>
              </w:rPr>
              <w:t>128</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Lituanie</w:t>
            </w:r>
          </w:p>
        </w:tc>
        <w:tc>
          <w:tcPr>
            <w:tcW w:w="2350" w:type="dxa"/>
            <w:noWrap/>
            <w:hideMark/>
          </w:tcPr>
          <w:p>
            <w:pPr>
              <w:spacing w:before="60" w:after="60"/>
              <w:jc w:val="right"/>
              <w:rPr>
                <w:noProof/>
                <w:color w:val="000000"/>
              </w:rPr>
            </w:pPr>
            <w:r>
              <w:rPr>
                <w:rFonts w:asciiTheme="majorBidi" w:hAnsiTheme="majorBidi"/>
                <w:noProof/>
                <w:color w:val="000000"/>
              </w:rPr>
              <w:t>128</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Pologne</w:t>
            </w:r>
          </w:p>
        </w:tc>
        <w:tc>
          <w:tcPr>
            <w:tcW w:w="2350" w:type="dxa"/>
            <w:noWrap/>
            <w:hideMark/>
          </w:tcPr>
          <w:p>
            <w:pPr>
              <w:spacing w:before="60" w:after="60"/>
              <w:jc w:val="right"/>
              <w:rPr>
                <w:noProof/>
                <w:color w:val="000000"/>
              </w:rPr>
            </w:pPr>
            <w:r>
              <w:rPr>
                <w:rFonts w:asciiTheme="majorBidi" w:hAnsiTheme="majorBidi"/>
                <w:noProof/>
                <w:color w:val="000000"/>
              </w:rPr>
              <w:t>227</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Union</w:t>
            </w:r>
          </w:p>
        </w:tc>
        <w:tc>
          <w:tcPr>
            <w:tcW w:w="2350" w:type="dxa"/>
            <w:noWrap/>
            <w:hideMark/>
          </w:tcPr>
          <w:p>
            <w:pPr>
              <w:spacing w:before="60" w:after="60"/>
              <w:jc w:val="right"/>
              <w:rPr>
                <w:rFonts w:asciiTheme="majorBidi" w:hAnsiTheme="majorBidi" w:cstheme="majorBidi"/>
                <w:noProof/>
              </w:rPr>
            </w:pPr>
            <w:r>
              <w:rPr>
                <w:rFonts w:asciiTheme="majorBidi" w:hAnsiTheme="majorBidi"/>
                <w:noProof/>
              </w:rPr>
              <w:t>Sans objet</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 (2)</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34 000</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noWrap/>
            <w:hideMark/>
          </w:tcPr>
          <w:p>
            <w:pPr>
              <w:spacing w:before="60" w:after="60"/>
              <w:rPr>
                <w:rFonts w:asciiTheme="majorBidi" w:hAnsiTheme="majorBidi" w:cstheme="majorBidi"/>
                <w:noProof/>
              </w:rPr>
            </w:pPr>
            <w:r>
              <w:rPr>
                <w:rFonts w:asciiTheme="majorBidi" w:hAnsiTheme="majorBidi"/>
                <w:noProof/>
              </w:rPr>
              <w:t>À pêcher entre le 1</w:t>
            </w:r>
            <w:r>
              <w:rPr>
                <w:rFonts w:asciiTheme="majorBidi" w:hAnsiTheme="majorBidi"/>
                <w:noProof/>
                <w:vertAlign w:val="superscript"/>
              </w:rPr>
              <w:t>er</w:t>
            </w:r>
            <w:r>
              <w:rPr>
                <w:rFonts w:asciiTheme="majorBidi" w:hAnsiTheme="majorBidi"/>
                <w:noProof/>
              </w:rPr>
              <w:t xml:space="preserve"> juillet et le 31 décembre 2021.</w:t>
            </w:r>
          </w:p>
        </w:tc>
      </w:tr>
      <w:tr>
        <w:trPr>
          <w:trHeight w:val="227"/>
        </w:trPr>
        <w:tc>
          <w:tcPr>
            <w:tcW w:w="1667"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(2)</w:t>
            </w:r>
          </w:p>
        </w:tc>
        <w:tc>
          <w:tcPr>
            <w:tcW w:w="8080"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Pas de quota spécifié pour l’Union. La quantité indiquée ci-dessous en tonnes est attribuée au Canada et aux États membres de l’Union, à l’exception de l’Estonie, de la Lettonie, de la Lituanie et de la Pologne:</w:t>
            </w:r>
          </w:p>
          <w:p>
            <w:pPr>
              <w:spacing w:before="60" w:after="60"/>
              <w:rPr>
                <w:rFonts w:asciiTheme="majorBidi" w:hAnsiTheme="majorBidi" w:cstheme="majorBidi"/>
                <w:noProof/>
              </w:rPr>
            </w:pPr>
            <w:r>
              <w:rPr>
                <w:rFonts w:asciiTheme="majorBidi" w:hAnsiTheme="majorBidi"/>
                <w:noProof/>
                <w:color w:val="000000"/>
              </w:rPr>
              <w:t>29 647</w:t>
            </w: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Limande à queue jaune</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Limanda ferruginea</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s-ES_tradnl"/>
              </w:rPr>
            </w:pPr>
            <w:r>
              <w:rPr>
                <w:rFonts w:asciiTheme="majorBidi" w:hAnsiTheme="majorBidi"/>
                <w:noProof/>
                <w:lang w:val="es-ES_tradnl"/>
              </w:rPr>
              <w:t>OPANO 3 L N O</w:t>
            </w:r>
          </w:p>
          <w:p>
            <w:pPr>
              <w:spacing w:before="60" w:after="60"/>
              <w:rPr>
                <w:rFonts w:asciiTheme="majorBidi" w:hAnsiTheme="majorBidi" w:cstheme="majorBidi"/>
                <w:noProof/>
                <w:lang w:val="es-ES_tradnl"/>
              </w:rPr>
            </w:pPr>
            <w:r>
              <w:rPr>
                <w:rFonts w:asciiTheme="majorBidi" w:hAnsiTheme="majorBidi"/>
                <w:noProof/>
                <w:lang w:val="es-ES_tradnl"/>
              </w:rPr>
              <w:t>(YEL/N3LNO.)</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Union</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17 000</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 xml:space="preserve">Aucune pêche ciblée n’est autorisée dans le cadre de ce quota. Cette espèce ne peut être capturée qu’en tant que prise accessoire dans les limites suivantes: au maximum 2 500 kg ou 10 %, la quantité la plus importante étant retenue. </w:t>
            </w: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Capelan</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Mallotus villosus</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s-ES_tradnl"/>
              </w:rPr>
            </w:pPr>
            <w:r>
              <w:rPr>
                <w:rFonts w:asciiTheme="majorBidi" w:hAnsiTheme="majorBidi"/>
                <w:noProof/>
                <w:lang w:val="es-ES_tradnl"/>
              </w:rPr>
              <w:t>OPANO 3 N O</w:t>
            </w:r>
          </w:p>
          <w:p>
            <w:pPr>
              <w:spacing w:before="60" w:after="60"/>
              <w:rPr>
                <w:rFonts w:asciiTheme="majorBidi" w:hAnsiTheme="majorBidi" w:cstheme="majorBidi"/>
                <w:noProof/>
                <w:lang w:val="es-ES_tradnl"/>
              </w:rPr>
            </w:pPr>
            <w:r>
              <w:rPr>
                <w:rFonts w:asciiTheme="majorBidi" w:hAnsiTheme="majorBidi"/>
                <w:noProof/>
                <w:lang w:val="es-ES_tradnl"/>
              </w:rPr>
              <w:t>(CAP/N3NO.)</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Union</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Aucune pêche ciblée n’est autorisée dans le cadre de ce quota. Cette espèce ne peut être capturée qu’en tant que prise accessoire dans les limites suivantes: au maximum 1 250 kg ou 5 %, la quantité la plus importante étant retenue.</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Crevette nordique</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Pandalus borealis</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s-ES_tradnl"/>
              </w:rPr>
            </w:pPr>
            <w:r>
              <w:rPr>
                <w:rFonts w:asciiTheme="majorBidi" w:hAnsiTheme="majorBidi"/>
                <w:noProof/>
                <w:lang w:val="es-ES_tradnl"/>
              </w:rPr>
              <w:t>OPANO 3 L N O</w:t>
            </w:r>
            <w:r>
              <w:rPr>
                <w:rFonts w:asciiTheme="majorBidi" w:hAnsiTheme="majorBidi"/>
                <w:b/>
                <w:bCs/>
                <w:noProof/>
                <w:vertAlign w:val="superscript"/>
                <w:lang w:val="es-ES_tradnl"/>
              </w:rPr>
              <w:t>(1)(2)</w:t>
            </w:r>
          </w:p>
          <w:p>
            <w:pPr>
              <w:spacing w:before="60" w:after="60"/>
              <w:rPr>
                <w:rFonts w:asciiTheme="majorBidi" w:hAnsiTheme="majorBidi" w:cstheme="majorBidi"/>
                <w:noProof/>
                <w:lang w:val="es-ES_tradnl"/>
              </w:rPr>
            </w:pPr>
            <w:r>
              <w:rPr>
                <w:rFonts w:asciiTheme="majorBidi" w:hAnsiTheme="majorBidi"/>
                <w:noProof/>
                <w:lang w:val="es-ES_tradnl"/>
              </w:rPr>
              <w:t>(PRA/N3LNOX)</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Estonie</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Lettonie</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Lituanie</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Pologne</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Espagne</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Portugal</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Union</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vMerge w:val="restart"/>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noWrap/>
            <w:hideMark/>
          </w:tcPr>
          <w:p>
            <w:pPr>
              <w:spacing w:before="60" w:after="60"/>
              <w:rPr>
                <w:rFonts w:asciiTheme="majorBidi" w:hAnsiTheme="majorBidi" w:cstheme="majorBidi"/>
                <w:noProof/>
              </w:rPr>
            </w:pPr>
            <w:r>
              <w:rPr>
                <w:rFonts w:asciiTheme="majorBidi" w:hAnsiTheme="majorBidi"/>
                <w:noProof/>
              </w:rPr>
              <w:t>À l’exclusion du cantonnement délimité par les coordonnées suivantes:</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Point nº</w:t>
            </w:r>
          </w:p>
        </w:tc>
        <w:tc>
          <w:tcPr>
            <w:tcW w:w="1333"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Latitude N</w:t>
            </w:r>
          </w:p>
        </w:tc>
        <w:tc>
          <w:tcPr>
            <w:tcW w:w="1454"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Longitude O</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1</w:t>
            </w:r>
          </w:p>
        </w:tc>
        <w:tc>
          <w:tcPr>
            <w:tcW w:w="1333" w:type="dxa"/>
            <w:noWrap/>
            <w:hideMark/>
          </w:tcPr>
          <w:p>
            <w:pPr>
              <w:spacing w:before="60" w:after="60"/>
              <w:rPr>
                <w:rFonts w:asciiTheme="majorBidi" w:hAnsiTheme="majorBidi" w:cstheme="majorBidi"/>
                <w:noProof/>
              </w:rPr>
            </w:pPr>
            <w:r>
              <w:rPr>
                <w:rFonts w:asciiTheme="majorBidi" w:hAnsiTheme="majorBidi"/>
                <w:noProof/>
              </w:rPr>
              <w:t>47° 20' 0</w:t>
            </w:r>
          </w:p>
        </w:tc>
        <w:tc>
          <w:tcPr>
            <w:tcW w:w="1454" w:type="dxa"/>
            <w:noWrap/>
            <w:hideMark/>
          </w:tcPr>
          <w:p>
            <w:pPr>
              <w:spacing w:before="60" w:after="60"/>
              <w:rPr>
                <w:rFonts w:asciiTheme="majorBidi" w:hAnsiTheme="majorBidi" w:cstheme="majorBidi"/>
                <w:noProof/>
              </w:rPr>
            </w:pPr>
            <w:r>
              <w:rPr>
                <w:rFonts w:asciiTheme="majorBidi" w:hAnsiTheme="majorBidi"/>
                <w:noProof/>
              </w:rPr>
              <w:t>46° 40'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2</w:t>
            </w:r>
          </w:p>
        </w:tc>
        <w:tc>
          <w:tcPr>
            <w:tcW w:w="1333" w:type="dxa"/>
            <w:noWrap/>
            <w:hideMark/>
          </w:tcPr>
          <w:p>
            <w:pPr>
              <w:spacing w:before="60" w:after="60"/>
              <w:rPr>
                <w:rFonts w:asciiTheme="majorBidi" w:hAnsiTheme="majorBidi" w:cstheme="majorBidi"/>
                <w:noProof/>
              </w:rPr>
            </w:pPr>
            <w:r>
              <w:rPr>
                <w:rFonts w:asciiTheme="majorBidi" w:hAnsiTheme="majorBidi"/>
                <w:noProof/>
              </w:rPr>
              <w:t>47° 20' 0</w:t>
            </w:r>
          </w:p>
        </w:tc>
        <w:tc>
          <w:tcPr>
            <w:tcW w:w="1454" w:type="dxa"/>
            <w:noWrap/>
            <w:hideMark/>
          </w:tcPr>
          <w:p>
            <w:pPr>
              <w:spacing w:before="60" w:after="60"/>
              <w:rPr>
                <w:rFonts w:asciiTheme="majorBidi" w:hAnsiTheme="majorBidi" w:cstheme="majorBidi"/>
                <w:noProof/>
              </w:rPr>
            </w:pPr>
            <w:r>
              <w:rPr>
                <w:rFonts w:asciiTheme="majorBidi" w:hAnsiTheme="majorBidi"/>
                <w:noProof/>
              </w:rPr>
              <w:t>46° 30'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3</w:t>
            </w:r>
          </w:p>
        </w:tc>
        <w:tc>
          <w:tcPr>
            <w:tcW w:w="1333" w:type="dxa"/>
            <w:noWrap/>
            <w:hideMark/>
          </w:tcPr>
          <w:p>
            <w:pPr>
              <w:spacing w:before="60" w:after="60"/>
              <w:rPr>
                <w:rFonts w:asciiTheme="majorBidi" w:hAnsiTheme="majorBidi" w:cstheme="majorBidi"/>
                <w:noProof/>
              </w:rPr>
            </w:pPr>
            <w:r>
              <w:rPr>
                <w:rFonts w:asciiTheme="majorBidi" w:hAnsiTheme="majorBidi"/>
                <w:noProof/>
              </w:rPr>
              <w:t>46° 00' 0</w:t>
            </w:r>
          </w:p>
        </w:tc>
        <w:tc>
          <w:tcPr>
            <w:tcW w:w="1454" w:type="dxa"/>
            <w:noWrap/>
            <w:hideMark/>
          </w:tcPr>
          <w:p>
            <w:pPr>
              <w:spacing w:before="60" w:after="60"/>
              <w:rPr>
                <w:rFonts w:asciiTheme="majorBidi" w:hAnsiTheme="majorBidi" w:cstheme="majorBidi"/>
                <w:noProof/>
              </w:rPr>
            </w:pPr>
            <w:r>
              <w:rPr>
                <w:rFonts w:asciiTheme="majorBidi" w:hAnsiTheme="majorBidi"/>
                <w:noProof/>
              </w:rPr>
              <w:t>46° 30'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4</w:t>
            </w:r>
          </w:p>
        </w:tc>
        <w:tc>
          <w:tcPr>
            <w:tcW w:w="1333" w:type="dxa"/>
            <w:noWrap/>
            <w:hideMark/>
          </w:tcPr>
          <w:p>
            <w:pPr>
              <w:spacing w:before="60" w:after="60"/>
              <w:rPr>
                <w:rFonts w:asciiTheme="majorBidi" w:hAnsiTheme="majorBidi" w:cstheme="majorBidi"/>
                <w:noProof/>
              </w:rPr>
            </w:pPr>
            <w:r>
              <w:rPr>
                <w:rFonts w:asciiTheme="majorBidi" w:hAnsiTheme="majorBidi"/>
                <w:noProof/>
              </w:rPr>
              <w:t>46° 00' 0</w:t>
            </w:r>
          </w:p>
        </w:tc>
        <w:tc>
          <w:tcPr>
            <w:tcW w:w="1454" w:type="dxa"/>
            <w:noWrap/>
            <w:hideMark/>
          </w:tcPr>
          <w:p>
            <w:pPr>
              <w:spacing w:before="60" w:after="60"/>
              <w:rPr>
                <w:rFonts w:asciiTheme="majorBidi" w:hAnsiTheme="majorBidi" w:cstheme="majorBidi"/>
                <w:noProof/>
              </w:rPr>
            </w:pPr>
            <w:r>
              <w:rPr>
                <w:rFonts w:asciiTheme="majorBidi" w:hAnsiTheme="majorBidi"/>
                <w:noProof/>
              </w:rPr>
              <w:t>46° 40' 0</w:t>
            </w:r>
          </w:p>
        </w:tc>
        <w:tc>
          <w:tcPr>
            <w:tcW w:w="2943" w:type="dxa"/>
            <w:noWrap/>
            <w:hideMark/>
          </w:tcPr>
          <w:p>
            <w:pPr>
              <w:rPr>
                <w:rFonts w:asciiTheme="majorBidi" w:hAnsiTheme="majorBidi" w:cstheme="majorBidi"/>
                <w:noProof/>
              </w:rPr>
            </w:pPr>
          </w:p>
        </w:tc>
      </w:tr>
      <w:tr>
        <w:trPr>
          <w:trHeight w:val="227"/>
        </w:trPr>
        <w:tc>
          <w:tcPr>
            <w:tcW w:w="1667" w:type="dxa"/>
            <w:vMerge w:val="restart"/>
            <w:noWrap/>
            <w:hideMark/>
          </w:tcPr>
          <w:p>
            <w:pPr>
              <w:pageBreakBefore/>
              <w:spacing w:before="60" w:after="60"/>
              <w:rPr>
                <w:rFonts w:asciiTheme="majorBidi" w:hAnsiTheme="majorBidi" w:cstheme="majorBidi"/>
                <w:b/>
                <w:bCs/>
                <w:noProof/>
                <w:szCs w:val="24"/>
                <w:vertAlign w:val="superscript"/>
              </w:rPr>
            </w:pPr>
            <w:r>
              <w:rPr>
                <w:rFonts w:asciiTheme="majorBidi" w:hAnsiTheme="majorBidi"/>
                <w:b/>
                <w:bCs/>
                <w:noProof/>
                <w:vertAlign w:val="superscript"/>
              </w:rPr>
              <w:t>(2)</w:t>
            </w:r>
          </w:p>
        </w:tc>
        <w:tc>
          <w:tcPr>
            <w:tcW w:w="8080" w:type="dxa"/>
            <w:gridSpan w:val="4"/>
            <w:noWrap/>
            <w:hideMark/>
          </w:tcPr>
          <w:p>
            <w:pPr>
              <w:spacing w:before="60" w:after="60"/>
              <w:rPr>
                <w:rFonts w:asciiTheme="majorBidi" w:hAnsiTheme="majorBidi" w:cstheme="majorBidi"/>
                <w:noProof/>
              </w:rPr>
            </w:pPr>
            <w:r>
              <w:rPr>
                <w:rFonts w:asciiTheme="majorBidi" w:hAnsiTheme="majorBidi"/>
                <w:noProof/>
              </w:rPr>
              <w:t>La pêche est interdite à une profondeur inférieure à 200 mètres dans la zone à l’ouest d’une ligne délimitée par les coordonnées suivantes:</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Point nº</w:t>
            </w:r>
          </w:p>
        </w:tc>
        <w:tc>
          <w:tcPr>
            <w:tcW w:w="1333"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Latitude N</w:t>
            </w:r>
          </w:p>
        </w:tc>
        <w:tc>
          <w:tcPr>
            <w:tcW w:w="1454"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Longitude O</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1</w:t>
            </w:r>
          </w:p>
        </w:tc>
        <w:tc>
          <w:tcPr>
            <w:tcW w:w="1333" w:type="dxa"/>
            <w:noWrap/>
            <w:hideMark/>
          </w:tcPr>
          <w:p>
            <w:pPr>
              <w:spacing w:before="60" w:after="60"/>
              <w:rPr>
                <w:rFonts w:asciiTheme="majorBidi" w:hAnsiTheme="majorBidi" w:cstheme="majorBidi"/>
                <w:noProof/>
              </w:rPr>
            </w:pPr>
            <w:r>
              <w:rPr>
                <w:rFonts w:asciiTheme="majorBidi" w:hAnsiTheme="majorBidi"/>
                <w:noProof/>
              </w:rPr>
              <w:t>46° 00' 0</w:t>
            </w:r>
          </w:p>
        </w:tc>
        <w:tc>
          <w:tcPr>
            <w:tcW w:w="1454" w:type="dxa"/>
            <w:noWrap/>
            <w:hideMark/>
          </w:tcPr>
          <w:p>
            <w:pPr>
              <w:spacing w:before="60" w:after="60"/>
              <w:rPr>
                <w:rFonts w:asciiTheme="majorBidi" w:hAnsiTheme="majorBidi" w:cstheme="majorBidi"/>
                <w:noProof/>
              </w:rPr>
            </w:pPr>
            <w:r>
              <w:rPr>
                <w:rFonts w:asciiTheme="majorBidi" w:hAnsiTheme="majorBidi"/>
                <w:noProof/>
              </w:rPr>
              <w:t>47° 49'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2</w:t>
            </w:r>
          </w:p>
        </w:tc>
        <w:tc>
          <w:tcPr>
            <w:tcW w:w="1333" w:type="dxa"/>
            <w:noWrap/>
            <w:hideMark/>
          </w:tcPr>
          <w:p>
            <w:pPr>
              <w:spacing w:before="60" w:after="60"/>
              <w:rPr>
                <w:rFonts w:asciiTheme="majorBidi" w:hAnsiTheme="majorBidi" w:cstheme="majorBidi"/>
                <w:noProof/>
              </w:rPr>
            </w:pPr>
            <w:r>
              <w:rPr>
                <w:rFonts w:asciiTheme="majorBidi" w:hAnsiTheme="majorBidi"/>
                <w:noProof/>
              </w:rPr>
              <w:t>46° 25' 0</w:t>
            </w:r>
          </w:p>
        </w:tc>
        <w:tc>
          <w:tcPr>
            <w:tcW w:w="1454" w:type="dxa"/>
            <w:noWrap/>
            <w:hideMark/>
          </w:tcPr>
          <w:p>
            <w:pPr>
              <w:spacing w:before="60" w:after="60"/>
              <w:rPr>
                <w:rFonts w:asciiTheme="majorBidi" w:hAnsiTheme="majorBidi" w:cstheme="majorBidi"/>
                <w:noProof/>
              </w:rPr>
            </w:pPr>
            <w:r>
              <w:rPr>
                <w:rFonts w:asciiTheme="majorBidi" w:hAnsiTheme="majorBidi"/>
                <w:noProof/>
              </w:rPr>
              <w:t>47° 27'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3</w:t>
            </w:r>
          </w:p>
        </w:tc>
        <w:tc>
          <w:tcPr>
            <w:tcW w:w="1333" w:type="dxa"/>
            <w:noWrap/>
            <w:hideMark/>
          </w:tcPr>
          <w:p>
            <w:pPr>
              <w:spacing w:before="60" w:after="60"/>
              <w:rPr>
                <w:rFonts w:asciiTheme="majorBidi" w:hAnsiTheme="majorBidi" w:cstheme="majorBidi"/>
                <w:noProof/>
              </w:rPr>
            </w:pPr>
            <w:r>
              <w:rPr>
                <w:rFonts w:asciiTheme="majorBidi" w:hAnsiTheme="majorBidi"/>
                <w:noProof/>
              </w:rPr>
              <w:t>46° 42' 0</w:t>
            </w:r>
          </w:p>
        </w:tc>
        <w:tc>
          <w:tcPr>
            <w:tcW w:w="1454" w:type="dxa"/>
            <w:noWrap/>
            <w:hideMark/>
          </w:tcPr>
          <w:p>
            <w:pPr>
              <w:spacing w:before="60" w:after="60"/>
              <w:rPr>
                <w:rFonts w:asciiTheme="majorBidi" w:hAnsiTheme="majorBidi" w:cstheme="majorBidi"/>
                <w:noProof/>
              </w:rPr>
            </w:pPr>
            <w:r>
              <w:rPr>
                <w:rFonts w:asciiTheme="majorBidi" w:hAnsiTheme="majorBidi"/>
                <w:noProof/>
              </w:rPr>
              <w:t>47° 25'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4</w:t>
            </w:r>
          </w:p>
        </w:tc>
        <w:tc>
          <w:tcPr>
            <w:tcW w:w="1333" w:type="dxa"/>
            <w:noWrap/>
            <w:hideMark/>
          </w:tcPr>
          <w:p>
            <w:pPr>
              <w:spacing w:before="60" w:after="60"/>
              <w:rPr>
                <w:rFonts w:asciiTheme="majorBidi" w:hAnsiTheme="majorBidi" w:cstheme="majorBidi"/>
                <w:noProof/>
              </w:rPr>
            </w:pPr>
            <w:r>
              <w:rPr>
                <w:rFonts w:asciiTheme="majorBidi" w:hAnsiTheme="majorBidi"/>
                <w:noProof/>
              </w:rPr>
              <w:t>46° 48' 0</w:t>
            </w:r>
          </w:p>
        </w:tc>
        <w:tc>
          <w:tcPr>
            <w:tcW w:w="1454" w:type="dxa"/>
            <w:noWrap/>
            <w:hideMark/>
          </w:tcPr>
          <w:p>
            <w:pPr>
              <w:spacing w:before="60" w:after="60"/>
              <w:rPr>
                <w:rFonts w:asciiTheme="majorBidi" w:hAnsiTheme="majorBidi" w:cstheme="majorBidi"/>
                <w:noProof/>
              </w:rPr>
            </w:pPr>
            <w:r>
              <w:rPr>
                <w:rFonts w:asciiTheme="majorBidi" w:hAnsiTheme="majorBidi"/>
                <w:noProof/>
              </w:rPr>
              <w:t>47° 25' 50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5</w:t>
            </w:r>
          </w:p>
        </w:tc>
        <w:tc>
          <w:tcPr>
            <w:tcW w:w="1333" w:type="dxa"/>
            <w:noWrap/>
            <w:hideMark/>
          </w:tcPr>
          <w:p>
            <w:pPr>
              <w:spacing w:before="60" w:after="60"/>
              <w:rPr>
                <w:rFonts w:asciiTheme="majorBidi" w:hAnsiTheme="majorBidi" w:cstheme="majorBidi"/>
                <w:noProof/>
              </w:rPr>
            </w:pPr>
            <w:r>
              <w:rPr>
                <w:rFonts w:asciiTheme="majorBidi" w:hAnsiTheme="majorBidi"/>
                <w:noProof/>
              </w:rPr>
              <w:t>47° 16' 50</w:t>
            </w:r>
          </w:p>
        </w:tc>
        <w:tc>
          <w:tcPr>
            <w:tcW w:w="1454" w:type="dxa"/>
            <w:noWrap/>
            <w:hideMark/>
          </w:tcPr>
          <w:p>
            <w:pPr>
              <w:spacing w:before="60" w:after="60"/>
              <w:rPr>
                <w:rFonts w:asciiTheme="majorBidi" w:hAnsiTheme="majorBidi" w:cstheme="majorBidi"/>
                <w:noProof/>
              </w:rPr>
            </w:pPr>
            <w:r>
              <w:rPr>
                <w:rFonts w:asciiTheme="majorBidi" w:hAnsiTheme="majorBidi"/>
                <w:noProof/>
              </w:rPr>
              <w:t>47° 43' 50</w:t>
            </w:r>
          </w:p>
        </w:tc>
        <w:tc>
          <w:tcPr>
            <w:tcW w:w="2943" w:type="dxa"/>
            <w:noWrap/>
            <w:hideMark/>
          </w:tcPr>
          <w:p>
            <w:pPr>
              <w:rPr>
                <w:rFonts w:asciiTheme="majorBidi" w:hAnsiTheme="majorBidi" w:cstheme="majorBidi"/>
                <w:noProof/>
              </w:rPr>
            </w:pPr>
          </w:p>
        </w:tc>
      </w:tr>
      <w:tr>
        <w:trPr>
          <w:trHeight w:val="227"/>
        </w:trPr>
        <w:tc>
          <w:tcPr>
            <w:tcW w:w="1667"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szCs w:val="24"/>
                <w:vertAlign w:val="superscript"/>
              </w:rPr>
            </w:pPr>
            <w:r>
              <w:rPr>
                <w:rFonts w:asciiTheme="majorBidi" w:hAnsiTheme="majorBidi"/>
                <w:b/>
                <w:bCs/>
                <w:noProof/>
                <w:vertAlign w:val="superscript"/>
              </w:rPr>
              <w:t>(3)</w:t>
            </w:r>
          </w:p>
        </w:tc>
        <w:tc>
          <w:tcPr>
            <w:tcW w:w="8080"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Aucune pêche ciblée n’est autorisée dans le cadre de ce quota. Cette espèce ne peut être capturée qu’en tant que prise accessoire dans les limites suivantes: au maximum 1 250 kg ou 5 %, la quantité la plus importante étant retenue.</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noProof/>
              </w:rPr>
              <w:br w:type="page"/>
            </w: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Crevette nordique</w:t>
            </w:r>
          </w:p>
          <w:p>
            <w:pPr>
              <w:keepNext/>
              <w:tabs>
                <w:tab w:val="left" w:pos="850"/>
              </w:tabs>
              <w:spacing w:before="60" w:after="60"/>
              <w:ind w:left="850" w:hanging="850"/>
              <w:outlineLvl w:val="0"/>
              <w:rPr>
                <w:rFonts w:asciiTheme="majorBidi" w:hAnsiTheme="majorBidi" w:cstheme="majorBidi"/>
                <w:noProof/>
              </w:rPr>
            </w:pPr>
            <w:bookmarkStart w:id="1" w:name="_Toc26205847"/>
            <w:bookmarkStart w:id="2" w:name="_Toc26207264"/>
            <w:r>
              <w:rPr>
                <w:rFonts w:asciiTheme="majorBidi" w:hAnsiTheme="majorBidi"/>
                <w:i/>
                <w:iCs/>
                <w:noProof/>
              </w:rPr>
              <w:t>Pandalus borealis</w:t>
            </w:r>
            <w:bookmarkEnd w:id="1"/>
            <w:bookmarkEnd w:id="2"/>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OPANO 3 M (</w:t>
            </w:r>
            <w:r>
              <w:rPr>
                <w:rFonts w:asciiTheme="majorBidi" w:hAnsiTheme="majorBidi"/>
                <w:b/>
                <w:bCs/>
                <w:noProof/>
                <w:vertAlign w:val="superscript"/>
              </w:rPr>
              <w:t>1</w:t>
            </w:r>
            <w:r>
              <w:rPr>
                <w:rFonts w:asciiTheme="majorBidi" w:hAnsiTheme="majorBidi"/>
                <w:noProof/>
              </w:rPr>
              <w:t>)</w:t>
            </w:r>
          </w:p>
          <w:p>
            <w:pPr>
              <w:spacing w:before="60" w:after="60"/>
              <w:rPr>
                <w:rFonts w:asciiTheme="majorBidi" w:hAnsiTheme="majorBidi" w:cstheme="majorBidi"/>
                <w:noProof/>
              </w:rPr>
            </w:pPr>
            <w:r>
              <w:rPr>
                <w:rFonts w:asciiTheme="majorBidi" w:hAnsiTheme="majorBidi"/>
                <w:noProof/>
              </w:rPr>
              <w:t>(PRA/*N3M.)</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w:t>
            </w:r>
          </w:p>
        </w:tc>
        <w:tc>
          <w:tcPr>
            <w:tcW w:w="2350"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Sans objet</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(2)</w:t>
            </w:r>
          </w:p>
        </w:tc>
        <w:tc>
          <w:tcPr>
            <w:tcW w:w="4397" w:type="dxa"/>
            <w:gridSpan w:val="2"/>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tc>
      </w:tr>
      <w:tr>
        <w:trPr>
          <w:trHeight w:val="227"/>
        </w:trPr>
        <w:tc>
          <w:tcPr>
            <w:tcW w:w="1667" w:type="dxa"/>
            <w:vMerge w:val="restart"/>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noWrap/>
            <w:hideMark/>
          </w:tcPr>
          <w:p>
            <w:pPr>
              <w:spacing w:before="60" w:after="60"/>
              <w:rPr>
                <w:rFonts w:asciiTheme="majorBidi" w:hAnsiTheme="majorBidi" w:cstheme="majorBidi"/>
                <w:noProof/>
              </w:rPr>
            </w:pPr>
            <w:r>
              <w:rPr>
                <w:rFonts w:asciiTheme="majorBidi" w:hAnsiTheme="majorBidi"/>
                <w:noProof/>
              </w:rPr>
              <w:t>Les navires peuvent également pêcher ce stock dans la division 3 L, dans le cantonnement délimité par les coordonnées suivantes:</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Point nº</w:t>
            </w:r>
          </w:p>
        </w:tc>
        <w:tc>
          <w:tcPr>
            <w:tcW w:w="1333"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Latitude N</w:t>
            </w:r>
          </w:p>
        </w:tc>
        <w:tc>
          <w:tcPr>
            <w:tcW w:w="1454"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Longitude O</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1</w:t>
            </w:r>
          </w:p>
        </w:tc>
        <w:tc>
          <w:tcPr>
            <w:tcW w:w="1333" w:type="dxa"/>
            <w:noWrap/>
            <w:hideMark/>
          </w:tcPr>
          <w:p>
            <w:pPr>
              <w:spacing w:before="60" w:after="60"/>
              <w:rPr>
                <w:rFonts w:asciiTheme="majorBidi" w:hAnsiTheme="majorBidi" w:cstheme="majorBidi"/>
                <w:noProof/>
              </w:rPr>
            </w:pPr>
            <w:r>
              <w:rPr>
                <w:rFonts w:asciiTheme="majorBidi" w:hAnsiTheme="majorBidi"/>
                <w:noProof/>
              </w:rPr>
              <w:t>47° 20' 0</w:t>
            </w:r>
          </w:p>
        </w:tc>
        <w:tc>
          <w:tcPr>
            <w:tcW w:w="1454" w:type="dxa"/>
            <w:noWrap/>
            <w:hideMark/>
          </w:tcPr>
          <w:p>
            <w:pPr>
              <w:spacing w:before="60" w:after="60"/>
              <w:rPr>
                <w:rFonts w:asciiTheme="majorBidi" w:hAnsiTheme="majorBidi" w:cstheme="majorBidi"/>
                <w:noProof/>
              </w:rPr>
            </w:pPr>
            <w:r>
              <w:rPr>
                <w:rFonts w:asciiTheme="majorBidi" w:hAnsiTheme="majorBidi"/>
                <w:noProof/>
              </w:rPr>
              <w:t>46° 40'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2</w:t>
            </w:r>
          </w:p>
        </w:tc>
        <w:tc>
          <w:tcPr>
            <w:tcW w:w="1333" w:type="dxa"/>
            <w:noWrap/>
            <w:hideMark/>
          </w:tcPr>
          <w:p>
            <w:pPr>
              <w:spacing w:before="60" w:after="60"/>
              <w:rPr>
                <w:rFonts w:asciiTheme="majorBidi" w:hAnsiTheme="majorBidi" w:cstheme="majorBidi"/>
                <w:noProof/>
              </w:rPr>
            </w:pPr>
            <w:r>
              <w:rPr>
                <w:rFonts w:asciiTheme="majorBidi" w:hAnsiTheme="majorBidi"/>
                <w:noProof/>
              </w:rPr>
              <w:t>47° 20' 0</w:t>
            </w:r>
          </w:p>
        </w:tc>
        <w:tc>
          <w:tcPr>
            <w:tcW w:w="1454" w:type="dxa"/>
            <w:noWrap/>
            <w:hideMark/>
          </w:tcPr>
          <w:p>
            <w:pPr>
              <w:spacing w:before="60" w:after="60"/>
              <w:rPr>
                <w:rFonts w:asciiTheme="majorBidi" w:hAnsiTheme="majorBidi" w:cstheme="majorBidi"/>
                <w:noProof/>
              </w:rPr>
            </w:pPr>
            <w:r>
              <w:rPr>
                <w:rFonts w:asciiTheme="majorBidi" w:hAnsiTheme="majorBidi"/>
                <w:noProof/>
              </w:rPr>
              <w:t>46° 30'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3</w:t>
            </w:r>
          </w:p>
        </w:tc>
        <w:tc>
          <w:tcPr>
            <w:tcW w:w="1333" w:type="dxa"/>
            <w:noWrap/>
            <w:hideMark/>
          </w:tcPr>
          <w:p>
            <w:pPr>
              <w:spacing w:before="60" w:after="60"/>
              <w:rPr>
                <w:rFonts w:asciiTheme="majorBidi" w:hAnsiTheme="majorBidi" w:cstheme="majorBidi"/>
                <w:noProof/>
              </w:rPr>
            </w:pPr>
            <w:r>
              <w:rPr>
                <w:rFonts w:asciiTheme="majorBidi" w:hAnsiTheme="majorBidi"/>
                <w:noProof/>
              </w:rPr>
              <w:t>46° 00' 0</w:t>
            </w:r>
          </w:p>
        </w:tc>
        <w:tc>
          <w:tcPr>
            <w:tcW w:w="1454" w:type="dxa"/>
            <w:noWrap/>
            <w:hideMark/>
          </w:tcPr>
          <w:p>
            <w:pPr>
              <w:spacing w:before="60" w:after="60"/>
              <w:rPr>
                <w:rFonts w:asciiTheme="majorBidi" w:hAnsiTheme="majorBidi" w:cstheme="majorBidi"/>
                <w:noProof/>
              </w:rPr>
            </w:pPr>
            <w:r>
              <w:rPr>
                <w:rFonts w:asciiTheme="majorBidi" w:hAnsiTheme="majorBidi"/>
                <w:noProof/>
              </w:rPr>
              <w:t>46° 30'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4</w:t>
            </w:r>
          </w:p>
        </w:tc>
        <w:tc>
          <w:tcPr>
            <w:tcW w:w="1333" w:type="dxa"/>
            <w:noWrap/>
            <w:hideMark/>
          </w:tcPr>
          <w:p>
            <w:pPr>
              <w:spacing w:before="60" w:after="60"/>
              <w:rPr>
                <w:rFonts w:asciiTheme="majorBidi" w:hAnsiTheme="majorBidi" w:cstheme="majorBidi"/>
                <w:noProof/>
              </w:rPr>
            </w:pPr>
            <w:r>
              <w:rPr>
                <w:rFonts w:asciiTheme="majorBidi" w:hAnsiTheme="majorBidi"/>
                <w:noProof/>
              </w:rPr>
              <w:t>46° 00' 0</w:t>
            </w:r>
          </w:p>
        </w:tc>
        <w:tc>
          <w:tcPr>
            <w:tcW w:w="1454" w:type="dxa"/>
            <w:noWrap/>
            <w:hideMark/>
          </w:tcPr>
          <w:p>
            <w:pPr>
              <w:spacing w:before="60" w:after="60"/>
              <w:rPr>
                <w:rFonts w:asciiTheme="majorBidi" w:hAnsiTheme="majorBidi" w:cstheme="majorBidi"/>
                <w:noProof/>
              </w:rPr>
            </w:pPr>
            <w:r>
              <w:rPr>
                <w:rFonts w:asciiTheme="majorBidi" w:hAnsiTheme="majorBidi"/>
                <w:noProof/>
              </w:rPr>
              <w:t>46° 40'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8080" w:type="dxa"/>
            <w:gridSpan w:val="4"/>
            <w:noWrap/>
            <w:hideMark/>
          </w:tcPr>
          <w:p>
            <w:pPr>
              <w:spacing w:before="60" w:after="60"/>
              <w:rPr>
                <w:rFonts w:asciiTheme="majorBidi" w:hAnsiTheme="majorBidi" w:cstheme="majorBidi"/>
                <w:noProof/>
                <w:szCs w:val="24"/>
              </w:rPr>
            </w:pPr>
            <w:r>
              <w:rPr>
                <w:rFonts w:asciiTheme="majorBidi" w:hAnsiTheme="majorBidi"/>
                <w:noProof/>
              </w:rPr>
              <w:t>Par ailleurs, la pêche de la crevette est interdite du 1</w:t>
            </w:r>
            <w:r>
              <w:rPr>
                <w:rFonts w:asciiTheme="majorBidi" w:hAnsiTheme="majorBidi"/>
                <w:noProof/>
                <w:vertAlign w:val="superscript"/>
              </w:rPr>
              <w:t>er</w:t>
            </w:r>
            <w:r>
              <w:rPr>
                <w:rFonts w:asciiTheme="majorBidi" w:hAnsiTheme="majorBidi"/>
                <w:noProof/>
              </w:rPr>
              <w:t xml:space="preserve"> juin au 31 décembre dans la zone délimitée par les coordonnées suivantes:</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Point nº</w:t>
            </w:r>
          </w:p>
        </w:tc>
        <w:tc>
          <w:tcPr>
            <w:tcW w:w="1333"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Latitude N</w:t>
            </w:r>
          </w:p>
        </w:tc>
        <w:tc>
          <w:tcPr>
            <w:tcW w:w="1454"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Longitude O</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1</w:t>
            </w:r>
          </w:p>
        </w:tc>
        <w:tc>
          <w:tcPr>
            <w:tcW w:w="1333" w:type="dxa"/>
            <w:noWrap/>
            <w:hideMark/>
          </w:tcPr>
          <w:p>
            <w:pPr>
              <w:spacing w:before="60" w:after="60"/>
              <w:rPr>
                <w:rFonts w:asciiTheme="majorBidi" w:hAnsiTheme="majorBidi" w:cstheme="majorBidi"/>
                <w:noProof/>
              </w:rPr>
            </w:pPr>
            <w:r>
              <w:rPr>
                <w:rFonts w:asciiTheme="majorBidi" w:hAnsiTheme="majorBidi"/>
                <w:noProof/>
              </w:rPr>
              <w:t>47° 55' 0</w:t>
            </w:r>
          </w:p>
        </w:tc>
        <w:tc>
          <w:tcPr>
            <w:tcW w:w="1454" w:type="dxa"/>
            <w:noWrap/>
            <w:hideMark/>
          </w:tcPr>
          <w:p>
            <w:pPr>
              <w:spacing w:before="60" w:after="60"/>
              <w:rPr>
                <w:rFonts w:asciiTheme="majorBidi" w:hAnsiTheme="majorBidi" w:cstheme="majorBidi"/>
                <w:noProof/>
              </w:rPr>
            </w:pPr>
            <w:r>
              <w:rPr>
                <w:rFonts w:asciiTheme="majorBidi" w:hAnsiTheme="majorBidi"/>
                <w:noProof/>
              </w:rPr>
              <w:t>45° 00'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2</w:t>
            </w:r>
          </w:p>
        </w:tc>
        <w:tc>
          <w:tcPr>
            <w:tcW w:w="1333" w:type="dxa"/>
            <w:noWrap/>
            <w:hideMark/>
          </w:tcPr>
          <w:p>
            <w:pPr>
              <w:spacing w:before="60" w:after="60"/>
              <w:rPr>
                <w:rFonts w:asciiTheme="majorBidi" w:hAnsiTheme="majorBidi" w:cstheme="majorBidi"/>
                <w:noProof/>
              </w:rPr>
            </w:pPr>
            <w:r>
              <w:rPr>
                <w:rFonts w:asciiTheme="majorBidi" w:hAnsiTheme="majorBidi"/>
                <w:noProof/>
              </w:rPr>
              <w:t>47° 30' 0</w:t>
            </w:r>
          </w:p>
        </w:tc>
        <w:tc>
          <w:tcPr>
            <w:tcW w:w="1454" w:type="dxa"/>
            <w:noWrap/>
            <w:hideMark/>
          </w:tcPr>
          <w:p>
            <w:pPr>
              <w:spacing w:before="60" w:after="60"/>
              <w:rPr>
                <w:rFonts w:asciiTheme="majorBidi" w:hAnsiTheme="majorBidi" w:cstheme="majorBidi"/>
                <w:noProof/>
              </w:rPr>
            </w:pPr>
            <w:r>
              <w:rPr>
                <w:rFonts w:asciiTheme="majorBidi" w:hAnsiTheme="majorBidi"/>
                <w:noProof/>
              </w:rPr>
              <w:t>44° 15'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3</w:t>
            </w:r>
          </w:p>
        </w:tc>
        <w:tc>
          <w:tcPr>
            <w:tcW w:w="1333" w:type="dxa"/>
            <w:noWrap/>
            <w:hideMark/>
          </w:tcPr>
          <w:p>
            <w:pPr>
              <w:spacing w:before="60" w:after="60"/>
              <w:rPr>
                <w:rFonts w:asciiTheme="majorBidi" w:hAnsiTheme="majorBidi" w:cstheme="majorBidi"/>
                <w:noProof/>
              </w:rPr>
            </w:pPr>
            <w:r>
              <w:rPr>
                <w:rFonts w:asciiTheme="majorBidi" w:hAnsiTheme="majorBidi"/>
                <w:noProof/>
              </w:rPr>
              <w:t>46° 55' 0</w:t>
            </w:r>
          </w:p>
        </w:tc>
        <w:tc>
          <w:tcPr>
            <w:tcW w:w="1454" w:type="dxa"/>
            <w:noWrap/>
            <w:hideMark/>
          </w:tcPr>
          <w:p>
            <w:pPr>
              <w:spacing w:before="60" w:after="60"/>
              <w:rPr>
                <w:rFonts w:asciiTheme="majorBidi" w:hAnsiTheme="majorBidi" w:cstheme="majorBidi"/>
                <w:noProof/>
              </w:rPr>
            </w:pPr>
            <w:r>
              <w:rPr>
                <w:rFonts w:asciiTheme="majorBidi" w:hAnsiTheme="majorBidi"/>
                <w:noProof/>
              </w:rPr>
              <w:t>44° 15'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4</w:t>
            </w:r>
          </w:p>
        </w:tc>
        <w:tc>
          <w:tcPr>
            <w:tcW w:w="1333" w:type="dxa"/>
            <w:noWrap/>
            <w:hideMark/>
          </w:tcPr>
          <w:p>
            <w:pPr>
              <w:spacing w:before="60" w:after="60"/>
              <w:rPr>
                <w:rFonts w:asciiTheme="majorBidi" w:hAnsiTheme="majorBidi" w:cstheme="majorBidi"/>
                <w:noProof/>
              </w:rPr>
            </w:pPr>
            <w:r>
              <w:rPr>
                <w:rFonts w:asciiTheme="majorBidi" w:hAnsiTheme="majorBidi"/>
                <w:noProof/>
              </w:rPr>
              <w:t>46° 35' 0</w:t>
            </w:r>
          </w:p>
        </w:tc>
        <w:tc>
          <w:tcPr>
            <w:tcW w:w="1454" w:type="dxa"/>
            <w:noWrap/>
            <w:hideMark/>
          </w:tcPr>
          <w:p>
            <w:pPr>
              <w:spacing w:before="60" w:after="60"/>
              <w:rPr>
                <w:rFonts w:asciiTheme="majorBidi" w:hAnsiTheme="majorBidi" w:cstheme="majorBidi"/>
                <w:noProof/>
              </w:rPr>
            </w:pPr>
            <w:r>
              <w:rPr>
                <w:rFonts w:asciiTheme="majorBidi" w:hAnsiTheme="majorBidi"/>
                <w:noProof/>
              </w:rPr>
              <w:t>44° 30'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5</w:t>
            </w:r>
          </w:p>
        </w:tc>
        <w:tc>
          <w:tcPr>
            <w:tcW w:w="1333" w:type="dxa"/>
            <w:noWrap/>
            <w:hideMark/>
          </w:tcPr>
          <w:p>
            <w:pPr>
              <w:spacing w:before="60" w:after="60"/>
              <w:rPr>
                <w:rFonts w:asciiTheme="majorBidi" w:hAnsiTheme="majorBidi" w:cstheme="majorBidi"/>
                <w:noProof/>
              </w:rPr>
            </w:pPr>
            <w:r>
              <w:rPr>
                <w:rFonts w:asciiTheme="majorBidi" w:hAnsiTheme="majorBidi"/>
                <w:noProof/>
              </w:rPr>
              <w:t>46° 35' 0</w:t>
            </w:r>
          </w:p>
        </w:tc>
        <w:tc>
          <w:tcPr>
            <w:tcW w:w="1454" w:type="dxa"/>
            <w:noWrap/>
            <w:hideMark/>
          </w:tcPr>
          <w:p>
            <w:pPr>
              <w:spacing w:before="60" w:after="60"/>
              <w:rPr>
                <w:rFonts w:asciiTheme="majorBidi" w:hAnsiTheme="majorBidi" w:cstheme="majorBidi"/>
                <w:noProof/>
              </w:rPr>
            </w:pPr>
            <w:r>
              <w:rPr>
                <w:rFonts w:asciiTheme="majorBidi" w:hAnsiTheme="majorBidi"/>
                <w:noProof/>
              </w:rPr>
              <w:t>45° 40'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6</w:t>
            </w:r>
          </w:p>
        </w:tc>
        <w:tc>
          <w:tcPr>
            <w:tcW w:w="1333" w:type="dxa"/>
            <w:noWrap/>
            <w:hideMark/>
          </w:tcPr>
          <w:p>
            <w:pPr>
              <w:spacing w:before="60" w:after="60"/>
              <w:rPr>
                <w:rFonts w:asciiTheme="majorBidi" w:hAnsiTheme="majorBidi" w:cstheme="majorBidi"/>
                <w:noProof/>
              </w:rPr>
            </w:pPr>
            <w:r>
              <w:rPr>
                <w:rFonts w:asciiTheme="majorBidi" w:hAnsiTheme="majorBidi"/>
                <w:noProof/>
              </w:rPr>
              <w:t>47° 30' 0</w:t>
            </w:r>
          </w:p>
        </w:tc>
        <w:tc>
          <w:tcPr>
            <w:tcW w:w="1454" w:type="dxa"/>
            <w:noWrap/>
            <w:hideMark/>
          </w:tcPr>
          <w:p>
            <w:pPr>
              <w:spacing w:before="60" w:after="60"/>
              <w:rPr>
                <w:rFonts w:asciiTheme="majorBidi" w:hAnsiTheme="majorBidi" w:cstheme="majorBidi"/>
                <w:noProof/>
              </w:rPr>
            </w:pPr>
            <w:r>
              <w:rPr>
                <w:rFonts w:asciiTheme="majorBidi" w:hAnsiTheme="majorBidi"/>
                <w:noProof/>
              </w:rPr>
              <w:t>45° 40' 0</w:t>
            </w:r>
          </w:p>
        </w:tc>
        <w:tc>
          <w:tcPr>
            <w:tcW w:w="294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7</w:t>
            </w:r>
          </w:p>
        </w:tc>
        <w:tc>
          <w:tcPr>
            <w:tcW w:w="1333" w:type="dxa"/>
            <w:noWrap/>
            <w:hideMark/>
          </w:tcPr>
          <w:p>
            <w:pPr>
              <w:spacing w:before="60" w:after="60"/>
              <w:rPr>
                <w:rFonts w:asciiTheme="majorBidi" w:hAnsiTheme="majorBidi" w:cstheme="majorBidi"/>
                <w:noProof/>
              </w:rPr>
            </w:pPr>
            <w:r>
              <w:rPr>
                <w:rFonts w:asciiTheme="majorBidi" w:hAnsiTheme="majorBidi"/>
                <w:noProof/>
              </w:rPr>
              <w:t>47° 55' 0</w:t>
            </w:r>
          </w:p>
        </w:tc>
        <w:tc>
          <w:tcPr>
            <w:tcW w:w="1454" w:type="dxa"/>
            <w:noWrap/>
            <w:hideMark/>
          </w:tcPr>
          <w:p>
            <w:pPr>
              <w:spacing w:before="60" w:after="60"/>
              <w:rPr>
                <w:rFonts w:asciiTheme="majorBidi" w:hAnsiTheme="majorBidi" w:cstheme="majorBidi"/>
                <w:noProof/>
              </w:rPr>
            </w:pPr>
            <w:r>
              <w:rPr>
                <w:rFonts w:asciiTheme="majorBidi" w:hAnsiTheme="majorBidi"/>
                <w:noProof/>
              </w:rPr>
              <w:t>45° 00' 0</w:t>
            </w:r>
          </w:p>
        </w:tc>
        <w:tc>
          <w:tcPr>
            <w:tcW w:w="2943" w:type="dxa"/>
            <w:noWrap/>
            <w:hideMark/>
          </w:tcPr>
          <w:p>
            <w:pPr>
              <w:rPr>
                <w:rFonts w:asciiTheme="majorBidi" w:hAnsiTheme="majorBidi" w:cstheme="majorBidi"/>
                <w:noProof/>
              </w:rPr>
            </w:pPr>
          </w:p>
        </w:tc>
      </w:tr>
      <w:tr>
        <w:trPr>
          <w:trHeight w:val="227"/>
        </w:trPr>
        <w:tc>
          <w:tcPr>
            <w:tcW w:w="1667" w:type="dxa"/>
            <w:vMerge w:val="restart"/>
            <w:noWrap/>
            <w:hideMark/>
          </w:tcPr>
          <w:p>
            <w:pPr>
              <w:pageBreakBefore/>
              <w:spacing w:before="60" w:after="60"/>
              <w:rPr>
                <w:rFonts w:asciiTheme="majorBidi" w:hAnsiTheme="majorBidi" w:cstheme="majorBidi"/>
                <w:b/>
                <w:bCs/>
                <w:noProof/>
                <w:szCs w:val="24"/>
                <w:vertAlign w:val="superscript"/>
              </w:rPr>
            </w:pPr>
            <w:r>
              <w:rPr>
                <w:rFonts w:asciiTheme="majorBidi" w:hAnsiTheme="majorBidi"/>
                <w:b/>
                <w:bCs/>
                <w:noProof/>
                <w:vertAlign w:val="superscript"/>
              </w:rPr>
              <w:t>(2)</w:t>
            </w:r>
          </w:p>
        </w:tc>
        <w:tc>
          <w:tcPr>
            <w:tcW w:w="8080" w:type="dxa"/>
            <w:gridSpan w:val="4"/>
            <w:noWrap/>
            <w:hideMark/>
          </w:tcPr>
          <w:p>
            <w:pPr>
              <w:spacing w:before="60" w:after="60"/>
              <w:rPr>
                <w:rFonts w:asciiTheme="majorBidi" w:hAnsiTheme="majorBidi" w:cstheme="majorBidi"/>
                <w:noProof/>
              </w:rPr>
            </w:pPr>
            <w:r>
              <w:rPr>
                <w:rFonts w:asciiTheme="majorBidi" w:hAnsiTheme="majorBidi"/>
                <w:noProof/>
              </w:rPr>
              <w:t>Sans objet. Pêcherie gérée par limitation de l’effort de pêche (EFF/*N3M.). Les États membres concernés délivrent des autorisations de pêche pour leurs navires de pêche exploitant cette pêcherie et notifient la délivrance desdites autorisations à la Commission avant l’entrée en activité des navires, conformément au règlement (CE) nº 1224/2009.</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50" w:type="dxa"/>
            <w:tcBorders>
              <w:top w:val="nil"/>
              <w:left w:val="nil"/>
              <w:bottom w:val="single" w:sz="4" w:space="0" w:color="auto"/>
              <w:right w:val="nil"/>
            </w:tcBorders>
            <w:noWrap/>
            <w:vAlign w:val="center"/>
            <w:hideMark/>
          </w:tcPr>
          <w:p>
            <w:pPr>
              <w:spacing w:before="60" w:after="60"/>
              <w:jc w:val="center"/>
              <w:rPr>
                <w:rFonts w:asciiTheme="majorBidi" w:hAnsiTheme="majorBidi" w:cstheme="majorBidi"/>
                <w:noProof/>
              </w:rPr>
            </w:pPr>
            <w:r>
              <w:rPr>
                <w:rFonts w:asciiTheme="majorBidi" w:hAnsiTheme="majorBidi"/>
                <w:noProof/>
              </w:rPr>
              <w:t>État membre</w:t>
            </w:r>
          </w:p>
        </w:tc>
        <w:tc>
          <w:tcPr>
            <w:tcW w:w="2787" w:type="dxa"/>
            <w:gridSpan w:val="2"/>
            <w:tcBorders>
              <w:top w:val="nil"/>
              <w:left w:val="nil"/>
              <w:bottom w:val="single" w:sz="4" w:space="0" w:color="auto"/>
              <w:right w:val="nil"/>
            </w:tcBorders>
            <w:noWrap/>
            <w:vAlign w:val="center"/>
            <w:hideMark/>
          </w:tcPr>
          <w:p>
            <w:pPr>
              <w:spacing w:before="60" w:after="60"/>
              <w:jc w:val="center"/>
              <w:rPr>
                <w:rFonts w:asciiTheme="majorBidi" w:hAnsiTheme="majorBidi" w:cstheme="majorBidi"/>
                <w:noProof/>
              </w:rPr>
            </w:pPr>
            <w:r>
              <w:rPr>
                <w:rFonts w:asciiTheme="majorBidi" w:hAnsiTheme="majorBidi"/>
                <w:noProof/>
              </w:rPr>
              <w:t>Nombre maximal de jours de pêche</w:t>
            </w:r>
          </w:p>
        </w:tc>
        <w:tc>
          <w:tcPr>
            <w:tcW w:w="2943" w:type="dxa"/>
            <w:noWrap/>
            <w:hideMark/>
          </w:tcPr>
          <w:p>
            <w:pPr>
              <w:rPr>
                <w:rFonts w:asciiTheme="majorBidi" w:hAnsiTheme="majorBidi" w:cstheme="majorBidi"/>
                <w:noProof/>
              </w:rPr>
            </w:pPr>
          </w:p>
        </w:tc>
      </w:tr>
      <w:tr>
        <w:trPr>
          <w:trHeight w:val="227"/>
        </w:trPr>
        <w:tc>
          <w:tcPr>
            <w:tcW w:w="1667" w:type="dxa"/>
            <w:vMerge w:val="restart"/>
            <w:tcBorders>
              <w:top w:val="nil"/>
              <w:left w:val="nil"/>
              <w:bottom w:val="single" w:sz="8" w:space="0" w:color="auto"/>
              <w:right w:val="nil"/>
            </w:tcBorders>
            <w:noWrap/>
            <w:hideMark/>
          </w:tcPr>
          <w:p>
            <w:pPr>
              <w:spacing w:before="0" w:after="0"/>
              <w:rPr>
                <w:noProof/>
                <w:sz w:val="20"/>
                <w:szCs w:val="20"/>
              </w:rPr>
            </w:pPr>
            <w:r>
              <w:rPr>
                <w:noProof/>
              </w:rPr>
              <w:br w:type="page"/>
            </w:r>
          </w:p>
        </w:tc>
        <w:tc>
          <w:tcPr>
            <w:tcW w:w="2350" w:type="dxa"/>
            <w:noWrap/>
            <w:hideMark/>
          </w:tcPr>
          <w:p>
            <w:pPr>
              <w:spacing w:before="60" w:after="60"/>
              <w:rPr>
                <w:rFonts w:asciiTheme="majorBidi" w:hAnsiTheme="majorBidi" w:cstheme="majorBidi"/>
                <w:noProof/>
                <w:szCs w:val="24"/>
              </w:rPr>
            </w:pPr>
            <w:r>
              <w:rPr>
                <w:rFonts w:asciiTheme="majorBidi" w:hAnsiTheme="majorBidi"/>
                <w:noProof/>
              </w:rPr>
              <w:t>Danemark</w:t>
            </w:r>
          </w:p>
        </w:tc>
        <w:tc>
          <w:tcPr>
            <w:tcW w:w="2787" w:type="dxa"/>
            <w:gridSpan w:val="2"/>
            <w:noWrap/>
            <w:hideMark/>
          </w:tcPr>
          <w:p>
            <w:pPr>
              <w:spacing w:before="60" w:after="60"/>
              <w:jc w:val="right"/>
              <w:rPr>
                <w:noProof/>
                <w:color w:val="000000"/>
              </w:rPr>
            </w:pPr>
            <w:r>
              <w:rPr>
                <w:rFonts w:asciiTheme="majorBidi" w:hAnsiTheme="majorBidi"/>
                <w:noProof/>
                <w:color w:val="000000"/>
              </w:rPr>
              <w:t>33</w:t>
            </w:r>
          </w:p>
        </w:tc>
        <w:tc>
          <w:tcPr>
            <w:tcW w:w="2943" w:type="dxa"/>
            <w:noWrap/>
            <w:hideMark/>
          </w:tcPr>
          <w:p>
            <w:pPr>
              <w:rPr>
                <w:noProof/>
                <w:color w:val="000000"/>
                <w:lang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Estonie</w:t>
            </w:r>
          </w:p>
        </w:tc>
        <w:tc>
          <w:tcPr>
            <w:tcW w:w="2787" w:type="dxa"/>
            <w:gridSpan w:val="2"/>
            <w:noWrap/>
            <w:hideMark/>
          </w:tcPr>
          <w:p>
            <w:pPr>
              <w:spacing w:before="60" w:after="60"/>
              <w:jc w:val="right"/>
              <w:rPr>
                <w:noProof/>
                <w:color w:val="000000"/>
              </w:rPr>
            </w:pPr>
            <w:r>
              <w:rPr>
                <w:rFonts w:asciiTheme="majorBidi" w:hAnsiTheme="majorBidi"/>
                <w:noProof/>
                <w:color w:val="000000"/>
              </w:rPr>
              <w:t>391</w:t>
            </w:r>
          </w:p>
        </w:tc>
        <w:tc>
          <w:tcPr>
            <w:tcW w:w="294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w:t>
            </w: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50" w:type="dxa"/>
            <w:noWrap/>
            <w:hideMark/>
          </w:tcPr>
          <w:p>
            <w:pPr>
              <w:spacing w:before="60" w:after="60"/>
              <w:rPr>
                <w:rFonts w:asciiTheme="majorBidi" w:hAnsiTheme="majorBidi" w:cstheme="majorBidi"/>
                <w:noProof/>
              </w:rPr>
            </w:pPr>
            <w:r>
              <w:rPr>
                <w:rFonts w:asciiTheme="majorBidi" w:hAnsiTheme="majorBidi"/>
                <w:noProof/>
              </w:rPr>
              <w:t>Espagne</w:t>
            </w:r>
          </w:p>
        </w:tc>
        <w:tc>
          <w:tcPr>
            <w:tcW w:w="2787" w:type="dxa"/>
            <w:gridSpan w:val="2"/>
            <w:noWrap/>
            <w:hideMark/>
          </w:tcPr>
          <w:p>
            <w:pPr>
              <w:spacing w:before="60" w:after="60"/>
              <w:jc w:val="right"/>
              <w:rPr>
                <w:noProof/>
                <w:color w:val="000000"/>
              </w:rPr>
            </w:pPr>
            <w:r>
              <w:rPr>
                <w:rFonts w:asciiTheme="majorBidi" w:hAnsiTheme="majorBidi"/>
                <w:noProof/>
                <w:color w:val="000000"/>
              </w:rPr>
              <w:t>64</w:t>
            </w:r>
          </w:p>
        </w:tc>
        <w:tc>
          <w:tcPr>
            <w:tcW w:w="2943" w:type="dxa"/>
            <w:noWrap/>
            <w:hideMark/>
          </w:tcPr>
          <w:p>
            <w:pPr>
              <w:rPr>
                <w:noProof/>
                <w:color w:val="000000"/>
                <w:lang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Lettonie</w:t>
            </w:r>
          </w:p>
        </w:tc>
        <w:tc>
          <w:tcPr>
            <w:tcW w:w="2787" w:type="dxa"/>
            <w:gridSpan w:val="2"/>
            <w:noWrap/>
            <w:hideMark/>
          </w:tcPr>
          <w:p>
            <w:pPr>
              <w:spacing w:before="60" w:after="60"/>
              <w:jc w:val="right"/>
              <w:rPr>
                <w:noProof/>
                <w:color w:val="000000"/>
              </w:rPr>
            </w:pPr>
            <w:r>
              <w:rPr>
                <w:rFonts w:asciiTheme="majorBidi" w:hAnsiTheme="majorBidi"/>
                <w:noProof/>
                <w:color w:val="000000"/>
              </w:rPr>
              <w:t>123</w:t>
            </w:r>
          </w:p>
        </w:tc>
        <w:tc>
          <w:tcPr>
            <w:tcW w:w="2943" w:type="dxa"/>
            <w:noWrap/>
            <w:hideMark/>
          </w:tcPr>
          <w:p>
            <w:pPr>
              <w:rPr>
                <w:noProof/>
                <w:color w:val="000000"/>
                <w:lang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Lituanie</w:t>
            </w:r>
          </w:p>
        </w:tc>
        <w:tc>
          <w:tcPr>
            <w:tcW w:w="2787" w:type="dxa"/>
            <w:gridSpan w:val="2"/>
            <w:noWrap/>
            <w:hideMark/>
          </w:tcPr>
          <w:p>
            <w:pPr>
              <w:spacing w:before="60" w:after="60"/>
              <w:jc w:val="right"/>
              <w:rPr>
                <w:noProof/>
                <w:color w:val="000000"/>
              </w:rPr>
            </w:pPr>
            <w:r>
              <w:rPr>
                <w:rFonts w:asciiTheme="majorBidi" w:hAnsiTheme="majorBidi"/>
                <w:noProof/>
                <w:color w:val="000000"/>
              </w:rPr>
              <w:t>145</w:t>
            </w:r>
          </w:p>
        </w:tc>
        <w:tc>
          <w:tcPr>
            <w:tcW w:w="2943" w:type="dxa"/>
            <w:noWrap/>
            <w:hideMark/>
          </w:tcPr>
          <w:p>
            <w:pPr>
              <w:rPr>
                <w:noProof/>
                <w:color w:val="000000"/>
                <w:lang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Pologne</w:t>
            </w:r>
          </w:p>
        </w:tc>
        <w:tc>
          <w:tcPr>
            <w:tcW w:w="2787" w:type="dxa"/>
            <w:gridSpan w:val="2"/>
            <w:noWrap/>
            <w:hideMark/>
          </w:tcPr>
          <w:p>
            <w:pPr>
              <w:spacing w:before="60" w:after="60"/>
              <w:jc w:val="right"/>
              <w:rPr>
                <w:noProof/>
                <w:color w:val="000000"/>
              </w:rPr>
            </w:pPr>
            <w:r>
              <w:rPr>
                <w:rFonts w:asciiTheme="majorBidi" w:hAnsiTheme="majorBidi"/>
                <w:noProof/>
                <w:color w:val="000000"/>
              </w:rPr>
              <w:t>25</w:t>
            </w:r>
          </w:p>
        </w:tc>
        <w:tc>
          <w:tcPr>
            <w:tcW w:w="2943" w:type="dxa"/>
            <w:noWrap/>
            <w:hideMark/>
          </w:tcPr>
          <w:p>
            <w:pPr>
              <w:rPr>
                <w:noProof/>
                <w:color w:val="000000"/>
                <w:lang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50" w:type="dxa"/>
            <w:tcBorders>
              <w:top w:val="nil"/>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Portugal</w:t>
            </w:r>
          </w:p>
        </w:tc>
        <w:tc>
          <w:tcPr>
            <w:tcW w:w="2787" w:type="dxa"/>
            <w:gridSpan w:val="2"/>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17</w:t>
            </w:r>
          </w:p>
        </w:tc>
        <w:tc>
          <w:tcPr>
            <w:tcW w:w="2943" w:type="dxa"/>
            <w:tcBorders>
              <w:top w:val="nil"/>
              <w:left w:val="nil"/>
              <w:bottom w:val="single" w:sz="8" w:space="0" w:color="auto"/>
              <w:right w:val="nil"/>
            </w:tcBorders>
            <w:noWrap/>
            <w:hideMark/>
          </w:tcPr>
          <w:p>
            <w:pPr>
              <w:rPr>
                <w:noProof/>
                <w:color w:val="000000"/>
                <w:lang w:eastAsia="en-GB"/>
              </w:rPr>
            </w:pPr>
          </w:p>
        </w:tc>
      </w:tr>
      <w:tr>
        <w:trPr>
          <w:trHeight w:val="227"/>
        </w:trPr>
        <w:tc>
          <w:tcPr>
            <w:tcW w:w="1667" w:type="dxa"/>
            <w:tcBorders>
              <w:top w:val="single" w:sz="8" w:space="0" w:color="auto"/>
              <w:left w:val="nil"/>
              <w:bottom w:val="single" w:sz="8" w:space="0" w:color="auto"/>
              <w:right w:val="nil"/>
            </w:tcBorders>
            <w:noWrap/>
            <w:hideMark/>
          </w:tcPr>
          <w:p>
            <w:pPr>
              <w:spacing w:before="0" w:after="0"/>
              <w:rPr>
                <w:noProof/>
                <w:sz w:val="20"/>
                <w:szCs w:val="20"/>
                <w:lang w:eastAsia="en-GB"/>
              </w:rPr>
            </w:pPr>
          </w:p>
        </w:tc>
        <w:tc>
          <w:tcPr>
            <w:tcW w:w="8080" w:type="dxa"/>
            <w:gridSpan w:val="4"/>
            <w:tcBorders>
              <w:top w:val="single" w:sz="8" w:space="0" w:color="auto"/>
              <w:left w:val="nil"/>
              <w:bottom w:val="single" w:sz="8" w:space="0" w:color="auto"/>
              <w:right w:val="nil"/>
            </w:tcBorders>
            <w:hideMark/>
          </w:tcPr>
          <w:p>
            <w:pPr>
              <w:spacing w:before="60" w:after="60"/>
              <w:ind w:left="567" w:hanging="567"/>
              <w:rPr>
                <w:noProof/>
                <w:szCs w:val="24"/>
                <w:vertAlign w:val="superscript"/>
              </w:rPr>
            </w:pPr>
            <w:r>
              <w:rPr>
                <w:b/>
                <w:bCs/>
                <w:noProof/>
                <w:vertAlign w:val="superscript"/>
              </w:rPr>
              <w:t>*</w:t>
            </w:r>
            <w:r>
              <w:rPr>
                <w:noProof/>
              </w:rPr>
              <w:tab/>
              <w:t>La commission des pêches de l’OPANO est convenue lors de sa réunion annuelle de 2020 que l’Union européenne (Estonie) transfèrerait à la France 25 jours de pêche parmi les jours de pêche qui lui ont été alloués pour 2021 en ce qui concerne Saint-Pierre-et-Miquelon. Ces 25 jours de pêche ont été déduits du nombre de jours de pêche de l’Estonie, qui totaliserait sans cela 416 jours de pêche, au titre d’un régime provisoire pour 2020 qui ne génèrera pas d’historique de captures.</w:t>
            </w:r>
          </w:p>
        </w:tc>
      </w:tr>
      <w:tr>
        <w:trPr>
          <w:trHeight w:val="227"/>
        </w:trPr>
        <w:tc>
          <w:tcPr>
            <w:tcW w:w="9747" w:type="dxa"/>
            <w:gridSpan w:val="5"/>
            <w:tcBorders>
              <w:top w:val="single" w:sz="8" w:space="0" w:color="auto"/>
              <w:left w:val="nil"/>
              <w:bottom w:val="single" w:sz="8" w:space="0" w:color="auto"/>
              <w:right w:val="nil"/>
            </w:tcBorders>
            <w:noWrap/>
            <w:hideMark/>
          </w:tcPr>
          <w:p>
            <w:pPr>
              <w:rPr>
                <w:noProof/>
                <w:vertAlign w:val="superscript"/>
              </w:rPr>
            </w:pPr>
          </w:p>
        </w:tc>
      </w:tr>
      <w:tr>
        <w:trPr>
          <w:trHeight w:val="227"/>
        </w:trPr>
        <w:tc>
          <w:tcPr>
            <w:tcW w:w="1667"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Flétan noir commun</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Reinhardtius hippoglossoides</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s-ES_tradnl"/>
              </w:rPr>
            </w:pPr>
            <w:r>
              <w:rPr>
                <w:rFonts w:asciiTheme="majorBidi" w:hAnsiTheme="majorBidi"/>
                <w:noProof/>
                <w:lang w:val="es-ES_tradnl"/>
              </w:rPr>
              <w:t>OPANO 3 L M N O</w:t>
            </w:r>
          </w:p>
          <w:p>
            <w:pPr>
              <w:spacing w:before="60" w:after="60"/>
              <w:rPr>
                <w:rFonts w:asciiTheme="majorBidi" w:hAnsiTheme="majorBidi" w:cstheme="majorBidi"/>
                <w:noProof/>
                <w:lang w:val="es-ES_tradnl"/>
              </w:rPr>
            </w:pPr>
            <w:r>
              <w:rPr>
                <w:rFonts w:asciiTheme="majorBidi" w:hAnsiTheme="majorBidi"/>
                <w:noProof/>
                <w:lang w:val="es-ES_tradnl"/>
              </w:rPr>
              <w:t>(GHL/N3LMNO)</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Estonie</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331</w:t>
            </w:r>
          </w:p>
        </w:tc>
        <w:tc>
          <w:tcPr>
            <w:tcW w:w="1333" w:type="dxa"/>
            <w:tcBorders>
              <w:top w:val="single" w:sz="8" w:space="0" w:color="auto"/>
              <w:left w:val="nil"/>
              <w:bottom w:val="nil"/>
              <w:right w:val="nil"/>
            </w:tcBorders>
            <w:noWrap/>
          </w:tcPr>
          <w:p>
            <w:pPr>
              <w:spacing w:before="60" w:after="60"/>
              <w:rPr>
                <w:rFonts w:asciiTheme="majorBidi" w:hAnsiTheme="majorBidi" w:cstheme="majorBidi"/>
                <w:noProof/>
              </w:rPr>
            </w:pPr>
          </w:p>
        </w:tc>
        <w:tc>
          <w:tcPr>
            <w:tcW w:w="4397"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Allemagne</w:t>
            </w:r>
          </w:p>
        </w:tc>
        <w:tc>
          <w:tcPr>
            <w:tcW w:w="2350" w:type="dxa"/>
            <w:noWrap/>
            <w:hideMark/>
          </w:tcPr>
          <w:p>
            <w:pPr>
              <w:spacing w:before="60" w:after="60"/>
              <w:jc w:val="right"/>
              <w:rPr>
                <w:noProof/>
                <w:color w:val="000000"/>
              </w:rPr>
            </w:pPr>
            <w:r>
              <w:rPr>
                <w:rFonts w:asciiTheme="majorBidi" w:hAnsiTheme="majorBidi"/>
                <w:noProof/>
                <w:color w:val="000000"/>
              </w:rPr>
              <w:t>338</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Lettonie</w:t>
            </w:r>
          </w:p>
        </w:tc>
        <w:tc>
          <w:tcPr>
            <w:tcW w:w="2350" w:type="dxa"/>
            <w:noWrap/>
            <w:hideMark/>
          </w:tcPr>
          <w:p>
            <w:pPr>
              <w:spacing w:before="60" w:after="60"/>
              <w:jc w:val="right"/>
              <w:rPr>
                <w:noProof/>
                <w:color w:val="000000"/>
              </w:rPr>
            </w:pPr>
            <w:r>
              <w:rPr>
                <w:rFonts w:asciiTheme="majorBidi" w:hAnsiTheme="majorBidi"/>
                <w:noProof/>
                <w:color w:val="000000"/>
              </w:rPr>
              <w:t>47</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Lituanie</w:t>
            </w:r>
          </w:p>
        </w:tc>
        <w:tc>
          <w:tcPr>
            <w:tcW w:w="2350" w:type="dxa"/>
            <w:noWrap/>
            <w:hideMark/>
          </w:tcPr>
          <w:p>
            <w:pPr>
              <w:spacing w:before="60" w:after="60"/>
              <w:jc w:val="right"/>
              <w:rPr>
                <w:noProof/>
                <w:color w:val="000000"/>
              </w:rPr>
            </w:pPr>
            <w:r>
              <w:rPr>
                <w:rFonts w:asciiTheme="majorBidi" w:hAnsiTheme="majorBidi"/>
                <w:noProof/>
                <w:color w:val="000000"/>
              </w:rPr>
              <w:t>24</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Spain</w:t>
            </w:r>
          </w:p>
        </w:tc>
        <w:tc>
          <w:tcPr>
            <w:tcW w:w="2350" w:type="dxa"/>
            <w:noWrap/>
            <w:hideMark/>
          </w:tcPr>
          <w:p>
            <w:pPr>
              <w:spacing w:before="60" w:after="60"/>
              <w:jc w:val="right"/>
              <w:rPr>
                <w:noProof/>
                <w:color w:val="000000"/>
              </w:rPr>
            </w:pPr>
            <w:r>
              <w:rPr>
                <w:rFonts w:asciiTheme="majorBidi" w:hAnsiTheme="majorBidi"/>
                <w:noProof/>
                <w:color w:val="000000"/>
              </w:rPr>
              <w:t>4 533</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Portugal</w:t>
            </w:r>
          </w:p>
        </w:tc>
        <w:tc>
          <w:tcPr>
            <w:tcW w:w="2350" w:type="dxa"/>
            <w:noWrap/>
            <w:hideMark/>
          </w:tcPr>
          <w:p>
            <w:pPr>
              <w:spacing w:before="60" w:after="60"/>
              <w:jc w:val="right"/>
              <w:rPr>
                <w:noProof/>
                <w:color w:val="000000"/>
              </w:rPr>
            </w:pPr>
            <w:r>
              <w:rPr>
                <w:rFonts w:asciiTheme="majorBidi" w:hAnsiTheme="majorBidi"/>
                <w:noProof/>
                <w:color w:val="000000"/>
              </w:rPr>
              <w:t>1 895</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Union</w:t>
            </w:r>
          </w:p>
        </w:tc>
        <w:tc>
          <w:tcPr>
            <w:tcW w:w="2350" w:type="dxa"/>
            <w:noWrap/>
            <w:hideMark/>
          </w:tcPr>
          <w:p>
            <w:pPr>
              <w:spacing w:before="60" w:after="60"/>
              <w:jc w:val="right"/>
              <w:rPr>
                <w:noProof/>
                <w:color w:val="000000"/>
              </w:rPr>
            </w:pPr>
            <w:r>
              <w:rPr>
                <w:rFonts w:asciiTheme="majorBidi" w:hAnsiTheme="majorBidi"/>
                <w:noProof/>
                <w:color w:val="000000"/>
              </w:rPr>
              <w:t xml:space="preserve"> 7 168</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TAC</w:t>
            </w:r>
          </w:p>
        </w:tc>
        <w:tc>
          <w:tcPr>
            <w:tcW w:w="2350" w:type="dxa"/>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12 225</w:t>
            </w:r>
          </w:p>
        </w:tc>
        <w:tc>
          <w:tcPr>
            <w:tcW w:w="1333"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4397"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Raies</w:t>
            </w:r>
          </w:p>
          <w:p>
            <w:pPr>
              <w:spacing w:before="60" w:after="60"/>
              <w:rPr>
                <w:rFonts w:asciiTheme="majorBidi" w:hAnsiTheme="majorBidi" w:cstheme="majorBidi"/>
                <w:noProof/>
              </w:rPr>
            </w:pPr>
            <w:r>
              <w:rPr>
                <w:rFonts w:asciiTheme="majorBidi" w:hAnsiTheme="majorBidi"/>
                <w:i/>
                <w:iCs/>
                <w:noProof/>
              </w:rPr>
              <w:t>Rajidae</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s-ES_tradnl"/>
              </w:rPr>
            </w:pPr>
            <w:r>
              <w:rPr>
                <w:rFonts w:asciiTheme="majorBidi" w:hAnsiTheme="majorBidi"/>
                <w:noProof/>
                <w:lang w:val="es-ES_tradnl"/>
              </w:rPr>
              <w:t>OPANO 3 L N O</w:t>
            </w:r>
          </w:p>
          <w:p>
            <w:pPr>
              <w:spacing w:before="60" w:after="60"/>
              <w:rPr>
                <w:rFonts w:asciiTheme="majorBidi" w:hAnsiTheme="majorBidi" w:cstheme="majorBidi"/>
                <w:noProof/>
                <w:lang w:val="es-ES_tradnl"/>
              </w:rPr>
            </w:pPr>
            <w:r>
              <w:rPr>
                <w:rFonts w:asciiTheme="majorBidi" w:hAnsiTheme="majorBidi"/>
                <w:noProof/>
                <w:lang w:val="es-ES_tradnl"/>
              </w:rPr>
              <w:t>(SKA/N3LNO.)</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Estonie</w:t>
            </w:r>
          </w:p>
        </w:tc>
        <w:tc>
          <w:tcPr>
            <w:tcW w:w="2350" w:type="dxa"/>
            <w:tcBorders>
              <w:top w:val="single" w:sz="8" w:space="0" w:color="auto"/>
              <w:left w:val="nil"/>
              <w:bottom w:val="nil"/>
              <w:right w:val="nil"/>
            </w:tcBorders>
            <w:noWrap/>
            <w:hideMark/>
          </w:tcPr>
          <w:p>
            <w:pPr>
              <w:spacing w:before="60" w:after="60"/>
              <w:jc w:val="right"/>
              <w:rPr>
                <w:noProof/>
              </w:rPr>
            </w:pPr>
            <w:r>
              <w:rPr>
                <w:rFonts w:asciiTheme="majorBidi" w:hAnsiTheme="majorBidi"/>
                <w:noProof/>
                <w:color w:val="000000"/>
              </w:rPr>
              <w:t>283</w:t>
            </w:r>
          </w:p>
        </w:tc>
        <w:tc>
          <w:tcPr>
            <w:tcW w:w="1333" w:type="dxa"/>
            <w:tcBorders>
              <w:top w:val="single" w:sz="8" w:space="0" w:color="auto"/>
              <w:left w:val="nil"/>
              <w:bottom w:val="nil"/>
              <w:right w:val="nil"/>
            </w:tcBorders>
            <w:noWrap/>
          </w:tcPr>
          <w:p>
            <w:pPr>
              <w:spacing w:before="60" w:after="60"/>
              <w:rPr>
                <w:rFonts w:asciiTheme="majorBidi" w:hAnsiTheme="majorBidi" w:cstheme="majorBidi"/>
                <w:noProof/>
              </w:rPr>
            </w:pPr>
          </w:p>
        </w:tc>
        <w:tc>
          <w:tcPr>
            <w:tcW w:w="4397"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Lituanie</w:t>
            </w:r>
          </w:p>
        </w:tc>
        <w:tc>
          <w:tcPr>
            <w:tcW w:w="2350" w:type="dxa"/>
            <w:noWrap/>
            <w:hideMark/>
          </w:tcPr>
          <w:p>
            <w:pPr>
              <w:spacing w:before="60" w:after="60"/>
              <w:jc w:val="right"/>
              <w:rPr>
                <w:noProof/>
              </w:rPr>
            </w:pPr>
            <w:r>
              <w:rPr>
                <w:rFonts w:asciiTheme="majorBidi" w:hAnsiTheme="majorBidi"/>
                <w:noProof/>
                <w:color w:val="000000"/>
              </w:rPr>
              <w:t>62</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Spain</w:t>
            </w:r>
          </w:p>
        </w:tc>
        <w:tc>
          <w:tcPr>
            <w:tcW w:w="2350" w:type="dxa"/>
            <w:noWrap/>
            <w:hideMark/>
          </w:tcPr>
          <w:p>
            <w:pPr>
              <w:spacing w:before="60" w:after="60"/>
              <w:jc w:val="right"/>
              <w:rPr>
                <w:noProof/>
              </w:rPr>
            </w:pPr>
            <w:r>
              <w:rPr>
                <w:rFonts w:asciiTheme="majorBidi" w:hAnsiTheme="majorBidi"/>
                <w:noProof/>
                <w:color w:val="000000"/>
              </w:rPr>
              <w:t>3 403</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Portugal</w:t>
            </w:r>
          </w:p>
        </w:tc>
        <w:tc>
          <w:tcPr>
            <w:tcW w:w="2350" w:type="dxa"/>
            <w:noWrap/>
            <w:hideMark/>
          </w:tcPr>
          <w:p>
            <w:pPr>
              <w:spacing w:before="60" w:after="60"/>
              <w:jc w:val="right"/>
              <w:rPr>
                <w:noProof/>
              </w:rPr>
            </w:pPr>
            <w:r>
              <w:rPr>
                <w:rFonts w:asciiTheme="majorBidi" w:hAnsiTheme="majorBidi"/>
                <w:noProof/>
                <w:color w:val="000000"/>
              </w:rPr>
              <w:t>660</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Union</w:t>
            </w:r>
          </w:p>
        </w:tc>
        <w:tc>
          <w:tcPr>
            <w:tcW w:w="2350" w:type="dxa"/>
            <w:noWrap/>
            <w:hideMark/>
          </w:tcPr>
          <w:p>
            <w:pPr>
              <w:spacing w:before="60" w:after="60"/>
              <w:jc w:val="right"/>
              <w:rPr>
                <w:noProof/>
              </w:rPr>
            </w:pPr>
            <w:r>
              <w:rPr>
                <w:rFonts w:asciiTheme="majorBidi" w:hAnsiTheme="majorBidi"/>
                <w:noProof/>
                <w:color w:val="000000"/>
              </w:rPr>
              <w:t>4 408</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TAC</w:t>
            </w:r>
          </w:p>
        </w:tc>
        <w:tc>
          <w:tcPr>
            <w:tcW w:w="2350" w:type="dxa"/>
            <w:tcBorders>
              <w:top w:val="nil"/>
              <w:left w:val="nil"/>
              <w:bottom w:val="single" w:sz="8" w:space="0" w:color="auto"/>
              <w:right w:val="nil"/>
            </w:tcBorders>
            <w:noWrap/>
            <w:hideMark/>
          </w:tcPr>
          <w:p>
            <w:pPr>
              <w:spacing w:before="60" w:after="60"/>
              <w:jc w:val="right"/>
              <w:rPr>
                <w:noProof/>
              </w:rPr>
            </w:pPr>
            <w:r>
              <w:rPr>
                <w:rFonts w:asciiTheme="majorBidi" w:hAnsiTheme="majorBidi"/>
                <w:noProof/>
                <w:color w:val="000000"/>
              </w:rPr>
              <w:t>7 000</w:t>
            </w:r>
          </w:p>
        </w:tc>
        <w:tc>
          <w:tcPr>
            <w:tcW w:w="1333"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4397"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noProof/>
              </w:rPr>
              <w:br w:type="page"/>
            </w: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Sébastes de l’Atlantique</w:t>
            </w:r>
          </w:p>
          <w:p>
            <w:pPr>
              <w:spacing w:before="60" w:after="60"/>
              <w:rPr>
                <w:rFonts w:asciiTheme="majorBidi" w:hAnsiTheme="majorBidi" w:cstheme="majorBidi"/>
                <w:noProof/>
              </w:rPr>
            </w:pPr>
            <w:r>
              <w:rPr>
                <w:rFonts w:asciiTheme="majorBidi" w:hAnsiTheme="majorBidi"/>
                <w:i/>
                <w:iCs/>
                <w:noProof/>
              </w:rPr>
              <w:t>Sebastes</w:t>
            </w:r>
            <w:r>
              <w:rPr>
                <w:rFonts w:asciiTheme="majorBidi" w:hAnsiTheme="majorBidi"/>
                <w:noProof/>
              </w:rPr>
              <w:t xml:space="preserve"> spp.</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s-ES_tradnl"/>
              </w:rPr>
            </w:pPr>
            <w:r>
              <w:rPr>
                <w:rFonts w:asciiTheme="majorBidi" w:hAnsiTheme="majorBidi"/>
                <w:noProof/>
                <w:lang w:val="es-ES_tradnl"/>
              </w:rPr>
              <w:t>OPANO 3 L N</w:t>
            </w:r>
          </w:p>
          <w:p>
            <w:pPr>
              <w:spacing w:before="60" w:after="60"/>
              <w:rPr>
                <w:rFonts w:asciiTheme="majorBidi" w:hAnsiTheme="majorBidi" w:cstheme="majorBidi"/>
                <w:noProof/>
                <w:lang w:val="es-ES_tradnl"/>
              </w:rPr>
            </w:pPr>
            <w:r>
              <w:rPr>
                <w:rFonts w:asciiTheme="majorBidi" w:hAnsiTheme="majorBidi"/>
                <w:noProof/>
                <w:lang w:val="es-ES_tradnl"/>
              </w:rPr>
              <w:t>(RED/N3LN.)</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Estonie</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895</w:t>
            </w:r>
          </w:p>
        </w:tc>
        <w:tc>
          <w:tcPr>
            <w:tcW w:w="1333" w:type="dxa"/>
            <w:tcBorders>
              <w:top w:val="single" w:sz="8" w:space="0" w:color="auto"/>
              <w:left w:val="nil"/>
              <w:bottom w:val="nil"/>
              <w:right w:val="nil"/>
            </w:tcBorders>
            <w:noWrap/>
          </w:tcPr>
          <w:p>
            <w:pPr>
              <w:spacing w:before="60" w:after="60"/>
              <w:rPr>
                <w:rFonts w:asciiTheme="majorBidi" w:hAnsiTheme="majorBidi" w:cstheme="majorBidi"/>
                <w:noProof/>
              </w:rPr>
            </w:pPr>
          </w:p>
        </w:tc>
        <w:tc>
          <w:tcPr>
            <w:tcW w:w="4397"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Allemagne</w:t>
            </w:r>
          </w:p>
        </w:tc>
        <w:tc>
          <w:tcPr>
            <w:tcW w:w="2350" w:type="dxa"/>
            <w:noWrap/>
            <w:hideMark/>
          </w:tcPr>
          <w:p>
            <w:pPr>
              <w:spacing w:before="60" w:after="60"/>
              <w:jc w:val="right"/>
              <w:rPr>
                <w:noProof/>
                <w:color w:val="000000"/>
              </w:rPr>
            </w:pPr>
            <w:r>
              <w:rPr>
                <w:rFonts w:asciiTheme="majorBidi" w:hAnsiTheme="majorBidi"/>
                <w:noProof/>
                <w:color w:val="000000"/>
              </w:rPr>
              <w:t>615</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Lettonie</w:t>
            </w:r>
          </w:p>
        </w:tc>
        <w:tc>
          <w:tcPr>
            <w:tcW w:w="2350" w:type="dxa"/>
            <w:noWrap/>
            <w:hideMark/>
          </w:tcPr>
          <w:p>
            <w:pPr>
              <w:spacing w:before="60" w:after="60"/>
              <w:jc w:val="right"/>
              <w:rPr>
                <w:noProof/>
                <w:color w:val="000000"/>
              </w:rPr>
            </w:pPr>
            <w:r>
              <w:rPr>
                <w:rFonts w:asciiTheme="majorBidi" w:hAnsiTheme="majorBidi"/>
                <w:noProof/>
                <w:color w:val="000000"/>
              </w:rPr>
              <w:t>895</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Lituanie</w:t>
            </w:r>
          </w:p>
        </w:tc>
        <w:tc>
          <w:tcPr>
            <w:tcW w:w="2350" w:type="dxa"/>
            <w:noWrap/>
            <w:hideMark/>
          </w:tcPr>
          <w:p>
            <w:pPr>
              <w:spacing w:before="60" w:after="60"/>
              <w:jc w:val="right"/>
              <w:rPr>
                <w:noProof/>
                <w:color w:val="000000"/>
              </w:rPr>
            </w:pPr>
            <w:r>
              <w:rPr>
                <w:rFonts w:asciiTheme="majorBidi" w:hAnsiTheme="majorBidi"/>
                <w:noProof/>
                <w:color w:val="000000"/>
              </w:rPr>
              <w:t>895</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Union</w:t>
            </w:r>
          </w:p>
        </w:tc>
        <w:tc>
          <w:tcPr>
            <w:tcW w:w="2350" w:type="dxa"/>
            <w:noWrap/>
            <w:hideMark/>
          </w:tcPr>
          <w:p>
            <w:pPr>
              <w:spacing w:before="60" w:after="60"/>
              <w:jc w:val="right"/>
              <w:rPr>
                <w:noProof/>
                <w:color w:val="000000"/>
              </w:rPr>
            </w:pPr>
            <w:r>
              <w:rPr>
                <w:rFonts w:asciiTheme="majorBidi" w:hAnsiTheme="majorBidi"/>
                <w:noProof/>
                <w:color w:val="000000"/>
              </w:rPr>
              <w:t>3 300</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TAC</w:t>
            </w:r>
          </w:p>
        </w:tc>
        <w:tc>
          <w:tcPr>
            <w:tcW w:w="2350" w:type="dxa"/>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18 100</w:t>
            </w:r>
          </w:p>
        </w:tc>
        <w:tc>
          <w:tcPr>
            <w:tcW w:w="1333"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4397"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Sébastes de l’Atlantique</w:t>
            </w:r>
          </w:p>
          <w:p>
            <w:pPr>
              <w:spacing w:before="60" w:after="60"/>
              <w:rPr>
                <w:rFonts w:asciiTheme="majorBidi" w:hAnsiTheme="majorBidi" w:cstheme="majorBidi"/>
                <w:noProof/>
              </w:rPr>
            </w:pPr>
            <w:r>
              <w:rPr>
                <w:rFonts w:asciiTheme="majorBidi" w:hAnsiTheme="majorBidi"/>
                <w:i/>
                <w:iCs/>
                <w:noProof/>
              </w:rPr>
              <w:t>Sebastes</w:t>
            </w:r>
            <w:r>
              <w:rPr>
                <w:rFonts w:asciiTheme="majorBidi" w:hAnsiTheme="majorBidi"/>
                <w:noProof/>
              </w:rPr>
              <w:t xml:space="preserve"> spp.</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OPANO 3 M</w:t>
            </w:r>
          </w:p>
          <w:p>
            <w:pPr>
              <w:spacing w:before="60" w:after="60"/>
              <w:rPr>
                <w:rFonts w:asciiTheme="majorBidi" w:hAnsiTheme="majorBidi" w:cstheme="majorBidi"/>
                <w:noProof/>
              </w:rPr>
            </w:pPr>
            <w:r>
              <w:rPr>
                <w:rFonts w:asciiTheme="majorBidi" w:hAnsiTheme="majorBidi"/>
                <w:noProof/>
              </w:rPr>
              <w:t>(RED/N3M.)</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Estonie</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1 571</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Allemagne</w:t>
            </w:r>
          </w:p>
        </w:tc>
        <w:tc>
          <w:tcPr>
            <w:tcW w:w="2350" w:type="dxa"/>
            <w:noWrap/>
            <w:hideMark/>
          </w:tcPr>
          <w:p>
            <w:pPr>
              <w:spacing w:before="60" w:after="60"/>
              <w:jc w:val="right"/>
              <w:rPr>
                <w:noProof/>
                <w:color w:val="000000"/>
              </w:rPr>
            </w:pPr>
            <w:r>
              <w:rPr>
                <w:rFonts w:asciiTheme="majorBidi" w:hAnsiTheme="majorBidi"/>
                <w:noProof/>
                <w:color w:val="000000"/>
              </w:rPr>
              <w:t>513</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Lettonie</w:t>
            </w:r>
          </w:p>
        </w:tc>
        <w:tc>
          <w:tcPr>
            <w:tcW w:w="2350" w:type="dxa"/>
            <w:noWrap/>
            <w:hideMark/>
          </w:tcPr>
          <w:p>
            <w:pPr>
              <w:spacing w:before="60" w:after="60"/>
              <w:jc w:val="right"/>
              <w:rPr>
                <w:noProof/>
                <w:color w:val="000000"/>
              </w:rPr>
            </w:pPr>
            <w:r>
              <w:rPr>
                <w:rFonts w:asciiTheme="majorBidi" w:hAnsiTheme="majorBidi"/>
                <w:noProof/>
                <w:color w:val="000000"/>
              </w:rPr>
              <w:t>1 571</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Lituanie</w:t>
            </w:r>
          </w:p>
        </w:tc>
        <w:tc>
          <w:tcPr>
            <w:tcW w:w="2350" w:type="dxa"/>
            <w:noWrap/>
            <w:hideMark/>
          </w:tcPr>
          <w:p>
            <w:pPr>
              <w:spacing w:before="60" w:after="60"/>
              <w:jc w:val="right"/>
              <w:rPr>
                <w:noProof/>
                <w:color w:val="000000"/>
              </w:rPr>
            </w:pPr>
            <w:r>
              <w:rPr>
                <w:rFonts w:asciiTheme="majorBidi" w:hAnsiTheme="majorBidi"/>
                <w:noProof/>
                <w:color w:val="000000"/>
              </w:rPr>
              <w:t>1 571</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Spain</w:t>
            </w:r>
          </w:p>
        </w:tc>
        <w:tc>
          <w:tcPr>
            <w:tcW w:w="2350" w:type="dxa"/>
            <w:noWrap/>
            <w:hideMark/>
          </w:tcPr>
          <w:p>
            <w:pPr>
              <w:spacing w:before="60" w:after="60"/>
              <w:jc w:val="right"/>
              <w:rPr>
                <w:noProof/>
                <w:color w:val="000000"/>
              </w:rPr>
            </w:pPr>
            <w:r>
              <w:rPr>
                <w:rFonts w:asciiTheme="majorBidi" w:hAnsiTheme="majorBidi"/>
                <w:noProof/>
                <w:color w:val="000000"/>
              </w:rPr>
              <w:t>233</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 xml:space="preserve">Portugal </w:t>
            </w:r>
          </w:p>
        </w:tc>
        <w:tc>
          <w:tcPr>
            <w:tcW w:w="2350" w:type="dxa"/>
            <w:noWrap/>
            <w:hideMark/>
          </w:tcPr>
          <w:p>
            <w:pPr>
              <w:spacing w:before="60" w:after="60"/>
              <w:jc w:val="right"/>
              <w:rPr>
                <w:noProof/>
                <w:color w:val="000000"/>
              </w:rPr>
            </w:pPr>
            <w:r>
              <w:rPr>
                <w:rFonts w:asciiTheme="majorBidi" w:hAnsiTheme="majorBidi"/>
                <w:noProof/>
                <w:color w:val="000000"/>
              </w:rPr>
              <w:t>2 354</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Union</w:t>
            </w:r>
          </w:p>
        </w:tc>
        <w:tc>
          <w:tcPr>
            <w:tcW w:w="2350" w:type="dxa"/>
            <w:noWrap/>
            <w:hideMark/>
          </w:tcPr>
          <w:p>
            <w:pPr>
              <w:spacing w:before="60" w:after="60"/>
              <w:jc w:val="right"/>
              <w:rPr>
                <w:noProof/>
                <w:color w:val="000000"/>
              </w:rPr>
            </w:pPr>
            <w:r>
              <w:rPr>
                <w:rFonts w:asciiTheme="majorBidi" w:hAnsiTheme="majorBidi"/>
                <w:noProof/>
                <w:color w:val="000000"/>
              </w:rPr>
              <w:t>7 813</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8 448</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Ce quota est subordonné au respect du TAC indiqué, qui est fixé pour ce stock pour l’ensemble des parties contractantes de l’OPANO. Dans le cadre de ce TAC, les captures peuvent être effectuées dans le respect de la limite intermédiaire suivante avant le 1</w:t>
            </w:r>
            <w:r>
              <w:rPr>
                <w:rFonts w:asciiTheme="majorBidi" w:hAnsiTheme="majorBidi"/>
                <w:noProof/>
                <w:vertAlign w:val="superscript"/>
              </w:rPr>
              <w:t>er</w:t>
            </w:r>
            <w:r>
              <w:rPr>
                <w:rFonts w:asciiTheme="majorBidi" w:hAnsiTheme="majorBidi"/>
                <w:noProof/>
              </w:rPr>
              <w:t xml:space="preserve"> juillet 2020: </w:t>
            </w:r>
            <w:r>
              <w:rPr>
                <w:rFonts w:asciiTheme="majorBidi" w:hAnsiTheme="majorBidi"/>
                <w:noProof/>
                <w:color w:val="000000"/>
              </w:rPr>
              <w:t>p.m.</w:t>
            </w: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Sébastes de l’Atlantique</w:t>
            </w:r>
          </w:p>
          <w:p>
            <w:pPr>
              <w:spacing w:before="60" w:after="60"/>
              <w:rPr>
                <w:rFonts w:asciiTheme="majorBidi" w:hAnsiTheme="majorBidi" w:cstheme="majorBidi"/>
                <w:noProof/>
              </w:rPr>
            </w:pPr>
            <w:r>
              <w:rPr>
                <w:rFonts w:asciiTheme="majorBidi" w:hAnsiTheme="majorBidi"/>
                <w:i/>
                <w:iCs/>
                <w:noProof/>
              </w:rPr>
              <w:t>Sebastes</w:t>
            </w:r>
            <w:r>
              <w:rPr>
                <w:rFonts w:asciiTheme="majorBidi" w:hAnsiTheme="majorBidi"/>
                <w:noProof/>
              </w:rPr>
              <w:t xml:space="preserve"> spp.</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OPANO 3 O</w:t>
            </w:r>
          </w:p>
          <w:p>
            <w:pPr>
              <w:spacing w:before="60" w:after="60"/>
              <w:rPr>
                <w:rFonts w:asciiTheme="majorBidi" w:hAnsiTheme="majorBidi" w:cstheme="majorBidi"/>
                <w:noProof/>
              </w:rPr>
            </w:pPr>
            <w:r>
              <w:rPr>
                <w:rFonts w:asciiTheme="majorBidi" w:hAnsiTheme="majorBidi"/>
                <w:noProof/>
              </w:rPr>
              <w:t>(RED/N3O.)</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Spain</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1 771</w:t>
            </w:r>
          </w:p>
        </w:tc>
        <w:tc>
          <w:tcPr>
            <w:tcW w:w="1333" w:type="dxa"/>
            <w:tcBorders>
              <w:top w:val="single" w:sz="8" w:space="0" w:color="auto"/>
              <w:left w:val="nil"/>
              <w:bottom w:val="nil"/>
              <w:right w:val="nil"/>
            </w:tcBorders>
            <w:noWrap/>
          </w:tcPr>
          <w:p>
            <w:pPr>
              <w:spacing w:before="60" w:after="60"/>
              <w:rPr>
                <w:rFonts w:asciiTheme="majorBidi" w:hAnsiTheme="majorBidi" w:cstheme="majorBidi"/>
                <w:noProof/>
              </w:rPr>
            </w:pPr>
          </w:p>
        </w:tc>
        <w:tc>
          <w:tcPr>
            <w:tcW w:w="4397"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Portugal</w:t>
            </w:r>
          </w:p>
        </w:tc>
        <w:tc>
          <w:tcPr>
            <w:tcW w:w="2350" w:type="dxa"/>
            <w:noWrap/>
            <w:hideMark/>
          </w:tcPr>
          <w:p>
            <w:pPr>
              <w:spacing w:before="60" w:after="60"/>
              <w:jc w:val="right"/>
              <w:rPr>
                <w:noProof/>
                <w:color w:val="000000"/>
              </w:rPr>
            </w:pPr>
            <w:r>
              <w:rPr>
                <w:rFonts w:asciiTheme="majorBidi" w:hAnsiTheme="majorBidi"/>
                <w:noProof/>
                <w:color w:val="000000"/>
              </w:rPr>
              <w:t>5 229</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Union</w:t>
            </w:r>
          </w:p>
        </w:tc>
        <w:tc>
          <w:tcPr>
            <w:tcW w:w="2350" w:type="dxa"/>
            <w:noWrap/>
            <w:hideMark/>
          </w:tcPr>
          <w:p>
            <w:pPr>
              <w:spacing w:before="60" w:after="60"/>
              <w:jc w:val="right"/>
              <w:rPr>
                <w:noProof/>
                <w:color w:val="000000"/>
              </w:rPr>
            </w:pPr>
            <w:r>
              <w:rPr>
                <w:rFonts w:asciiTheme="majorBidi" w:hAnsiTheme="majorBidi"/>
                <w:noProof/>
                <w:color w:val="000000"/>
              </w:rPr>
              <w:t>7 000</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TAC</w:t>
            </w:r>
          </w:p>
        </w:tc>
        <w:tc>
          <w:tcPr>
            <w:tcW w:w="2350" w:type="dxa"/>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20 000</w:t>
            </w:r>
          </w:p>
        </w:tc>
        <w:tc>
          <w:tcPr>
            <w:tcW w:w="1333"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4397"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Sébastes de l’Atlantique</w:t>
            </w:r>
          </w:p>
          <w:p>
            <w:pPr>
              <w:spacing w:before="60" w:after="60"/>
              <w:rPr>
                <w:rFonts w:asciiTheme="majorBidi" w:hAnsiTheme="majorBidi" w:cstheme="majorBidi"/>
                <w:noProof/>
              </w:rPr>
            </w:pPr>
            <w:r>
              <w:rPr>
                <w:rFonts w:asciiTheme="majorBidi" w:hAnsiTheme="majorBidi"/>
                <w:i/>
                <w:iCs/>
                <w:noProof/>
              </w:rPr>
              <w:t>Sebastes</w:t>
            </w:r>
            <w:r>
              <w:rPr>
                <w:rFonts w:asciiTheme="majorBidi" w:hAnsiTheme="majorBidi"/>
                <w:noProof/>
              </w:rPr>
              <w:t xml:space="preserve"> spp.</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Sous-zone 2, divisions 1 F et 3 K de l’OPANO</w:t>
            </w:r>
          </w:p>
          <w:p>
            <w:pPr>
              <w:spacing w:before="60" w:after="60"/>
              <w:rPr>
                <w:rFonts w:asciiTheme="majorBidi" w:hAnsiTheme="majorBidi" w:cstheme="majorBidi"/>
                <w:noProof/>
              </w:rPr>
            </w:pPr>
            <w:r>
              <w:rPr>
                <w:rFonts w:asciiTheme="majorBidi" w:hAnsiTheme="majorBidi"/>
                <w:noProof/>
              </w:rPr>
              <w:t>(RED/N1F3K.)</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 xml:space="preserve">Lettonie </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333"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Lituanie</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Union</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0</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Aucune pêche ciblée n’est autorisée dans le cadre de ce quota. Cette espèce ne peut être capturée qu’en tant que prise accessoire dans les limites suivantes: au maximum 1 250 kg ou 5 %, la quantité la plus importante étant retenue.</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67"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Espèce:</w:t>
            </w:r>
          </w:p>
        </w:tc>
        <w:tc>
          <w:tcPr>
            <w:tcW w:w="368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Merluche blanche</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Urophycis tenuis</w:t>
            </w:r>
          </w:p>
        </w:tc>
        <w:tc>
          <w:tcPr>
            <w:tcW w:w="1454"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Zone:</w:t>
            </w:r>
          </w:p>
        </w:tc>
        <w:tc>
          <w:tcPr>
            <w:tcW w:w="294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s-ES_tradnl"/>
              </w:rPr>
            </w:pPr>
            <w:r>
              <w:rPr>
                <w:rFonts w:asciiTheme="majorBidi" w:hAnsiTheme="majorBidi"/>
                <w:noProof/>
                <w:lang w:val="es-ES_tradnl"/>
              </w:rPr>
              <w:t>OPANO 3 N O</w:t>
            </w:r>
          </w:p>
          <w:p>
            <w:pPr>
              <w:spacing w:before="60" w:after="60"/>
              <w:rPr>
                <w:rFonts w:asciiTheme="majorBidi" w:hAnsiTheme="majorBidi" w:cstheme="majorBidi"/>
                <w:noProof/>
                <w:lang w:val="es-ES_tradnl"/>
              </w:rPr>
            </w:pPr>
            <w:r>
              <w:rPr>
                <w:rFonts w:asciiTheme="majorBidi" w:hAnsiTheme="majorBidi"/>
                <w:noProof/>
                <w:lang w:val="es-ES_tradnl"/>
              </w:rPr>
              <w:t>(HKW/N3NO.)</w:t>
            </w:r>
          </w:p>
        </w:tc>
      </w:tr>
      <w:tr>
        <w:trPr>
          <w:trHeight w:val="227"/>
        </w:trPr>
        <w:tc>
          <w:tcPr>
            <w:tcW w:w="16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Spain</w:t>
            </w:r>
          </w:p>
        </w:tc>
        <w:tc>
          <w:tcPr>
            <w:tcW w:w="2350"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255</w:t>
            </w:r>
          </w:p>
        </w:tc>
        <w:tc>
          <w:tcPr>
            <w:tcW w:w="1333" w:type="dxa"/>
            <w:tcBorders>
              <w:top w:val="single" w:sz="8" w:space="0" w:color="auto"/>
              <w:left w:val="nil"/>
              <w:bottom w:val="nil"/>
              <w:right w:val="nil"/>
            </w:tcBorders>
            <w:noWrap/>
          </w:tcPr>
          <w:p>
            <w:pPr>
              <w:spacing w:before="60" w:after="60"/>
              <w:rPr>
                <w:rFonts w:asciiTheme="majorBidi" w:hAnsiTheme="majorBidi" w:cstheme="majorBidi"/>
                <w:noProof/>
              </w:rPr>
            </w:pPr>
          </w:p>
        </w:tc>
        <w:tc>
          <w:tcPr>
            <w:tcW w:w="4397"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Portugal</w:t>
            </w:r>
          </w:p>
        </w:tc>
        <w:tc>
          <w:tcPr>
            <w:tcW w:w="2350" w:type="dxa"/>
            <w:noWrap/>
            <w:hideMark/>
          </w:tcPr>
          <w:p>
            <w:pPr>
              <w:spacing w:before="60" w:after="60"/>
              <w:jc w:val="right"/>
              <w:rPr>
                <w:noProof/>
                <w:color w:val="000000"/>
              </w:rPr>
            </w:pPr>
            <w:r>
              <w:rPr>
                <w:rFonts w:asciiTheme="majorBidi" w:hAnsiTheme="majorBidi"/>
                <w:noProof/>
                <w:color w:val="000000"/>
              </w:rPr>
              <w:t>333</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Union</w:t>
            </w:r>
          </w:p>
        </w:tc>
        <w:tc>
          <w:tcPr>
            <w:tcW w:w="2350" w:type="dxa"/>
            <w:noWrap/>
            <w:hideMark/>
          </w:tcPr>
          <w:p>
            <w:pPr>
              <w:spacing w:before="60" w:after="60"/>
              <w:jc w:val="right"/>
              <w:rPr>
                <w:noProof/>
                <w:color w:val="000000"/>
              </w:rPr>
            </w:pPr>
            <w:r>
              <w:rPr>
                <w:rFonts w:asciiTheme="majorBidi" w:hAnsiTheme="majorBidi"/>
                <w:noProof/>
                <w:color w:val="000000"/>
              </w:rPr>
              <w:t>588</w:t>
            </w:r>
          </w:p>
        </w:tc>
        <w:tc>
          <w:tcPr>
            <w:tcW w:w="133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noWrap/>
            <w:hideMark/>
          </w:tcPr>
          <w:p>
            <w:pPr>
              <w:spacing w:before="60" w:after="60"/>
              <w:rPr>
                <w:rFonts w:asciiTheme="majorBidi" w:hAnsiTheme="majorBidi" w:cstheme="majorBidi"/>
                <w:noProof/>
              </w:rPr>
            </w:pPr>
            <w:r>
              <w:rPr>
                <w:rFonts w:asciiTheme="majorBidi" w:hAnsiTheme="majorBidi"/>
                <w:noProof/>
              </w:rPr>
              <w:t>TAC</w:t>
            </w:r>
          </w:p>
        </w:tc>
        <w:tc>
          <w:tcPr>
            <w:tcW w:w="2350" w:type="dxa"/>
            <w:noWrap/>
            <w:hideMark/>
          </w:tcPr>
          <w:p>
            <w:pPr>
              <w:spacing w:before="60" w:after="60"/>
              <w:jc w:val="right"/>
              <w:rPr>
                <w:noProof/>
                <w:color w:val="000000"/>
              </w:rPr>
            </w:pPr>
            <w:r>
              <w:rPr>
                <w:rFonts w:asciiTheme="majorBidi" w:hAnsiTheme="majorBidi"/>
                <w:noProof/>
                <w:color w:val="000000"/>
              </w:rPr>
              <w:t>1 000</w:t>
            </w:r>
          </w:p>
        </w:tc>
        <w:tc>
          <w:tcPr>
            <w:tcW w:w="1333" w:type="dxa"/>
            <w:noWrap/>
          </w:tcPr>
          <w:p>
            <w:pPr>
              <w:spacing w:before="60" w:after="60"/>
              <w:rPr>
                <w:rFonts w:asciiTheme="majorBidi" w:hAnsiTheme="majorBidi" w:cstheme="majorBidi"/>
                <w:noProof/>
              </w:rPr>
            </w:pPr>
          </w:p>
        </w:tc>
        <w:tc>
          <w:tcPr>
            <w:tcW w:w="4397" w:type="dxa"/>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67" w:type="dxa"/>
            <w:vMerge w:val="restart"/>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80" w:type="dxa"/>
            <w:gridSpan w:val="4"/>
            <w:noWrap/>
            <w:hideMark/>
          </w:tcPr>
          <w:p>
            <w:pPr>
              <w:spacing w:before="60" w:after="60"/>
              <w:rPr>
                <w:rFonts w:asciiTheme="majorBidi" w:hAnsiTheme="majorBidi" w:cstheme="majorBidi"/>
                <w:noProof/>
              </w:rPr>
            </w:pPr>
            <w:r>
              <w:rPr>
                <w:rFonts w:asciiTheme="majorBidi" w:hAnsiTheme="majorBidi"/>
                <w:noProof/>
              </w:rPr>
              <w:t>Lorsque, conformément à l’annexe IA des mesures de conservation et d’application de l’OPANO, un vote favorable des parties contractantes confirme que le TAC équivaut à 2 000 tonnes, les quotas correspondants de l’Union et des États membres sont équivalents à ceux figurant ci-dessous:</w:t>
            </w:r>
          </w:p>
        </w:tc>
      </w:tr>
      <w:tr>
        <w:trPr>
          <w:trHeight w:val="227"/>
        </w:trPr>
        <w:tc>
          <w:tcPr>
            <w:tcW w:w="0" w:type="auto"/>
            <w:vMerge/>
            <w:tcBorders>
              <w:top w:val="nil"/>
              <w:left w:val="nil"/>
              <w:bottom w:val="single" w:sz="8" w:space="0" w:color="auto"/>
              <w:right w:val="nil"/>
            </w:tcBorders>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rPr>
            </w:pPr>
            <w:r>
              <w:rPr>
                <w:rFonts w:asciiTheme="majorBidi" w:hAnsiTheme="majorBidi"/>
                <w:noProof/>
              </w:rPr>
              <w:t>Spain</w:t>
            </w:r>
          </w:p>
        </w:tc>
        <w:tc>
          <w:tcPr>
            <w:tcW w:w="1333" w:type="dxa"/>
            <w:noWrap/>
            <w:hideMark/>
          </w:tcPr>
          <w:p>
            <w:pPr>
              <w:spacing w:before="60" w:after="60"/>
              <w:jc w:val="right"/>
              <w:rPr>
                <w:noProof/>
                <w:color w:val="000000"/>
              </w:rPr>
            </w:pPr>
            <w:r>
              <w:rPr>
                <w:rFonts w:asciiTheme="majorBidi" w:hAnsiTheme="majorBidi"/>
                <w:noProof/>
                <w:color w:val="000000"/>
              </w:rPr>
              <w:t>509</w:t>
            </w:r>
          </w:p>
        </w:tc>
        <w:tc>
          <w:tcPr>
            <w:tcW w:w="1454" w:type="dxa"/>
            <w:noWrap/>
          </w:tcPr>
          <w:p>
            <w:pPr>
              <w:spacing w:before="60" w:after="60"/>
              <w:rPr>
                <w:rFonts w:asciiTheme="majorBidi" w:hAnsiTheme="majorBidi" w:cstheme="majorBidi"/>
                <w:noProof/>
              </w:rPr>
            </w:pPr>
          </w:p>
        </w:tc>
        <w:tc>
          <w:tcPr>
            <w:tcW w:w="2943" w:type="dxa"/>
            <w:noWrap/>
            <w:hideMark/>
          </w:tcPr>
          <w:p>
            <w:pPr>
              <w:rPr>
                <w:rFonts w:asciiTheme="majorBidi" w:hAnsiTheme="majorBidi" w:cstheme="majorBidi"/>
                <w:noProof/>
              </w:rPr>
            </w:pPr>
          </w:p>
        </w:tc>
      </w:tr>
      <w:tr>
        <w:trPr>
          <w:trHeight w:val="227"/>
        </w:trPr>
        <w:tc>
          <w:tcPr>
            <w:tcW w:w="0" w:type="auto"/>
            <w:vMerge/>
            <w:tcBorders>
              <w:top w:val="nil"/>
              <w:left w:val="nil"/>
              <w:bottom w:val="single" w:sz="8" w:space="0" w:color="auto"/>
              <w:right w:val="nil"/>
            </w:tcBorders>
            <w:vAlign w:val="center"/>
            <w:hideMark/>
          </w:tcPr>
          <w:p>
            <w:pPr>
              <w:spacing w:before="0" w:after="0"/>
              <w:rPr>
                <w:rFonts w:asciiTheme="majorBidi" w:hAnsiTheme="majorBidi" w:cstheme="majorBidi"/>
                <w:b/>
                <w:bCs/>
                <w:noProof/>
                <w:szCs w:val="24"/>
                <w:vertAlign w:val="superscript"/>
              </w:rPr>
            </w:pPr>
          </w:p>
        </w:tc>
        <w:tc>
          <w:tcPr>
            <w:tcW w:w="2350" w:type="dxa"/>
            <w:noWrap/>
            <w:hideMark/>
          </w:tcPr>
          <w:p>
            <w:pPr>
              <w:spacing w:before="60" w:after="60"/>
              <w:rPr>
                <w:rFonts w:asciiTheme="majorBidi" w:hAnsiTheme="majorBidi" w:cstheme="majorBidi"/>
                <w:noProof/>
                <w:szCs w:val="24"/>
              </w:rPr>
            </w:pPr>
            <w:r>
              <w:rPr>
                <w:rFonts w:asciiTheme="majorBidi" w:hAnsiTheme="majorBidi"/>
                <w:noProof/>
              </w:rPr>
              <w:t>Portugal</w:t>
            </w:r>
          </w:p>
        </w:tc>
        <w:tc>
          <w:tcPr>
            <w:tcW w:w="1333" w:type="dxa"/>
            <w:noWrap/>
            <w:hideMark/>
          </w:tcPr>
          <w:p>
            <w:pPr>
              <w:spacing w:before="60" w:after="60"/>
              <w:jc w:val="right"/>
              <w:rPr>
                <w:noProof/>
                <w:color w:val="000000"/>
              </w:rPr>
            </w:pPr>
            <w:r>
              <w:rPr>
                <w:rFonts w:asciiTheme="majorBidi" w:hAnsiTheme="majorBidi"/>
                <w:noProof/>
                <w:color w:val="000000"/>
              </w:rPr>
              <w:t>667</w:t>
            </w:r>
          </w:p>
        </w:tc>
        <w:tc>
          <w:tcPr>
            <w:tcW w:w="1454" w:type="dxa"/>
            <w:noWrap/>
          </w:tcPr>
          <w:p>
            <w:pPr>
              <w:spacing w:before="60" w:after="60"/>
              <w:rPr>
                <w:rFonts w:asciiTheme="majorBidi" w:hAnsiTheme="majorBidi" w:cstheme="majorBidi"/>
                <w:noProof/>
              </w:rPr>
            </w:pPr>
          </w:p>
        </w:tc>
        <w:tc>
          <w:tcPr>
            <w:tcW w:w="2943" w:type="dxa"/>
            <w:noWrap/>
            <w:hideMark/>
          </w:tcPr>
          <w:p>
            <w:pPr>
              <w:rPr>
                <w:rFonts w:asciiTheme="majorBidi" w:hAnsiTheme="majorBidi" w:cstheme="majorBidi"/>
                <w:noProof/>
              </w:rPr>
            </w:pPr>
          </w:p>
        </w:tc>
      </w:tr>
      <w:tr>
        <w:trPr>
          <w:trHeight w:val="227"/>
        </w:trPr>
        <w:tc>
          <w:tcPr>
            <w:tcW w:w="0" w:type="auto"/>
            <w:vMerge/>
            <w:tcBorders>
              <w:top w:val="nil"/>
              <w:left w:val="nil"/>
              <w:bottom w:val="single" w:sz="8" w:space="0" w:color="auto"/>
              <w:right w:val="nil"/>
            </w:tcBorders>
            <w:vAlign w:val="center"/>
            <w:hideMark/>
          </w:tcPr>
          <w:p>
            <w:pPr>
              <w:spacing w:before="0" w:after="0"/>
              <w:rPr>
                <w:rFonts w:asciiTheme="majorBidi" w:hAnsiTheme="majorBidi" w:cstheme="majorBidi"/>
                <w:b/>
                <w:bCs/>
                <w:noProof/>
                <w:szCs w:val="24"/>
                <w:vertAlign w:val="superscript"/>
              </w:rPr>
            </w:pPr>
          </w:p>
        </w:tc>
        <w:tc>
          <w:tcPr>
            <w:tcW w:w="2350" w:type="dxa"/>
            <w:tcBorders>
              <w:top w:val="nil"/>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Union</w:t>
            </w:r>
          </w:p>
        </w:tc>
        <w:tc>
          <w:tcPr>
            <w:tcW w:w="1333" w:type="dxa"/>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1 176</w:t>
            </w:r>
          </w:p>
        </w:tc>
        <w:tc>
          <w:tcPr>
            <w:tcW w:w="1454"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2943" w:type="dxa"/>
            <w:tcBorders>
              <w:top w:val="nil"/>
              <w:left w:val="nil"/>
              <w:bottom w:val="single" w:sz="8" w:space="0" w:color="auto"/>
              <w:right w:val="nil"/>
            </w:tcBorders>
            <w:noWrap/>
            <w:hideMark/>
          </w:tcPr>
          <w:p>
            <w:pPr>
              <w:rPr>
                <w:rFonts w:asciiTheme="majorBidi" w:hAnsiTheme="majorBidi" w:cstheme="majorBidi"/>
                <w:noProof/>
              </w:rPr>
            </w:pPr>
          </w:p>
        </w:tc>
      </w:tr>
    </w:tbl>
    <w:p>
      <w:pPr>
        <w:pStyle w:val="Lignefinal"/>
        <w:rPr>
          <w:noProof/>
          <w:szCs w:val="22"/>
        </w:rPr>
      </w:pPr>
    </w:p>
    <w:p>
      <w:pPr>
        <w:spacing w:before="0" w:after="0"/>
        <w:rPr>
          <w:noProof/>
        </w:rPr>
        <w:sectPr>
          <w:pgSz w:w="11907" w:h="16840"/>
          <w:pgMar w:top="1134" w:right="1134" w:bottom="1134" w:left="1134" w:header="567" w:footer="567" w:gutter="0"/>
          <w:pgNumType w:start="84"/>
          <w:cols w:space="720"/>
          <w:docGrid w:linePitch="326"/>
        </w:sectPr>
      </w:pPr>
    </w:p>
    <w:p>
      <w:pPr>
        <w:jc w:val="center"/>
        <w:rPr>
          <w:b/>
          <w:noProof/>
          <w:szCs w:val="24"/>
        </w:rPr>
      </w:pPr>
      <w:r>
        <w:rPr>
          <w:b/>
          <w:noProof/>
        </w:rPr>
        <w:t>ANNEXE ID</w:t>
      </w:r>
    </w:p>
    <w:p>
      <w:pPr>
        <w:pStyle w:val="NormalCentered"/>
        <w:rPr>
          <w:noProof/>
        </w:rPr>
      </w:pPr>
      <w:r>
        <w:rPr>
          <w:noProof/>
        </w:rPr>
        <w:t>ZONE DE LA CONVENTION CICTA</w:t>
      </w:r>
    </w:p>
    <w:tbl>
      <w:tblPr>
        <w:tblW w:w="5000" w:type="pct"/>
        <w:tblLook w:val="06A0" w:firstRow="1" w:lastRow="0" w:firstColumn="1" w:lastColumn="0" w:noHBand="1" w:noVBand="1"/>
      </w:tblPr>
      <w:tblGrid>
        <w:gridCol w:w="1842"/>
        <w:gridCol w:w="1468"/>
        <w:gridCol w:w="142"/>
        <w:gridCol w:w="1269"/>
        <w:gridCol w:w="28"/>
        <w:gridCol w:w="30"/>
        <w:gridCol w:w="1234"/>
        <w:gridCol w:w="20"/>
        <w:gridCol w:w="3822"/>
      </w:tblGrid>
      <w:tr>
        <w:trPr>
          <w:trHeight w:val="227"/>
        </w:trPr>
        <w:tc>
          <w:tcPr>
            <w:tcW w:w="935" w:type="pct"/>
            <w:tcBorders>
              <w:top w:val="single" w:sz="8" w:space="0" w:color="auto"/>
              <w:left w:val="nil"/>
              <w:bottom w:val="single" w:sz="8" w:space="0" w:color="auto"/>
              <w:right w:val="nil"/>
            </w:tcBorders>
            <w:hideMark/>
          </w:tcPr>
          <w:p>
            <w:pPr>
              <w:spacing w:before="60" w:after="60"/>
              <w:rPr>
                <w:noProof/>
              </w:rPr>
            </w:pPr>
            <w:r>
              <w:rPr>
                <w:noProof/>
              </w:rPr>
              <w:t>Espèce:</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Thon rouge de l’Atlantique</w:t>
            </w:r>
          </w:p>
          <w:p>
            <w:pPr>
              <w:keepNext/>
              <w:tabs>
                <w:tab w:val="left" w:pos="850"/>
              </w:tabs>
              <w:spacing w:before="60" w:after="60"/>
              <w:ind w:left="850" w:hanging="850"/>
              <w:outlineLvl w:val="0"/>
              <w:rPr>
                <w:noProof/>
              </w:rPr>
            </w:pPr>
            <w:bookmarkStart w:id="3" w:name="_Toc26205832"/>
            <w:bookmarkStart w:id="4" w:name="_Toc26207249"/>
            <w:r>
              <w:rPr>
                <w:i/>
                <w:iCs/>
                <w:noProof/>
              </w:rPr>
              <w:t>Thunnus thynnus</w:t>
            </w:r>
            <w:bookmarkEnd w:id="3"/>
            <w:bookmarkEnd w:id="4"/>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1939" w:type="pct"/>
            <w:tcBorders>
              <w:top w:val="single" w:sz="8" w:space="0" w:color="auto"/>
              <w:left w:val="nil"/>
              <w:bottom w:val="single" w:sz="8" w:space="0" w:color="auto"/>
              <w:right w:val="nil"/>
            </w:tcBorders>
            <w:hideMark/>
          </w:tcPr>
          <w:p>
            <w:pPr>
              <w:spacing w:before="60" w:after="60"/>
              <w:rPr>
                <w:noProof/>
              </w:rPr>
            </w:pPr>
            <w:r>
              <w:rPr>
                <w:noProof/>
              </w:rPr>
              <w:t>Océan Atlantique à l’est de 45° O et Méditerranée</w:t>
            </w:r>
          </w:p>
          <w:p>
            <w:pPr>
              <w:spacing w:before="60" w:after="60"/>
              <w:rPr>
                <w:noProof/>
              </w:rPr>
            </w:pPr>
            <w:r>
              <w:rPr>
                <w:noProof/>
              </w:rPr>
              <w:t>(BFT/AE45WM)</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Chypre</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spacing w:before="60" w:after="60"/>
              <w:rPr>
                <w:b/>
                <w:bCs/>
                <w:noProof/>
                <w:vertAlign w:val="superscript"/>
              </w:rPr>
            </w:pPr>
            <w:r>
              <w:rPr>
                <w:b/>
                <w:bCs/>
                <w:noProof/>
                <w:vertAlign w:val="superscript"/>
              </w:rPr>
              <w:t>(4)</w:t>
            </w:r>
          </w:p>
        </w:tc>
        <w:tc>
          <w:tcPr>
            <w:tcW w:w="2591" w:type="pct"/>
            <w:gridSpan w:val="4"/>
            <w:vMerge w:val="restart"/>
            <w:tcBorders>
              <w:top w:val="single" w:sz="8" w:space="0" w:color="auto"/>
              <w:left w:val="nil"/>
              <w:bottom w:val="nil"/>
              <w:right w:val="nil"/>
            </w:tcBorders>
            <w:hideMark/>
          </w:tcPr>
          <w:p>
            <w:pPr>
              <w:spacing w:before="60" w:after="60"/>
              <w:rPr>
                <w:noProof/>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935" w:type="pct"/>
            <w:hideMark/>
          </w:tcPr>
          <w:p>
            <w:pPr>
              <w:spacing w:before="60" w:after="60"/>
              <w:rPr>
                <w:noProof/>
              </w:rPr>
            </w:pPr>
            <w:r>
              <w:rPr>
                <w:noProof/>
              </w:rPr>
              <w:t>Grèce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(7)</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Spain</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(2)(4)(7)</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France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 xml:space="preserve">(2)(3)(4) </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Croatie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(6)</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Italie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(4)(5)</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Malte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(4)</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Portugal</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ind w:left="-969"/>
              <w:jc w:val="center"/>
              <w:rPr>
                <w:b/>
                <w:bCs/>
                <w:noProof/>
                <w:vertAlign w:val="superscript"/>
              </w:rPr>
            </w:pPr>
            <w:r>
              <w:rPr>
                <w:b/>
                <w:bCs/>
                <w:noProof/>
                <w:vertAlign w:val="superscript"/>
              </w:rPr>
              <w:t>(7)</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Autres États membres</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(1)</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Union</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noProof/>
              </w:rPr>
            </w:pPr>
            <w:r>
              <w:rPr>
                <w:b/>
                <w:bCs/>
                <w:noProof/>
                <w:vertAlign w:val="superscript"/>
              </w:rPr>
              <w:t>(2)(3)(4)(5)</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Quantité supplémentaire spéciale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(7)</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TAC</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b/>
                <w:bCs/>
                <w:noProof/>
                <w:vertAlign w:val="superscript"/>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pageBreakBefore/>
              <w:spacing w:before="60" w:after="60"/>
              <w:rPr>
                <w:b/>
                <w:bCs/>
                <w:noProof/>
                <w:vertAlign w:val="superscript"/>
              </w:rPr>
            </w:pPr>
            <w:r>
              <w:rPr>
                <w:b/>
                <w:bCs/>
                <w:noProof/>
                <w:vertAlign w:val="superscript"/>
              </w:rPr>
              <w:t>(1)</w:t>
            </w:r>
          </w:p>
        </w:tc>
        <w:tc>
          <w:tcPr>
            <w:tcW w:w="4065" w:type="pct"/>
            <w:gridSpan w:val="8"/>
            <w:hideMark/>
          </w:tcPr>
          <w:p>
            <w:pPr>
              <w:spacing w:before="60" w:after="60"/>
              <w:rPr>
                <w:noProof/>
              </w:rPr>
            </w:pPr>
            <w:r>
              <w:rPr>
                <w:noProof/>
              </w:rPr>
              <w:t>À l’exception de Chypre, de la Grèce, de l’Espagne, de la France, de la Croatie, de l’Italie, de Malte et du Portugal, et prises accessoires exclusivement. Les captures à imputer sur ce quota partagé sont déclarées séparément (BFT/AE45WM_AMS).</w:t>
            </w:r>
          </w:p>
        </w:tc>
      </w:tr>
      <w:tr>
        <w:trPr>
          <w:trHeight w:val="227"/>
        </w:trPr>
        <w:tc>
          <w:tcPr>
            <w:tcW w:w="935" w:type="pct"/>
            <w:vMerge w:val="restart"/>
            <w:hideMark/>
          </w:tcPr>
          <w:p>
            <w:pPr>
              <w:spacing w:before="60" w:after="60"/>
              <w:jc w:val="right"/>
              <w:rPr>
                <w:b/>
                <w:bCs/>
                <w:noProof/>
                <w:vertAlign w:val="superscript"/>
              </w:rPr>
            </w:pPr>
            <w:r>
              <w:rPr>
                <w:b/>
                <w:bCs/>
                <w:noProof/>
                <w:vertAlign w:val="superscript"/>
              </w:rPr>
              <w:t>(2)</w:t>
            </w:r>
          </w:p>
        </w:tc>
        <w:tc>
          <w:tcPr>
            <w:tcW w:w="4065" w:type="pct"/>
            <w:gridSpan w:val="8"/>
            <w:hideMark/>
          </w:tcPr>
          <w:p>
            <w:pPr>
              <w:spacing w:before="60" w:after="60"/>
              <w:rPr>
                <w:noProof/>
              </w:rPr>
            </w:pPr>
            <w:r>
              <w:rPr>
                <w:noProof/>
              </w:rPr>
              <w:t>Condition particulière: dans le cadre de ce quota, les captures, par les navires visés à l’annexe VI, point 1, de thons rouges de l’Atlantique pesant entre 8 kg et 30 kg ou mesurant entre 75 cm et 115 cm sont limitées et réparties entre les États membres comme indiqué ci-dessous (BFT/*8301):</w:t>
            </w: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rPr>
            </w:pPr>
            <w:r>
              <w:rPr>
                <w:noProof/>
              </w:rPr>
              <w:t xml:space="preserve">Spain </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France</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Union</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935" w:type="pct"/>
            <w:vMerge w:val="restart"/>
            <w:hideMark/>
          </w:tcPr>
          <w:p>
            <w:pPr>
              <w:spacing w:before="60" w:after="60"/>
              <w:jc w:val="right"/>
              <w:rPr>
                <w:b/>
                <w:bCs/>
                <w:noProof/>
                <w:szCs w:val="24"/>
                <w:vertAlign w:val="superscript"/>
              </w:rPr>
            </w:pPr>
            <w:r>
              <w:rPr>
                <w:b/>
                <w:bCs/>
                <w:noProof/>
                <w:vertAlign w:val="superscript"/>
              </w:rPr>
              <w:t>(3)</w:t>
            </w:r>
          </w:p>
        </w:tc>
        <w:tc>
          <w:tcPr>
            <w:tcW w:w="4065" w:type="pct"/>
            <w:gridSpan w:val="8"/>
            <w:hideMark/>
          </w:tcPr>
          <w:p>
            <w:pPr>
              <w:spacing w:before="60" w:after="60"/>
              <w:rPr>
                <w:noProof/>
              </w:rPr>
            </w:pPr>
            <w:r>
              <w:rPr>
                <w:noProof/>
              </w:rPr>
              <w:t>Condition particulière: dans le cadre de ce quota, les captures, par les navires visés à l’annexe VI, point 1, de thons rouges de l’Atlantique pesant au minimum 6,4 kg ou mesurant au minimum 70 cm sont limitées et réparties entre les États membres comme indiqué ci-dessous (BFT/*641):</w:t>
            </w: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rPr>
            </w:pPr>
            <w:r>
              <w:rPr>
                <w:noProof/>
              </w:rPr>
              <w:t>France</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 xml:space="preserve">Union </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935" w:type="pct"/>
            <w:vMerge w:val="restart"/>
            <w:hideMark/>
          </w:tcPr>
          <w:p>
            <w:pPr>
              <w:spacing w:before="60" w:after="60"/>
              <w:jc w:val="right"/>
              <w:rPr>
                <w:b/>
                <w:bCs/>
                <w:noProof/>
                <w:szCs w:val="24"/>
                <w:vertAlign w:val="superscript"/>
              </w:rPr>
            </w:pPr>
            <w:r>
              <w:rPr>
                <w:b/>
                <w:bCs/>
                <w:noProof/>
                <w:vertAlign w:val="superscript"/>
              </w:rPr>
              <w:t>(4)</w:t>
            </w:r>
          </w:p>
        </w:tc>
        <w:tc>
          <w:tcPr>
            <w:tcW w:w="4065" w:type="pct"/>
            <w:gridSpan w:val="8"/>
            <w:hideMark/>
          </w:tcPr>
          <w:p>
            <w:pPr>
              <w:spacing w:before="60" w:after="60"/>
              <w:rPr>
                <w:noProof/>
              </w:rPr>
            </w:pPr>
            <w:r>
              <w:rPr>
                <w:noProof/>
              </w:rPr>
              <w:t>Condition particulière: dans le cadre de ce quota, les captures, par les navires visés à l’annexe VI, point 2, de thons rouges de l’Atlantique pesant entre 8 kg et 30 kg ou mesurant entre 75 cm et 115 cm sont limitées et réparties entre les États membres comme indiqué ci-dessous (BFT/*8302):</w:t>
            </w: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rPr>
            </w:pPr>
            <w:r>
              <w:rPr>
                <w:noProof/>
              </w:rPr>
              <w:t>Spain</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France</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Italie</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Chypre</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 xml:space="preserve">Malte </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Union</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935" w:type="pct"/>
            <w:vMerge w:val="restart"/>
            <w:hideMark/>
          </w:tcPr>
          <w:p>
            <w:pPr>
              <w:pageBreakBefore/>
              <w:spacing w:before="60" w:after="60"/>
              <w:rPr>
                <w:b/>
                <w:bCs/>
                <w:noProof/>
                <w:szCs w:val="24"/>
                <w:vertAlign w:val="superscript"/>
              </w:rPr>
            </w:pPr>
            <w:r>
              <w:rPr>
                <w:b/>
                <w:bCs/>
                <w:noProof/>
                <w:vertAlign w:val="superscript"/>
              </w:rPr>
              <w:t>(5)</w:t>
            </w:r>
          </w:p>
        </w:tc>
        <w:tc>
          <w:tcPr>
            <w:tcW w:w="4065" w:type="pct"/>
            <w:gridSpan w:val="8"/>
            <w:hideMark/>
          </w:tcPr>
          <w:p>
            <w:pPr>
              <w:spacing w:before="60" w:after="60"/>
              <w:rPr>
                <w:noProof/>
              </w:rPr>
            </w:pPr>
            <w:r>
              <w:rPr>
                <w:noProof/>
              </w:rPr>
              <w:t>Condition particulière: dans le cadre de ce quota, les captures, par les navires visés à l’annexe VI, point 3, de thons rouges de l’Atlantique pesant entre 8 kg et 30 kg ou mesurant entre 75 cm et 115 cm sont limitées et réparties entre les États membres comme indiqué ci-dessous (BFT/*643):</w:t>
            </w: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rPr>
            </w:pPr>
            <w:r>
              <w:rPr>
                <w:noProof/>
              </w:rPr>
              <w:t>Italie</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Union</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935" w:type="pct"/>
            <w:vMerge w:val="restart"/>
            <w:hideMark/>
          </w:tcPr>
          <w:p>
            <w:pPr>
              <w:spacing w:before="60" w:after="60"/>
              <w:jc w:val="right"/>
              <w:rPr>
                <w:b/>
                <w:bCs/>
                <w:noProof/>
                <w:szCs w:val="24"/>
                <w:vertAlign w:val="superscript"/>
              </w:rPr>
            </w:pPr>
            <w:r>
              <w:rPr>
                <w:b/>
                <w:bCs/>
                <w:noProof/>
                <w:vertAlign w:val="superscript"/>
              </w:rPr>
              <w:t>(6)</w:t>
            </w:r>
          </w:p>
        </w:tc>
        <w:tc>
          <w:tcPr>
            <w:tcW w:w="4065" w:type="pct"/>
            <w:gridSpan w:val="8"/>
            <w:hideMark/>
          </w:tcPr>
          <w:p>
            <w:pPr>
              <w:spacing w:before="60" w:after="60"/>
              <w:rPr>
                <w:noProof/>
              </w:rPr>
            </w:pPr>
            <w:r>
              <w:rPr>
                <w:noProof/>
              </w:rPr>
              <w:t>Condition particulière: dans le cadre de ce quota, les captures, par les navires visés à l’annexe VI, point 3, à des fins d’élevage, de thons rouges de l’Atlantique pesant entre 8 kg et 30 kg ou mesurant entre 75 cm et 115 cm sont limitées et réparties entre les États membres comme indiqué ci-dessous (BFT/*8303F):</w:t>
            </w: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rPr>
            </w:pPr>
            <w:r>
              <w:rPr>
                <w:noProof/>
              </w:rPr>
              <w:t>Croatie</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Union</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935" w:type="pct"/>
            <w:vMerge w:val="restart"/>
            <w:tcBorders>
              <w:top w:val="nil"/>
              <w:left w:val="nil"/>
              <w:bottom w:val="single" w:sz="4" w:space="0" w:color="auto"/>
              <w:right w:val="nil"/>
            </w:tcBorders>
            <w:hideMark/>
          </w:tcPr>
          <w:p>
            <w:pPr>
              <w:spacing w:before="60" w:after="60"/>
              <w:jc w:val="right"/>
              <w:rPr>
                <w:noProof/>
                <w:szCs w:val="24"/>
              </w:rPr>
            </w:pPr>
            <w:r>
              <w:rPr>
                <w:b/>
                <w:bCs/>
                <w:noProof/>
                <w:vertAlign w:val="superscript"/>
              </w:rPr>
              <w:t>(7)</w:t>
            </w:r>
          </w:p>
        </w:tc>
        <w:tc>
          <w:tcPr>
            <w:tcW w:w="4065" w:type="pct"/>
            <w:gridSpan w:val="8"/>
            <w:hideMark/>
          </w:tcPr>
          <w:p>
            <w:pPr>
              <w:spacing w:before="60" w:after="60"/>
              <w:rPr>
                <w:noProof/>
              </w:rPr>
            </w:pPr>
            <w:r>
              <w:rPr>
                <w:noProof/>
              </w:rPr>
              <w:t>Comme convenu lors de la réunion annuelle de la CICTA en 2018, l’Union européenne recevra en 2020, outre le quota réparti de 19 360 tonnes, une quantité supplémentaire de 100 tonnes exclusivement réservée à la pêche artisanale dans certains archipels en Grèce (îles ioniennes), en Espagne (îles Canaries) et au Portugal (Açores et Madère). Cette quantité supplémentaire est répartie entre les États membres concernés comme suit (BFT/AVARCH):</w:t>
            </w: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rPr>
            </w:pPr>
          </w:p>
        </w:tc>
        <w:tc>
          <w:tcPr>
            <w:tcW w:w="745" w:type="pct"/>
            <w:hideMark/>
          </w:tcPr>
          <w:p>
            <w:pPr>
              <w:spacing w:before="60" w:after="60"/>
              <w:rPr>
                <w:noProof/>
              </w:rPr>
            </w:pPr>
            <w:r>
              <w:rPr>
                <w:noProof/>
              </w:rPr>
              <w:t>Grèce</w:t>
            </w:r>
          </w:p>
        </w:tc>
        <w:tc>
          <w:tcPr>
            <w:tcW w:w="716" w:type="pct"/>
            <w:gridSpan w:val="2"/>
            <w:hideMark/>
          </w:tcPr>
          <w:p>
            <w:pPr>
              <w:spacing w:before="60" w:after="60"/>
              <w:jc w:val="right"/>
              <w:rPr>
                <w:noProof/>
              </w:rPr>
            </w:pPr>
            <w:r>
              <w:rPr>
                <w:rFonts w:asciiTheme="majorBidi" w:hAnsiTheme="majorBidi"/>
                <w:noProof/>
                <w:color w:val="000000"/>
              </w:rPr>
              <w:t>p.m.</w:t>
            </w:r>
          </w:p>
        </w:tc>
        <w:tc>
          <w:tcPr>
            <w:tcW w:w="2605" w:type="pct"/>
            <w:gridSpan w:val="5"/>
          </w:tcPr>
          <w:p>
            <w:pPr>
              <w:spacing w:before="60" w:after="60"/>
              <w:rPr>
                <w:noProof/>
              </w:rPr>
            </w:pP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rPr>
            </w:pPr>
          </w:p>
        </w:tc>
        <w:tc>
          <w:tcPr>
            <w:tcW w:w="745" w:type="pct"/>
            <w:hideMark/>
          </w:tcPr>
          <w:p>
            <w:pPr>
              <w:spacing w:before="60" w:after="60"/>
              <w:rPr>
                <w:noProof/>
              </w:rPr>
            </w:pPr>
            <w:r>
              <w:rPr>
                <w:noProof/>
              </w:rPr>
              <w:t>Spain</w:t>
            </w:r>
          </w:p>
        </w:tc>
        <w:tc>
          <w:tcPr>
            <w:tcW w:w="716" w:type="pct"/>
            <w:gridSpan w:val="2"/>
            <w:hideMark/>
          </w:tcPr>
          <w:p>
            <w:pPr>
              <w:spacing w:before="60" w:after="60"/>
              <w:jc w:val="right"/>
              <w:rPr>
                <w:noProof/>
              </w:rPr>
            </w:pPr>
            <w:r>
              <w:rPr>
                <w:rFonts w:asciiTheme="majorBidi" w:hAnsiTheme="majorBidi"/>
                <w:noProof/>
                <w:color w:val="000000"/>
              </w:rPr>
              <w:t>p.m.</w:t>
            </w:r>
          </w:p>
        </w:tc>
        <w:tc>
          <w:tcPr>
            <w:tcW w:w="2605" w:type="pct"/>
            <w:gridSpan w:val="5"/>
          </w:tcPr>
          <w:p>
            <w:pPr>
              <w:spacing w:before="60" w:after="60"/>
              <w:rPr>
                <w:noProof/>
              </w:rPr>
            </w:pP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rPr>
            </w:pPr>
          </w:p>
        </w:tc>
        <w:tc>
          <w:tcPr>
            <w:tcW w:w="745" w:type="pct"/>
            <w:hideMark/>
          </w:tcPr>
          <w:p>
            <w:pPr>
              <w:spacing w:before="60" w:after="60"/>
              <w:rPr>
                <w:noProof/>
              </w:rPr>
            </w:pPr>
            <w:r>
              <w:rPr>
                <w:noProof/>
              </w:rPr>
              <w:t>Portugal</w:t>
            </w:r>
          </w:p>
        </w:tc>
        <w:tc>
          <w:tcPr>
            <w:tcW w:w="716" w:type="pct"/>
            <w:gridSpan w:val="2"/>
            <w:hideMark/>
          </w:tcPr>
          <w:p>
            <w:pPr>
              <w:spacing w:before="60" w:after="60"/>
              <w:jc w:val="right"/>
              <w:rPr>
                <w:noProof/>
              </w:rPr>
            </w:pPr>
            <w:r>
              <w:rPr>
                <w:rFonts w:asciiTheme="majorBidi" w:hAnsiTheme="majorBidi"/>
                <w:noProof/>
                <w:color w:val="000000"/>
              </w:rPr>
              <w:t>p.m.</w:t>
            </w:r>
          </w:p>
        </w:tc>
        <w:tc>
          <w:tcPr>
            <w:tcW w:w="2605" w:type="pct"/>
            <w:gridSpan w:val="5"/>
          </w:tcPr>
          <w:p>
            <w:pPr>
              <w:spacing w:before="60" w:after="60"/>
              <w:rPr>
                <w:noProof/>
              </w:rPr>
            </w:pP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rPr>
            </w:pPr>
          </w:p>
        </w:tc>
        <w:tc>
          <w:tcPr>
            <w:tcW w:w="745" w:type="pct"/>
            <w:tcBorders>
              <w:top w:val="nil"/>
              <w:left w:val="nil"/>
              <w:bottom w:val="single" w:sz="4" w:space="0" w:color="auto"/>
              <w:right w:val="nil"/>
            </w:tcBorders>
            <w:hideMark/>
          </w:tcPr>
          <w:p>
            <w:pPr>
              <w:spacing w:before="60" w:after="60"/>
              <w:rPr>
                <w:noProof/>
              </w:rPr>
            </w:pPr>
            <w:r>
              <w:rPr>
                <w:noProof/>
              </w:rPr>
              <w:t>Union</w:t>
            </w:r>
          </w:p>
        </w:tc>
        <w:tc>
          <w:tcPr>
            <w:tcW w:w="716" w:type="pct"/>
            <w:gridSpan w:val="2"/>
            <w:tcBorders>
              <w:top w:val="nil"/>
              <w:left w:val="nil"/>
              <w:bottom w:val="single" w:sz="4" w:space="0" w:color="auto"/>
              <w:right w:val="nil"/>
            </w:tcBorders>
            <w:hideMark/>
          </w:tcPr>
          <w:p>
            <w:pPr>
              <w:spacing w:before="60" w:after="60"/>
              <w:jc w:val="right"/>
              <w:rPr>
                <w:noProof/>
              </w:rPr>
            </w:pPr>
            <w:r>
              <w:rPr>
                <w:rFonts w:asciiTheme="majorBidi" w:hAnsiTheme="majorBidi"/>
                <w:noProof/>
                <w:color w:val="000000"/>
              </w:rPr>
              <w:t>p.m.</w:t>
            </w:r>
          </w:p>
        </w:tc>
        <w:tc>
          <w:tcPr>
            <w:tcW w:w="2605" w:type="pct"/>
            <w:gridSpan w:val="5"/>
            <w:tcBorders>
              <w:top w:val="nil"/>
              <w:left w:val="nil"/>
              <w:bottom w:val="single" w:sz="4" w:space="0" w:color="auto"/>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rPr>
            </w:pPr>
            <w:r>
              <w:rPr>
                <w:noProof/>
              </w:rPr>
              <w:br w:type="page"/>
              <w:t>Espèce:</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Espadon</w:t>
            </w:r>
          </w:p>
          <w:p>
            <w:pPr>
              <w:keepNext/>
              <w:tabs>
                <w:tab w:val="left" w:pos="850"/>
              </w:tabs>
              <w:spacing w:before="60" w:after="60"/>
              <w:ind w:left="850" w:hanging="850"/>
              <w:outlineLvl w:val="0"/>
              <w:rPr>
                <w:noProof/>
              </w:rPr>
            </w:pPr>
            <w:bookmarkStart w:id="5" w:name="_Toc26205833"/>
            <w:bookmarkStart w:id="6" w:name="_Toc26207250"/>
            <w:r>
              <w:rPr>
                <w:i/>
                <w:iCs/>
                <w:noProof/>
              </w:rPr>
              <w:t>Xiphias gladius</w:t>
            </w:r>
            <w:bookmarkEnd w:id="5"/>
            <w:bookmarkEnd w:id="6"/>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1939" w:type="pct"/>
            <w:tcBorders>
              <w:top w:val="single" w:sz="8" w:space="0" w:color="auto"/>
              <w:left w:val="nil"/>
              <w:bottom w:val="single" w:sz="8" w:space="0" w:color="auto"/>
              <w:right w:val="nil"/>
            </w:tcBorders>
            <w:hideMark/>
          </w:tcPr>
          <w:p>
            <w:pPr>
              <w:spacing w:before="60" w:after="60"/>
              <w:rPr>
                <w:noProof/>
              </w:rPr>
            </w:pPr>
            <w:r>
              <w:rPr>
                <w:noProof/>
              </w:rPr>
              <w:t>Océan Atlantique, au nord de 5° N</w:t>
            </w:r>
          </w:p>
          <w:p>
            <w:pPr>
              <w:spacing w:before="60" w:after="60"/>
              <w:rPr>
                <w:noProof/>
              </w:rPr>
            </w:pPr>
            <w:r>
              <w:rPr>
                <w:noProof/>
              </w:rPr>
              <w:t>(SWO/AN05N)</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Spain</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spacing w:before="60" w:after="60"/>
              <w:rPr>
                <w:b/>
                <w:bCs/>
                <w:noProof/>
                <w:vertAlign w:val="superscript"/>
              </w:rPr>
            </w:pPr>
            <w:r>
              <w:rPr>
                <w:b/>
                <w:bCs/>
                <w:noProof/>
                <w:vertAlign w:val="superscript"/>
              </w:rPr>
              <w:t>(2)</w:t>
            </w:r>
          </w:p>
        </w:tc>
        <w:tc>
          <w:tcPr>
            <w:tcW w:w="2591" w:type="pct"/>
            <w:gridSpan w:val="4"/>
            <w:vMerge w:val="restart"/>
            <w:tcBorders>
              <w:top w:val="single" w:sz="8" w:space="0" w:color="auto"/>
              <w:left w:val="nil"/>
              <w:bottom w:val="nil"/>
              <w:right w:val="nil"/>
            </w:tcBorders>
            <w:hideMark/>
          </w:tcPr>
          <w:p>
            <w:pPr>
              <w:spacing w:before="60" w:after="60"/>
              <w:rPr>
                <w:noProof/>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935" w:type="pct"/>
            <w:hideMark/>
          </w:tcPr>
          <w:p>
            <w:pPr>
              <w:spacing w:before="60" w:after="60"/>
              <w:rPr>
                <w:noProof/>
              </w:rPr>
            </w:pPr>
            <w:r>
              <w:rPr>
                <w:noProof/>
              </w:rPr>
              <w:t>Portugal</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(2)(3)</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Autres États membres</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(1)(2)</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Union</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noProof/>
              </w:rPr>
            </w:pPr>
            <w:r>
              <w:rPr>
                <w:b/>
                <w:bCs/>
                <w:noProof/>
                <w:vertAlign w:val="superscript"/>
              </w:rPr>
              <w:t>(4)</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TAC</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jc w:val="right"/>
              <w:rPr>
                <w:b/>
                <w:bCs/>
                <w:noProof/>
                <w:vertAlign w:val="superscript"/>
              </w:rPr>
            </w:pPr>
            <w:r>
              <w:rPr>
                <w:b/>
                <w:bCs/>
                <w:noProof/>
                <w:vertAlign w:val="superscript"/>
              </w:rPr>
              <w:t>(1)</w:t>
            </w:r>
          </w:p>
        </w:tc>
        <w:tc>
          <w:tcPr>
            <w:tcW w:w="4065" w:type="pct"/>
            <w:gridSpan w:val="8"/>
            <w:hideMark/>
          </w:tcPr>
          <w:p>
            <w:pPr>
              <w:spacing w:before="60" w:after="60"/>
              <w:rPr>
                <w:noProof/>
              </w:rPr>
            </w:pPr>
            <w:r>
              <w:rPr>
                <w:noProof/>
              </w:rPr>
              <w:t>À l’exception de l’Espagne et du Portugal, et prises accessoires exclusivement. Les captures à imputer sur ce quota partagé sont déclarées séparément (SWO/AN05N_AMS).</w:t>
            </w:r>
          </w:p>
        </w:tc>
      </w:tr>
      <w:tr>
        <w:trPr>
          <w:trHeight w:val="227"/>
        </w:trPr>
        <w:tc>
          <w:tcPr>
            <w:tcW w:w="935" w:type="pct"/>
            <w:hideMark/>
          </w:tcPr>
          <w:p>
            <w:pPr>
              <w:spacing w:before="60" w:after="60"/>
              <w:jc w:val="right"/>
              <w:rPr>
                <w:b/>
                <w:bCs/>
                <w:noProof/>
                <w:vertAlign w:val="superscript"/>
              </w:rPr>
            </w:pPr>
            <w:r>
              <w:rPr>
                <w:b/>
                <w:bCs/>
                <w:noProof/>
                <w:vertAlign w:val="superscript"/>
              </w:rPr>
              <w:t>(2)</w:t>
            </w:r>
          </w:p>
        </w:tc>
        <w:tc>
          <w:tcPr>
            <w:tcW w:w="4065" w:type="pct"/>
            <w:gridSpan w:val="8"/>
            <w:hideMark/>
          </w:tcPr>
          <w:p>
            <w:pPr>
              <w:spacing w:before="60" w:after="60"/>
              <w:rPr>
                <w:noProof/>
              </w:rPr>
            </w:pPr>
            <w:r>
              <w:rPr>
                <w:noProof/>
              </w:rPr>
              <w:t>Condition particulière: il est possible de pêcher jusqu’à 2,39 % de cette quantité dans l’océan Atlantique, au sud de 5° N (SWO/*AS05N). Les captures à imputer sur la condition particulière de ce quota partagé sont déclarées séparément (SWO/*AS05N_AMS).</w:t>
            </w:r>
          </w:p>
        </w:tc>
      </w:tr>
      <w:tr>
        <w:trPr>
          <w:trHeight w:val="227"/>
        </w:trPr>
        <w:tc>
          <w:tcPr>
            <w:tcW w:w="935" w:type="pct"/>
            <w:hideMark/>
          </w:tcPr>
          <w:p>
            <w:pPr>
              <w:spacing w:before="60" w:after="60"/>
              <w:jc w:val="right"/>
              <w:rPr>
                <w:b/>
                <w:bCs/>
                <w:noProof/>
                <w:vertAlign w:val="superscript"/>
              </w:rPr>
            </w:pPr>
            <w:r>
              <w:rPr>
                <w:b/>
                <w:bCs/>
                <w:noProof/>
                <w:vertAlign w:val="superscript"/>
              </w:rPr>
              <w:t>(3)</w:t>
            </w:r>
          </w:p>
        </w:tc>
        <w:tc>
          <w:tcPr>
            <w:tcW w:w="4065" w:type="pct"/>
            <w:gridSpan w:val="8"/>
            <w:hideMark/>
          </w:tcPr>
          <w:p>
            <w:pPr>
              <w:spacing w:before="60" w:after="60"/>
              <w:rPr>
                <w:noProof/>
              </w:rPr>
            </w:pPr>
            <w:r>
              <w:rPr>
                <w:noProof/>
              </w:rPr>
              <w:t>36,34 tonnes ont été allouées au Portugal pour compenser une double déduction en 2018.</w:t>
            </w: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rPr>
            </w:pPr>
            <w:r>
              <w:rPr>
                <w:b/>
                <w:bCs/>
                <w:noProof/>
                <w:vertAlign w:val="superscript"/>
              </w:rPr>
              <w:t>(4)</w:t>
            </w:r>
          </w:p>
        </w:tc>
        <w:tc>
          <w:tcPr>
            <w:tcW w:w="4065" w:type="pct"/>
            <w:gridSpan w:val="8"/>
            <w:tcBorders>
              <w:top w:val="nil"/>
              <w:left w:val="nil"/>
              <w:bottom w:val="single" w:sz="8" w:space="0" w:color="auto"/>
              <w:right w:val="nil"/>
            </w:tcBorders>
            <w:hideMark/>
          </w:tcPr>
          <w:p>
            <w:pPr>
              <w:spacing w:before="60" w:after="60"/>
              <w:rPr>
                <w:noProof/>
              </w:rPr>
            </w:pPr>
            <w:r>
              <w:rPr>
                <w:noProof/>
              </w:rPr>
              <w:t>Après transfert de 40 tonnes à Saint-Pierre-et-Miquelon (Recommandation CICTA 17-02).</w:t>
            </w:r>
          </w:p>
        </w:tc>
      </w:tr>
      <w:tr>
        <w:trPr>
          <w:trHeight w:val="227"/>
        </w:trPr>
        <w:tc>
          <w:tcPr>
            <w:tcW w:w="5000" w:type="pct"/>
            <w:gridSpan w:val="9"/>
            <w:tcBorders>
              <w:top w:val="nil"/>
              <w:left w:val="nil"/>
              <w:bottom w:val="single" w:sz="8" w:space="0" w:color="auto"/>
              <w:right w:val="nil"/>
            </w:tcBorders>
            <w:hideMark/>
          </w:tcPr>
          <w:p>
            <w:pPr>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szCs w:val="24"/>
              </w:rPr>
            </w:pPr>
            <w:r>
              <w:rPr>
                <w:noProof/>
              </w:rPr>
              <w:t>Espèce:</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Espadon</w:t>
            </w:r>
          </w:p>
          <w:p>
            <w:pPr>
              <w:keepNext/>
              <w:tabs>
                <w:tab w:val="left" w:pos="850"/>
              </w:tabs>
              <w:spacing w:before="60" w:after="60"/>
              <w:ind w:left="850" w:hanging="850"/>
              <w:outlineLvl w:val="0"/>
              <w:rPr>
                <w:noProof/>
              </w:rPr>
            </w:pPr>
            <w:bookmarkStart w:id="7" w:name="_Toc26205834"/>
            <w:bookmarkStart w:id="8" w:name="_Toc26207251"/>
            <w:r>
              <w:rPr>
                <w:i/>
                <w:iCs/>
                <w:noProof/>
              </w:rPr>
              <w:t>Xiphias gladius</w:t>
            </w:r>
            <w:bookmarkEnd w:id="7"/>
            <w:bookmarkEnd w:id="8"/>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1939" w:type="pct"/>
            <w:tcBorders>
              <w:top w:val="single" w:sz="8" w:space="0" w:color="auto"/>
              <w:left w:val="nil"/>
              <w:bottom w:val="single" w:sz="8" w:space="0" w:color="auto"/>
              <w:right w:val="nil"/>
            </w:tcBorders>
            <w:hideMark/>
          </w:tcPr>
          <w:p>
            <w:pPr>
              <w:spacing w:before="60" w:after="60"/>
              <w:rPr>
                <w:noProof/>
              </w:rPr>
            </w:pPr>
            <w:r>
              <w:rPr>
                <w:noProof/>
              </w:rPr>
              <w:t>Océan Atlantique, au sud de 5° N</w:t>
            </w:r>
          </w:p>
          <w:p>
            <w:pPr>
              <w:spacing w:before="60" w:after="60"/>
              <w:rPr>
                <w:noProof/>
              </w:rPr>
            </w:pPr>
            <w:r>
              <w:rPr>
                <w:noProof/>
              </w:rPr>
              <w:t>(SWO/AS05N)</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Spain</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spacing w:before="60" w:after="60"/>
              <w:rPr>
                <w:b/>
                <w:bCs/>
                <w:noProof/>
                <w:vertAlign w:val="superscript"/>
              </w:rPr>
            </w:pPr>
            <w:r>
              <w:rPr>
                <w:b/>
                <w:bCs/>
                <w:noProof/>
                <w:vertAlign w:val="superscript"/>
              </w:rPr>
              <w:t>(1)</w:t>
            </w:r>
          </w:p>
        </w:tc>
        <w:tc>
          <w:tcPr>
            <w:tcW w:w="2591" w:type="pct"/>
            <w:gridSpan w:val="4"/>
            <w:vMerge w:val="restart"/>
            <w:tcBorders>
              <w:top w:val="single" w:sz="8" w:space="0" w:color="auto"/>
              <w:left w:val="nil"/>
              <w:bottom w:val="nil"/>
              <w:right w:val="nil"/>
            </w:tcBorders>
            <w:hideMark/>
          </w:tcPr>
          <w:p>
            <w:pPr>
              <w:spacing w:before="60" w:after="60"/>
              <w:rPr>
                <w:noProof/>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935" w:type="pct"/>
            <w:hideMark/>
          </w:tcPr>
          <w:p>
            <w:pPr>
              <w:spacing w:before="60" w:after="60"/>
              <w:rPr>
                <w:noProof/>
              </w:rPr>
            </w:pPr>
            <w:r>
              <w:rPr>
                <w:noProof/>
              </w:rPr>
              <w:t>Portugal</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(1)</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Union</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rPr>
                <w:noProof/>
                <w:color w:val="000000"/>
                <w:lang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szCs w:val="24"/>
              </w:rPr>
            </w:pPr>
            <w:r>
              <w:rPr>
                <w:noProof/>
              </w:rPr>
              <w:t>TAC</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rPr>
            </w:pPr>
            <w:r>
              <w:rPr>
                <w:b/>
                <w:bCs/>
                <w:noProof/>
                <w:vertAlign w:val="superscript"/>
              </w:rPr>
              <w:t>(1)</w:t>
            </w:r>
          </w:p>
        </w:tc>
        <w:tc>
          <w:tcPr>
            <w:tcW w:w="4065" w:type="pct"/>
            <w:gridSpan w:val="8"/>
            <w:tcBorders>
              <w:top w:val="nil"/>
              <w:left w:val="nil"/>
              <w:bottom w:val="single" w:sz="8" w:space="0" w:color="auto"/>
              <w:right w:val="nil"/>
            </w:tcBorders>
            <w:hideMark/>
          </w:tcPr>
          <w:p>
            <w:pPr>
              <w:spacing w:before="60" w:after="60"/>
              <w:rPr>
                <w:noProof/>
              </w:rPr>
            </w:pPr>
            <w:r>
              <w:rPr>
                <w:noProof/>
              </w:rPr>
              <w:t>Condition particulière: il est possible de pêcher jusqu’à 3,51 % de cette quantité dans l’océan Atlantique, au nord de 5° N (SWO/*AS05N).</w:t>
            </w:r>
          </w:p>
        </w:tc>
      </w:tr>
      <w:tr>
        <w:trPr>
          <w:trHeight w:val="227"/>
        </w:trPr>
        <w:tc>
          <w:tcPr>
            <w:tcW w:w="5000" w:type="pct"/>
            <w:gridSpan w:val="9"/>
            <w:tcBorders>
              <w:top w:val="nil"/>
              <w:left w:val="nil"/>
              <w:bottom w:val="single" w:sz="4" w:space="0" w:color="auto"/>
              <w:right w:val="nil"/>
            </w:tcBorders>
            <w:hideMark/>
          </w:tcPr>
          <w:p>
            <w:pPr>
              <w:rPr>
                <w:noProof/>
              </w:rPr>
            </w:pPr>
          </w:p>
        </w:tc>
      </w:tr>
      <w:tr>
        <w:trPr>
          <w:trHeight w:val="227"/>
        </w:trPr>
        <w:tc>
          <w:tcPr>
            <w:tcW w:w="935" w:type="pct"/>
            <w:tcBorders>
              <w:top w:val="single" w:sz="4" w:space="0" w:color="auto"/>
              <w:left w:val="nil"/>
              <w:bottom w:val="single" w:sz="4" w:space="0" w:color="auto"/>
              <w:right w:val="nil"/>
            </w:tcBorders>
            <w:hideMark/>
          </w:tcPr>
          <w:p>
            <w:pPr>
              <w:pageBreakBefore/>
              <w:spacing w:before="60" w:after="60"/>
              <w:rPr>
                <w:noProof/>
                <w:szCs w:val="24"/>
              </w:rPr>
            </w:pPr>
            <w:r>
              <w:rPr>
                <w:noProof/>
              </w:rPr>
              <w:t>Espèce:</w:t>
            </w:r>
          </w:p>
        </w:tc>
        <w:tc>
          <w:tcPr>
            <w:tcW w:w="1475" w:type="pct"/>
            <w:gridSpan w:val="4"/>
            <w:tcBorders>
              <w:top w:val="single" w:sz="4" w:space="0" w:color="auto"/>
              <w:left w:val="nil"/>
              <w:bottom w:val="single" w:sz="4" w:space="0" w:color="auto"/>
              <w:right w:val="single" w:sz="4" w:space="0" w:color="auto"/>
            </w:tcBorders>
            <w:hideMark/>
          </w:tcPr>
          <w:p>
            <w:pPr>
              <w:spacing w:before="60" w:after="60"/>
              <w:rPr>
                <w:noProof/>
              </w:rPr>
            </w:pPr>
            <w:r>
              <w:rPr>
                <w:noProof/>
              </w:rPr>
              <w:t>Espadon</w:t>
            </w:r>
          </w:p>
          <w:p>
            <w:pPr>
              <w:spacing w:before="60" w:after="60"/>
              <w:rPr>
                <w:i/>
                <w:iCs/>
                <w:noProof/>
              </w:rPr>
            </w:pPr>
            <w:r>
              <w:rPr>
                <w:i/>
                <w:iCs/>
                <w:noProof/>
              </w:rPr>
              <w:t>Xiphias gladius</w:t>
            </w:r>
          </w:p>
        </w:tc>
        <w:tc>
          <w:tcPr>
            <w:tcW w:w="651" w:type="pct"/>
            <w:gridSpan w:val="3"/>
            <w:tcBorders>
              <w:top w:val="single" w:sz="4" w:space="0" w:color="auto"/>
              <w:left w:val="single" w:sz="4" w:space="0" w:color="auto"/>
              <w:bottom w:val="single" w:sz="4" w:space="0" w:color="auto"/>
              <w:right w:val="nil"/>
            </w:tcBorders>
            <w:hideMark/>
          </w:tcPr>
          <w:p>
            <w:pPr>
              <w:spacing w:before="60" w:after="60"/>
              <w:rPr>
                <w:noProof/>
              </w:rPr>
            </w:pPr>
            <w:r>
              <w:rPr>
                <w:noProof/>
              </w:rPr>
              <w:t>Zone:</w:t>
            </w:r>
          </w:p>
        </w:tc>
        <w:tc>
          <w:tcPr>
            <w:tcW w:w="1939" w:type="pct"/>
            <w:tcBorders>
              <w:top w:val="single" w:sz="4" w:space="0" w:color="auto"/>
              <w:left w:val="nil"/>
              <w:bottom w:val="single" w:sz="4" w:space="0" w:color="auto"/>
              <w:right w:val="nil"/>
            </w:tcBorders>
            <w:hideMark/>
          </w:tcPr>
          <w:p>
            <w:pPr>
              <w:spacing w:before="60" w:after="60"/>
              <w:rPr>
                <w:noProof/>
              </w:rPr>
            </w:pPr>
            <w:r>
              <w:rPr>
                <w:noProof/>
              </w:rPr>
              <w:t>Mer Méditerranée</w:t>
            </w:r>
          </w:p>
          <w:p>
            <w:pPr>
              <w:spacing w:before="60" w:after="60"/>
              <w:rPr>
                <w:noProof/>
              </w:rPr>
            </w:pPr>
            <w:r>
              <w:rPr>
                <w:noProof/>
              </w:rPr>
              <w:t>(SWO/MED)</w:t>
            </w:r>
          </w:p>
        </w:tc>
      </w:tr>
      <w:tr>
        <w:trPr>
          <w:trHeight w:val="227"/>
        </w:trPr>
        <w:tc>
          <w:tcPr>
            <w:tcW w:w="935" w:type="pct"/>
            <w:tcBorders>
              <w:top w:val="single" w:sz="4" w:space="0" w:color="auto"/>
              <w:left w:val="nil"/>
              <w:bottom w:val="nil"/>
              <w:right w:val="nil"/>
            </w:tcBorders>
            <w:hideMark/>
          </w:tcPr>
          <w:p>
            <w:pPr>
              <w:spacing w:before="60" w:after="60"/>
              <w:rPr>
                <w:noProof/>
              </w:rPr>
            </w:pPr>
            <w:r>
              <w:rPr>
                <w:noProof/>
              </w:rPr>
              <w:t>Croatie</w:t>
            </w:r>
          </w:p>
        </w:tc>
        <w:tc>
          <w:tcPr>
            <w:tcW w:w="817" w:type="pct"/>
            <w:gridSpan w:val="2"/>
            <w:tcBorders>
              <w:top w:val="single" w:sz="4"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73" w:type="pct"/>
            <w:gridSpan w:val="3"/>
            <w:tcBorders>
              <w:top w:val="single" w:sz="4" w:space="0" w:color="auto"/>
              <w:left w:val="nil"/>
              <w:bottom w:val="nil"/>
              <w:right w:val="nil"/>
            </w:tcBorders>
            <w:hideMark/>
          </w:tcPr>
          <w:p>
            <w:pPr>
              <w:spacing w:before="60" w:after="60"/>
              <w:rPr>
                <w:noProof/>
              </w:rPr>
            </w:pPr>
            <w:r>
              <w:rPr>
                <w:b/>
                <w:bCs/>
                <w:noProof/>
                <w:vertAlign w:val="superscript"/>
              </w:rPr>
              <w:t>(1)</w:t>
            </w:r>
          </w:p>
        </w:tc>
        <w:tc>
          <w:tcPr>
            <w:tcW w:w="2575" w:type="pct"/>
            <w:gridSpan w:val="3"/>
            <w:vMerge w:val="restart"/>
            <w:tcBorders>
              <w:top w:val="single" w:sz="4" w:space="0" w:color="auto"/>
              <w:left w:val="nil"/>
              <w:bottom w:val="nil"/>
              <w:right w:val="nil"/>
            </w:tcBorders>
            <w:hideMark/>
          </w:tcPr>
          <w:p>
            <w:pPr>
              <w:spacing w:before="60" w:after="60"/>
              <w:rPr>
                <w:noProof/>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935" w:type="pct"/>
            <w:hideMark/>
          </w:tcPr>
          <w:p>
            <w:pPr>
              <w:spacing w:before="60" w:after="60"/>
              <w:rPr>
                <w:noProof/>
              </w:rPr>
            </w:pPr>
            <w:r>
              <w:rPr>
                <w:noProof/>
              </w:rPr>
              <w:t>Chypre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Spain</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France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Grèce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Italie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Malte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Union</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TAC</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tcPr>
          <w:p>
            <w:pPr>
              <w:spacing w:before="60" w:after="60"/>
              <w:rPr>
                <w:noProof/>
              </w:rPr>
            </w:pP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tcBorders>
              <w:top w:val="nil"/>
              <w:left w:val="nil"/>
              <w:bottom w:val="single" w:sz="4" w:space="0" w:color="auto"/>
              <w:right w:val="nil"/>
            </w:tcBorders>
            <w:hideMark/>
          </w:tcPr>
          <w:p>
            <w:pPr>
              <w:spacing w:before="60" w:after="60"/>
              <w:jc w:val="right"/>
              <w:rPr>
                <w:noProof/>
              </w:rPr>
            </w:pPr>
            <w:r>
              <w:rPr>
                <w:b/>
                <w:bCs/>
                <w:noProof/>
                <w:vertAlign w:val="superscript"/>
              </w:rPr>
              <w:t>(1)</w:t>
            </w:r>
          </w:p>
        </w:tc>
        <w:tc>
          <w:tcPr>
            <w:tcW w:w="4065" w:type="pct"/>
            <w:gridSpan w:val="8"/>
            <w:tcBorders>
              <w:top w:val="nil"/>
              <w:left w:val="nil"/>
              <w:bottom w:val="single" w:sz="4" w:space="0" w:color="auto"/>
              <w:right w:val="nil"/>
            </w:tcBorders>
            <w:hideMark/>
          </w:tcPr>
          <w:p>
            <w:pPr>
              <w:spacing w:before="60" w:after="60"/>
              <w:rPr>
                <w:noProof/>
              </w:rPr>
            </w:pPr>
            <w:r>
              <w:rPr>
                <w:noProof/>
              </w:rPr>
              <w:t>Ce quota peut être pêché uniquement du 1</w:t>
            </w:r>
            <w:r>
              <w:rPr>
                <w:noProof/>
                <w:vertAlign w:val="superscript"/>
              </w:rPr>
              <w:t>er</w:t>
            </w:r>
            <w:r>
              <w:rPr>
                <w:noProof/>
              </w:rPr>
              <w:t xml:space="preserve"> avril au 31 décembre.</w:t>
            </w:r>
          </w:p>
        </w:tc>
      </w:tr>
      <w:tr>
        <w:trPr>
          <w:trHeight w:val="227"/>
        </w:trPr>
        <w:tc>
          <w:tcPr>
            <w:tcW w:w="5000" w:type="pct"/>
            <w:gridSpan w:val="9"/>
            <w:tcBorders>
              <w:top w:val="single" w:sz="4" w:space="0" w:color="auto"/>
              <w:left w:val="nil"/>
              <w:bottom w:val="nil"/>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rPr>
            </w:pPr>
            <w:r>
              <w:rPr>
                <w:noProof/>
              </w:rPr>
              <w:t>Espèce:</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Germon du Nord</w:t>
            </w:r>
          </w:p>
          <w:p>
            <w:pPr>
              <w:keepNext/>
              <w:tabs>
                <w:tab w:val="left" w:pos="850"/>
              </w:tabs>
              <w:spacing w:before="60" w:after="60"/>
              <w:ind w:left="850" w:hanging="850"/>
              <w:outlineLvl w:val="0"/>
              <w:rPr>
                <w:noProof/>
              </w:rPr>
            </w:pPr>
            <w:bookmarkStart w:id="9" w:name="_Toc26205835"/>
            <w:bookmarkStart w:id="10" w:name="_Toc26207252"/>
            <w:r>
              <w:rPr>
                <w:i/>
                <w:iCs/>
                <w:noProof/>
              </w:rPr>
              <w:t>Thunnus alalunga</w:t>
            </w:r>
            <w:bookmarkEnd w:id="9"/>
            <w:bookmarkEnd w:id="10"/>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1939" w:type="pct"/>
            <w:tcBorders>
              <w:top w:val="single" w:sz="8" w:space="0" w:color="auto"/>
              <w:left w:val="nil"/>
              <w:bottom w:val="single" w:sz="8" w:space="0" w:color="auto"/>
              <w:right w:val="nil"/>
            </w:tcBorders>
            <w:hideMark/>
          </w:tcPr>
          <w:p>
            <w:pPr>
              <w:spacing w:before="60" w:after="60"/>
              <w:rPr>
                <w:noProof/>
              </w:rPr>
            </w:pPr>
            <w:r>
              <w:rPr>
                <w:noProof/>
              </w:rPr>
              <w:t>Océan Atlantique, au nord de 5° N</w:t>
            </w:r>
          </w:p>
          <w:p>
            <w:pPr>
              <w:spacing w:before="60" w:after="60"/>
              <w:rPr>
                <w:noProof/>
              </w:rPr>
            </w:pPr>
            <w:r>
              <w:rPr>
                <w:noProof/>
              </w:rPr>
              <w:t>(ALB/AN05N)</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Irlande</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rPr>
                <w:noProof/>
                <w:color w:val="000000"/>
                <w:lang w:eastAsia="en-GB"/>
              </w:rPr>
            </w:pPr>
          </w:p>
        </w:tc>
        <w:tc>
          <w:tcPr>
            <w:tcW w:w="2591" w:type="pct"/>
            <w:gridSpan w:val="4"/>
            <w:vMerge w:val="restart"/>
            <w:tcBorders>
              <w:top w:val="single" w:sz="8" w:space="0" w:color="auto"/>
              <w:left w:val="nil"/>
              <w:bottom w:val="nil"/>
              <w:right w:val="nil"/>
            </w:tcBorders>
            <w:hideMark/>
          </w:tcPr>
          <w:p>
            <w:pPr>
              <w:spacing w:before="60" w:after="60"/>
              <w:rPr>
                <w:noProof/>
                <w:szCs w:val="24"/>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935" w:type="pct"/>
            <w:hideMark/>
          </w:tcPr>
          <w:p>
            <w:pPr>
              <w:spacing w:before="60" w:after="60"/>
              <w:rPr>
                <w:noProof/>
              </w:rPr>
            </w:pPr>
            <w:r>
              <w:rPr>
                <w:noProof/>
              </w:rPr>
              <w:t>Spain</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rPr>
                <w:noProof/>
                <w:color w:val="000000"/>
                <w:lang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szCs w:val="24"/>
              </w:rPr>
            </w:pPr>
            <w:r>
              <w:rPr>
                <w:noProof/>
              </w:rPr>
              <w:t>France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rPr>
                <w:noProof/>
                <w:color w:val="000000"/>
                <w:lang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Pr>
          <w:p>
            <w:pPr>
              <w:spacing w:before="60" w:after="60"/>
              <w:rPr>
                <w:noProof/>
                <w:szCs w:val="24"/>
              </w:rPr>
            </w:pPr>
            <w:r>
              <w:rPr>
                <w:noProof/>
              </w:rPr>
              <w:t>Portugal</w:t>
            </w:r>
          </w:p>
        </w:tc>
        <w:tc>
          <w:tcPr>
            <w:tcW w:w="817" w:type="pct"/>
            <w:gridSpan w:val="2"/>
          </w:tcPr>
          <w:p>
            <w:pPr>
              <w:spacing w:before="60" w:after="60"/>
              <w:jc w:val="right"/>
              <w:rPr>
                <w:noProof/>
                <w:color w:val="000000"/>
              </w:rPr>
            </w:pPr>
            <w:r>
              <w:rPr>
                <w:rFonts w:asciiTheme="majorBidi" w:hAnsiTheme="majorBidi"/>
                <w:noProof/>
                <w:color w:val="000000"/>
              </w:rPr>
              <w:t>p.m.</w:t>
            </w:r>
          </w:p>
        </w:tc>
        <w:tc>
          <w:tcPr>
            <w:tcW w:w="658" w:type="pct"/>
            <w:gridSpan w:val="2"/>
          </w:tcPr>
          <w:p>
            <w:pPr>
              <w:rPr>
                <w:noProof/>
                <w:color w:val="000000"/>
                <w:lang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Pr>
          <w:p>
            <w:pPr>
              <w:spacing w:before="60" w:after="60"/>
              <w:rPr>
                <w:noProof/>
                <w:szCs w:val="24"/>
              </w:rPr>
            </w:pPr>
            <w:r>
              <w:rPr>
                <w:noProof/>
              </w:rPr>
              <w:t>Union</w:t>
            </w:r>
          </w:p>
        </w:tc>
        <w:tc>
          <w:tcPr>
            <w:tcW w:w="817" w:type="pct"/>
            <w:gridSpan w:val="2"/>
          </w:tcPr>
          <w:p>
            <w:pPr>
              <w:spacing w:before="60" w:after="60"/>
              <w:jc w:val="right"/>
              <w:rPr>
                <w:noProof/>
                <w:color w:val="000000"/>
              </w:rPr>
            </w:pPr>
            <w:r>
              <w:rPr>
                <w:rFonts w:asciiTheme="majorBidi" w:hAnsiTheme="majorBidi"/>
                <w:noProof/>
                <w:color w:val="000000"/>
              </w:rPr>
              <w:t>p.m.</w:t>
            </w:r>
          </w:p>
        </w:tc>
        <w:tc>
          <w:tcPr>
            <w:tcW w:w="658" w:type="pct"/>
            <w:gridSpan w:val="2"/>
          </w:tcPr>
          <w:p>
            <w:pPr>
              <w:rPr>
                <w:noProof/>
                <w:color w:val="000000"/>
              </w:rPr>
            </w:pPr>
            <w:r>
              <w:rPr>
                <w:b/>
                <w:bCs/>
                <w:noProof/>
                <w:vertAlign w:val="superscript"/>
              </w:rPr>
              <w:t>(1)</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TAC</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rPr>
            </w:pPr>
            <w:r>
              <w:rPr>
                <w:b/>
                <w:bCs/>
                <w:noProof/>
                <w:vertAlign w:val="superscript"/>
              </w:rPr>
              <w:t>(1)</w:t>
            </w:r>
          </w:p>
        </w:tc>
        <w:tc>
          <w:tcPr>
            <w:tcW w:w="4065" w:type="pct"/>
            <w:gridSpan w:val="8"/>
            <w:tcBorders>
              <w:top w:val="nil"/>
              <w:left w:val="nil"/>
              <w:bottom w:val="single" w:sz="8" w:space="0" w:color="auto"/>
              <w:right w:val="nil"/>
            </w:tcBorders>
            <w:hideMark/>
          </w:tcPr>
          <w:p>
            <w:pPr>
              <w:spacing w:before="60" w:after="60"/>
              <w:rPr>
                <w:noProof/>
              </w:rPr>
            </w:pPr>
            <w:r>
              <w:rPr>
                <w:noProof/>
              </w:rPr>
              <w:t>Le nombre de navires de pêche de l’Union pêchant le germon du Nord comme espèce cible, conformément à l’article 12 du règlement (CE) nº 520/2007, correspond à:</w:t>
            </w:r>
          </w:p>
          <w:p>
            <w:pPr>
              <w:spacing w:before="60" w:after="60"/>
              <w:rPr>
                <w:noProof/>
              </w:rPr>
            </w:pPr>
            <w:r>
              <w:rPr>
                <w:rFonts w:asciiTheme="majorBidi" w:hAnsiTheme="majorBidi"/>
                <w:noProof/>
                <w:color w:val="000000"/>
              </w:rPr>
              <w:t>p.m.</w:t>
            </w:r>
            <w:r>
              <w:rPr>
                <w:noProof/>
              </w:rPr>
              <w:t>.</w:t>
            </w:r>
          </w:p>
        </w:tc>
      </w:tr>
      <w:tr>
        <w:trPr>
          <w:trHeight w:val="227"/>
        </w:trPr>
        <w:tc>
          <w:tcPr>
            <w:tcW w:w="5000" w:type="pct"/>
            <w:gridSpan w:val="9"/>
            <w:tcBorders>
              <w:top w:val="single" w:sz="8" w:space="0" w:color="auto"/>
              <w:left w:val="nil"/>
              <w:bottom w:val="single" w:sz="8" w:space="0" w:color="auto"/>
              <w:right w:val="nil"/>
            </w:tcBorders>
            <w:hideMark/>
          </w:tcPr>
          <w:p>
            <w:pPr>
              <w:rPr>
                <w:noProof/>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szCs w:val="24"/>
              </w:rPr>
            </w:pPr>
            <w:r>
              <w:rPr>
                <w:noProof/>
              </w:rPr>
              <w:t>Espèce:</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Germon du Sud</w:t>
            </w:r>
          </w:p>
          <w:p>
            <w:pPr>
              <w:keepNext/>
              <w:tabs>
                <w:tab w:val="left" w:pos="850"/>
              </w:tabs>
              <w:spacing w:before="60" w:after="60"/>
              <w:ind w:left="850" w:hanging="850"/>
              <w:outlineLvl w:val="0"/>
              <w:rPr>
                <w:noProof/>
              </w:rPr>
            </w:pPr>
            <w:bookmarkStart w:id="11" w:name="_Toc26205836"/>
            <w:bookmarkStart w:id="12" w:name="_Toc26207253"/>
            <w:r>
              <w:rPr>
                <w:i/>
                <w:iCs/>
                <w:noProof/>
              </w:rPr>
              <w:t>Thunnus alalunga</w:t>
            </w:r>
            <w:bookmarkEnd w:id="11"/>
            <w:bookmarkEnd w:id="12"/>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1939" w:type="pct"/>
            <w:tcBorders>
              <w:top w:val="single" w:sz="8" w:space="0" w:color="auto"/>
              <w:left w:val="nil"/>
              <w:bottom w:val="single" w:sz="8" w:space="0" w:color="auto"/>
              <w:right w:val="nil"/>
            </w:tcBorders>
            <w:hideMark/>
          </w:tcPr>
          <w:p>
            <w:pPr>
              <w:spacing w:before="60" w:after="60"/>
              <w:rPr>
                <w:noProof/>
              </w:rPr>
            </w:pPr>
            <w:r>
              <w:rPr>
                <w:noProof/>
              </w:rPr>
              <w:t>Océan Atlantique, au sud de 5° N</w:t>
            </w:r>
          </w:p>
          <w:p>
            <w:pPr>
              <w:spacing w:before="60" w:after="60"/>
              <w:rPr>
                <w:noProof/>
              </w:rPr>
            </w:pPr>
            <w:r>
              <w:rPr>
                <w:noProof/>
              </w:rPr>
              <w:t>(ALB/AS05N)</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Spain</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tcPr>
          <w:p>
            <w:pPr>
              <w:spacing w:before="60" w:after="60"/>
              <w:rPr>
                <w:noProof/>
              </w:rPr>
            </w:pPr>
          </w:p>
        </w:tc>
        <w:tc>
          <w:tcPr>
            <w:tcW w:w="2591" w:type="pct"/>
            <w:gridSpan w:val="4"/>
            <w:vMerge w:val="restart"/>
            <w:tcBorders>
              <w:top w:val="single" w:sz="8" w:space="0" w:color="auto"/>
              <w:left w:val="nil"/>
              <w:bottom w:val="single" w:sz="8" w:space="0" w:color="auto"/>
              <w:right w:val="nil"/>
            </w:tcBorders>
            <w:hideMark/>
          </w:tcPr>
          <w:p>
            <w:pPr>
              <w:spacing w:before="60" w:after="60"/>
              <w:rPr>
                <w:noProof/>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935" w:type="pct"/>
            <w:hideMark/>
          </w:tcPr>
          <w:p>
            <w:pPr>
              <w:spacing w:before="60" w:after="60"/>
              <w:rPr>
                <w:noProof/>
              </w:rPr>
            </w:pPr>
            <w:r>
              <w:rPr>
                <w:noProof/>
              </w:rPr>
              <w:t>France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Portugal</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Union</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rPr>
                <w:noProof/>
              </w:rPr>
            </w:pPr>
            <w:r>
              <w:rPr>
                <w:noProof/>
              </w:rPr>
              <w:t>TAC</w:t>
            </w:r>
          </w:p>
        </w:tc>
        <w:tc>
          <w:tcPr>
            <w:tcW w:w="817" w:type="pct"/>
            <w:gridSpan w:val="2"/>
            <w:tcBorders>
              <w:top w:val="nil"/>
              <w:left w:val="nil"/>
              <w:bottom w:val="single" w:sz="8" w:space="0" w:color="auto"/>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nil"/>
              <w:left w:val="nil"/>
              <w:bottom w:val="single" w:sz="8" w:space="0" w:color="auto"/>
              <w:right w:val="nil"/>
            </w:tcBorders>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5000" w:type="pct"/>
            <w:gridSpan w:val="9"/>
            <w:tcBorders>
              <w:top w:val="nil"/>
              <w:left w:val="nil"/>
              <w:bottom w:val="single" w:sz="8" w:space="0" w:color="auto"/>
              <w:right w:val="nil"/>
            </w:tcBorders>
            <w:hideMark/>
          </w:tcPr>
          <w:p>
            <w:pPr>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szCs w:val="24"/>
              </w:rPr>
            </w:pPr>
            <w:r>
              <w:rPr>
                <w:noProof/>
              </w:rPr>
              <w:t>Espèce:</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Thon obèse</w:t>
            </w:r>
          </w:p>
          <w:p>
            <w:pPr>
              <w:keepNext/>
              <w:tabs>
                <w:tab w:val="left" w:pos="850"/>
              </w:tabs>
              <w:spacing w:before="60" w:after="60"/>
              <w:ind w:left="850" w:hanging="850"/>
              <w:outlineLvl w:val="0"/>
              <w:rPr>
                <w:noProof/>
              </w:rPr>
            </w:pPr>
            <w:bookmarkStart w:id="13" w:name="_Toc26205837"/>
            <w:bookmarkStart w:id="14" w:name="_Toc26207254"/>
            <w:r>
              <w:rPr>
                <w:i/>
                <w:iCs/>
                <w:noProof/>
              </w:rPr>
              <w:t>Thunnus obesus</w:t>
            </w:r>
            <w:bookmarkEnd w:id="13"/>
            <w:bookmarkEnd w:id="14"/>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1939" w:type="pct"/>
            <w:tcBorders>
              <w:top w:val="single" w:sz="8" w:space="0" w:color="auto"/>
              <w:left w:val="nil"/>
              <w:bottom w:val="single" w:sz="8" w:space="0" w:color="auto"/>
              <w:right w:val="nil"/>
            </w:tcBorders>
            <w:hideMark/>
          </w:tcPr>
          <w:p>
            <w:pPr>
              <w:spacing w:before="60" w:after="60"/>
              <w:rPr>
                <w:noProof/>
              </w:rPr>
            </w:pPr>
            <w:r>
              <w:rPr>
                <w:noProof/>
              </w:rPr>
              <w:t>Océan Atlantique</w:t>
            </w:r>
          </w:p>
          <w:p>
            <w:pPr>
              <w:spacing w:before="60" w:after="60"/>
              <w:rPr>
                <w:noProof/>
              </w:rPr>
            </w:pPr>
            <w:r>
              <w:rPr>
                <w:noProof/>
              </w:rPr>
              <w:t>(BET/ATLANT)</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Spain</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tcPr>
          <w:p>
            <w:pPr>
              <w:spacing w:before="60" w:after="60"/>
              <w:rPr>
                <w:noProof/>
              </w:rPr>
            </w:pPr>
            <w:r>
              <w:rPr>
                <w:b/>
                <w:bCs/>
                <w:noProof/>
                <w:vertAlign w:val="superscript"/>
              </w:rPr>
              <w:t>(1)(2)</w:t>
            </w:r>
          </w:p>
        </w:tc>
        <w:tc>
          <w:tcPr>
            <w:tcW w:w="2591" w:type="pct"/>
            <w:gridSpan w:val="4"/>
            <w:vMerge w:val="restart"/>
            <w:tcBorders>
              <w:top w:val="single" w:sz="8" w:space="0" w:color="auto"/>
              <w:left w:val="nil"/>
              <w:bottom w:val="single" w:sz="8" w:space="0" w:color="auto"/>
              <w:right w:val="nil"/>
            </w:tcBorders>
            <w:hideMark/>
          </w:tcPr>
          <w:p>
            <w:pPr>
              <w:spacing w:before="60" w:after="60"/>
              <w:rPr>
                <w:noProof/>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935" w:type="pct"/>
            <w:hideMark/>
          </w:tcPr>
          <w:p>
            <w:pPr>
              <w:spacing w:before="60" w:after="60"/>
              <w:rPr>
                <w:noProof/>
              </w:rPr>
            </w:pPr>
            <w:r>
              <w:rPr>
                <w:noProof/>
              </w:rPr>
              <w:t>France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r>
              <w:rPr>
                <w:b/>
                <w:bCs/>
                <w:noProof/>
                <w:vertAlign w:val="superscript"/>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Portugal</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r>
              <w:rPr>
                <w:b/>
                <w:bCs/>
                <w:noProof/>
                <w:vertAlign w:val="superscript"/>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Union</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r>
              <w:rPr>
                <w:b/>
                <w:bCs/>
                <w:noProof/>
                <w:vertAlign w:val="superscript"/>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rPr>
                <w:noProof/>
              </w:rPr>
            </w:pPr>
            <w:r>
              <w:rPr>
                <w:noProof/>
              </w:rPr>
              <w:t>TAC</w:t>
            </w:r>
          </w:p>
        </w:tc>
        <w:tc>
          <w:tcPr>
            <w:tcW w:w="817" w:type="pct"/>
            <w:gridSpan w:val="2"/>
            <w:tcBorders>
              <w:top w:val="nil"/>
              <w:left w:val="nil"/>
              <w:bottom w:val="single" w:sz="8" w:space="0" w:color="auto"/>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nil"/>
              <w:left w:val="nil"/>
              <w:bottom w:val="single" w:sz="8" w:space="0" w:color="auto"/>
              <w:right w:val="nil"/>
            </w:tcBorders>
          </w:tcPr>
          <w:p>
            <w:pPr>
              <w:spacing w:before="60" w:after="60"/>
              <w:rPr>
                <w:noProof/>
              </w:rPr>
            </w:pPr>
            <w:r>
              <w:rPr>
                <w:b/>
                <w:bCs/>
                <w:noProof/>
                <w:vertAlign w:val="superscript"/>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tcPr>
          <w:p>
            <w:pPr>
              <w:spacing w:before="60" w:after="60"/>
              <w:jc w:val="right"/>
              <w:rPr>
                <w:noProof/>
              </w:rPr>
            </w:pPr>
            <w:r>
              <w:rPr>
                <w:b/>
                <w:bCs/>
                <w:noProof/>
                <w:vertAlign w:val="superscript"/>
              </w:rPr>
              <w:t>(1)</w:t>
            </w:r>
          </w:p>
        </w:tc>
        <w:tc>
          <w:tcPr>
            <w:tcW w:w="4065" w:type="pct"/>
            <w:gridSpan w:val="8"/>
            <w:tcBorders>
              <w:top w:val="nil"/>
              <w:left w:val="nil"/>
              <w:bottom w:val="single" w:sz="8" w:space="0" w:color="auto"/>
              <w:right w:val="nil"/>
            </w:tcBorders>
          </w:tcPr>
          <w:p>
            <w:pPr>
              <w:spacing w:before="0" w:after="0"/>
              <w:rPr>
                <w:noProof/>
                <w:szCs w:val="24"/>
              </w:rPr>
            </w:pPr>
            <w:r>
              <w:rPr>
                <w:noProof/>
              </w:rPr>
              <w:t>Les captures de thon obèse effectuées par des senneurs à senne coulissante (BET/*ATLPS) et des palangriers d’une longueur hors tout supérieure ou égale à 20 mètres (BET/ *ATLLL) sont déclarées séparément.</w:t>
            </w:r>
          </w:p>
        </w:tc>
      </w:tr>
      <w:tr>
        <w:trPr>
          <w:trHeight w:val="227"/>
        </w:trPr>
        <w:tc>
          <w:tcPr>
            <w:tcW w:w="935" w:type="pct"/>
            <w:tcBorders>
              <w:top w:val="nil"/>
              <w:left w:val="nil"/>
              <w:bottom w:val="single" w:sz="8" w:space="0" w:color="auto"/>
              <w:right w:val="nil"/>
            </w:tcBorders>
          </w:tcPr>
          <w:p>
            <w:pPr>
              <w:spacing w:before="60" w:after="60"/>
              <w:jc w:val="right"/>
              <w:rPr>
                <w:b/>
                <w:bCs/>
                <w:noProof/>
                <w:vertAlign w:val="superscript"/>
              </w:rPr>
            </w:pPr>
            <w:r>
              <w:rPr>
                <w:b/>
                <w:bCs/>
                <w:noProof/>
                <w:vertAlign w:val="superscript"/>
              </w:rPr>
              <w:t>(2)</w:t>
            </w:r>
          </w:p>
        </w:tc>
        <w:tc>
          <w:tcPr>
            <w:tcW w:w="4065" w:type="pct"/>
            <w:gridSpan w:val="8"/>
            <w:tcBorders>
              <w:top w:val="nil"/>
              <w:left w:val="nil"/>
              <w:bottom w:val="single" w:sz="8" w:space="0" w:color="auto"/>
              <w:right w:val="nil"/>
            </w:tcBorders>
          </w:tcPr>
          <w:p>
            <w:pPr>
              <w:spacing w:before="0" w:after="0"/>
              <w:rPr>
                <w:noProof/>
                <w:szCs w:val="24"/>
              </w:rPr>
            </w:pPr>
            <w:r>
              <w:rPr>
                <w:noProof/>
              </w:rPr>
              <w:t>À compter du mois de juin 2021, lorsque les captures atteignent 80 % du quota, les États membres sont tenus de communiquer chaque semaine les captures pour ces navires.</w:t>
            </w:r>
          </w:p>
        </w:tc>
      </w:tr>
      <w:tr>
        <w:trPr>
          <w:trHeight w:val="227"/>
        </w:trPr>
        <w:tc>
          <w:tcPr>
            <w:tcW w:w="5000" w:type="pct"/>
            <w:gridSpan w:val="9"/>
            <w:tcBorders>
              <w:top w:val="nil"/>
              <w:left w:val="nil"/>
              <w:bottom w:val="single" w:sz="8" w:space="0" w:color="auto"/>
              <w:right w:val="nil"/>
            </w:tcBorders>
            <w:hideMark/>
          </w:tcPr>
          <w:p>
            <w:pPr>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szCs w:val="24"/>
              </w:rPr>
            </w:pPr>
            <w:r>
              <w:rPr>
                <w:noProof/>
              </w:rPr>
              <w:t>Espèce:</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Makaire bleu</w:t>
            </w:r>
          </w:p>
          <w:p>
            <w:pPr>
              <w:keepNext/>
              <w:tabs>
                <w:tab w:val="left" w:pos="850"/>
              </w:tabs>
              <w:spacing w:before="60" w:after="60"/>
              <w:ind w:left="850" w:hanging="850"/>
              <w:outlineLvl w:val="0"/>
              <w:rPr>
                <w:noProof/>
              </w:rPr>
            </w:pPr>
            <w:bookmarkStart w:id="15" w:name="_Toc26205838"/>
            <w:bookmarkStart w:id="16" w:name="_Toc26207255"/>
            <w:r>
              <w:rPr>
                <w:i/>
                <w:iCs/>
                <w:noProof/>
              </w:rPr>
              <w:t>Makaira nigricans</w:t>
            </w:r>
            <w:bookmarkEnd w:id="15"/>
            <w:bookmarkEnd w:id="16"/>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1939" w:type="pct"/>
            <w:tcBorders>
              <w:top w:val="single" w:sz="8" w:space="0" w:color="auto"/>
              <w:left w:val="nil"/>
              <w:bottom w:val="single" w:sz="8" w:space="0" w:color="auto"/>
              <w:right w:val="nil"/>
            </w:tcBorders>
            <w:hideMark/>
          </w:tcPr>
          <w:p>
            <w:pPr>
              <w:spacing w:before="60" w:after="60"/>
              <w:rPr>
                <w:noProof/>
              </w:rPr>
            </w:pPr>
            <w:r>
              <w:rPr>
                <w:noProof/>
              </w:rPr>
              <w:t>Océan Atlantique</w:t>
            </w:r>
          </w:p>
          <w:p>
            <w:pPr>
              <w:spacing w:before="60" w:after="60"/>
              <w:rPr>
                <w:noProof/>
              </w:rPr>
            </w:pPr>
            <w:r>
              <w:rPr>
                <w:noProof/>
              </w:rPr>
              <w:t>(BUM/ATLANT)</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Spain</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tcPr>
          <w:p>
            <w:pPr>
              <w:spacing w:before="60" w:after="60"/>
              <w:rPr>
                <w:noProof/>
              </w:rPr>
            </w:pPr>
          </w:p>
        </w:tc>
        <w:tc>
          <w:tcPr>
            <w:tcW w:w="2591" w:type="pct"/>
            <w:gridSpan w:val="4"/>
            <w:vMerge w:val="restart"/>
            <w:tcBorders>
              <w:top w:val="single" w:sz="8" w:space="0" w:color="auto"/>
              <w:left w:val="nil"/>
              <w:bottom w:val="nil"/>
              <w:right w:val="nil"/>
            </w:tcBorders>
            <w:hideMark/>
          </w:tcPr>
          <w:p>
            <w:pPr>
              <w:spacing w:before="60" w:after="60"/>
              <w:rPr>
                <w:noProof/>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935" w:type="pct"/>
            <w:hideMark/>
          </w:tcPr>
          <w:p>
            <w:pPr>
              <w:spacing w:before="60" w:after="60"/>
              <w:rPr>
                <w:noProof/>
              </w:rPr>
            </w:pPr>
            <w:r>
              <w:rPr>
                <w:noProof/>
              </w:rPr>
              <w:t>France</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Portugal</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Union</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noProof/>
              </w:rPr>
            </w:pPr>
            <w:r>
              <w:rPr>
                <w:b/>
                <w:bCs/>
                <w:noProof/>
                <w:vertAlign w:val="superscript"/>
              </w:rPr>
              <w:t>(1)</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TAC</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Borders>
              <w:top w:val="nil"/>
              <w:left w:val="nil"/>
              <w:bottom w:val="single" w:sz="4" w:space="0" w:color="auto"/>
              <w:right w:val="nil"/>
            </w:tcBorders>
            <w:hideMark/>
          </w:tcPr>
          <w:p>
            <w:pPr>
              <w:spacing w:before="60" w:after="60"/>
              <w:jc w:val="right"/>
              <w:rPr>
                <w:noProof/>
              </w:rPr>
            </w:pPr>
            <w:r>
              <w:rPr>
                <w:b/>
                <w:bCs/>
                <w:noProof/>
                <w:vertAlign w:val="superscript"/>
              </w:rPr>
              <w:t>(1)</w:t>
            </w:r>
          </w:p>
        </w:tc>
        <w:tc>
          <w:tcPr>
            <w:tcW w:w="4065" w:type="pct"/>
            <w:gridSpan w:val="8"/>
            <w:tcBorders>
              <w:top w:val="nil"/>
              <w:left w:val="nil"/>
              <w:bottom w:val="single" w:sz="4" w:space="0" w:color="auto"/>
              <w:right w:val="nil"/>
            </w:tcBorders>
            <w:hideMark/>
          </w:tcPr>
          <w:p>
            <w:pPr>
              <w:spacing w:before="60" w:after="60"/>
              <w:rPr>
                <w:noProof/>
              </w:rPr>
            </w:pPr>
            <w:r>
              <w:rPr>
                <w:noProof/>
              </w:rPr>
              <w:t>Après transfert de 2 tonnes à Trinité-et-Tobago (Recommandation CICTA 19-05).</w:t>
            </w:r>
          </w:p>
        </w:tc>
      </w:tr>
      <w:tr>
        <w:trPr>
          <w:trHeight w:val="227"/>
        </w:trPr>
        <w:tc>
          <w:tcPr>
            <w:tcW w:w="5000" w:type="pct"/>
            <w:gridSpan w:val="9"/>
            <w:tcBorders>
              <w:top w:val="single" w:sz="4" w:space="0" w:color="auto"/>
              <w:left w:val="nil"/>
              <w:bottom w:val="single" w:sz="8" w:space="0" w:color="auto"/>
              <w:right w:val="nil"/>
            </w:tcBorders>
            <w:hideMark/>
          </w:tcPr>
          <w:p>
            <w:pPr>
              <w:rPr>
                <w:noProof/>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szCs w:val="24"/>
              </w:rPr>
            </w:pPr>
            <w:r>
              <w:rPr>
                <w:noProof/>
              </w:rPr>
              <w:t>Espèce:</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Makaire blanc</w:t>
            </w:r>
          </w:p>
          <w:p>
            <w:pPr>
              <w:keepNext/>
              <w:tabs>
                <w:tab w:val="left" w:pos="850"/>
              </w:tabs>
              <w:spacing w:before="60" w:after="60"/>
              <w:ind w:left="850" w:hanging="850"/>
              <w:outlineLvl w:val="0"/>
              <w:rPr>
                <w:noProof/>
              </w:rPr>
            </w:pPr>
            <w:bookmarkStart w:id="17" w:name="_Toc26205839"/>
            <w:bookmarkStart w:id="18" w:name="_Toc26207256"/>
            <w:r>
              <w:rPr>
                <w:i/>
                <w:iCs/>
                <w:noProof/>
              </w:rPr>
              <w:t>Tetrapturus albidus</w:t>
            </w:r>
            <w:bookmarkEnd w:id="17"/>
            <w:bookmarkEnd w:id="18"/>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1939" w:type="pct"/>
            <w:tcBorders>
              <w:top w:val="single" w:sz="8" w:space="0" w:color="auto"/>
              <w:left w:val="nil"/>
              <w:bottom w:val="single" w:sz="8" w:space="0" w:color="auto"/>
              <w:right w:val="nil"/>
            </w:tcBorders>
            <w:hideMark/>
          </w:tcPr>
          <w:p>
            <w:pPr>
              <w:spacing w:before="60" w:after="60"/>
              <w:rPr>
                <w:noProof/>
              </w:rPr>
            </w:pPr>
            <w:r>
              <w:rPr>
                <w:noProof/>
              </w:rPr>
              <w:t>Océan Atlantique</w:t>
            </w:r>
          </w:p>
          <w:p>
            <w:pPr>
              <w:spacing w:before="60" w:after="60"/>
              <w:rPr>
                <w:noProof/>
              </w:rPr>
            </w:pPr>
            <w:r>
              <w:rPr>
                <w:noProof/>
              </w:rPr>
              <w:t>(WHM/ATLANT)</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Spain</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tcPr>
          <w:p>
            <w:pPr>
              <w:spacing w:before="60" w:after="60"/>
              <w:rPr>
                <w:noProof/>
              </w:rPr>
            </w:pPr>
          </w:p>
        </w:tc>
        <w:tc>
          <w:tcPr>
            <w:tcW w:w="2591" w:type="pct"/>
            <w:gridSpan w:val="4"/>
            <w:vMerge w:val="restart"/>
            <w:tcBorders>
              <w:top w:val="single" w:sz="8" w:space="0" w:color="auto"/>
              <w:left w:val="nil"/>
              <w:bottom w:val="single" w:sz="8" w:space="0" w:color="auto"/>
              <w:right w:val="nil"/>
            </w:tcBorders>
            <w:hideMark/>
          </w:tcPr>
          <w:p>
            <w:pPr>
              <w:spacing w:before="60" w:after="60"/>
              <w:rPr>
                <w:noProof/>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935" w:type="pct"/>
            <w:hideMark/>
          </w:tcPr>
          <w:p>
            <w:pPr>
              <w:spacing w:before="60" w:after="60"/>
              <w:rPr>
                <w:noProof/>
              </w:rPr>
            </w:pPr>
            <w:r>
              <w:rPr>
                <w:noProof/>
              </w:rPr>
              <w:t>Portugal</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Union</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rPr>
                <w:noProof/>
              </w:rPr>
            </w:pPr>
            <w:r>
              <w:rPr>
                <w:noProof/>
              </w:rPr>
              <w:t>TAC</w:t>
            </w:r>
          </w:p>
        </w:tc>
        <w:tc>
          <w:tcPr>
            <w:tcW w:w="817" w:type="pct"/>
            <w:gridSpan w:val="2"/>
            <w:tcBorders>
              <w:top w:val="nil"/>
              <w:left w:val="nil"/>
              <w:bottom w:val="single" w:sz="8" w:space="0" w:color="auto"/>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nil"/>
              <w:left w:val="nil"/>
              <w:bottom w:val="single" w:sz="8" w:space="0" w:color="auto"/>
              <w:right w:val="nil"/>
            </w:tcBorders>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rPr>
            </w:pPr>
            <w:r>
              <w:rPr>
                <w:noProof/>
              </w:rPr>
              <w:t>Espèce:</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Albacore</w:t>
            </w:r>
          </w:p>
          <w:p>
            <w:pPr>
              <w:keepNext/>
              <w:tabs>
                <w:tab w:val="left" w:pos="850"/>
              </w:tabs>
              <w:spacing w:before="60" w:after="60"/>
              <w:ind w:left="850" w:hanging="850"/>
              <w:outlineLvl w:val="0"/>
              <w:rPr>
                <w:noProof/>
              </w:rPr>
            </w:pPr>
            <w:bookmarkStart w:id="19" w:name="_Toc26205840"/>
            <w:bookmarkStart w:id="20" w:name="_Toc26207257"/>
            <w:r>
              <w:rPr>
                <w:i/>
                <w:iCs/>
                <w:noProof/>
              </w:rPr>
              <w:t>Thunnus albacares</w:t>
            </w:r>
            <w:bookmarkEnd w:id="19"/>
            <w:bookmarkEnd w:id="20"/>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1939" w:type="pct"/>
            <w:tcBorders>
              <w:top w:val="single" w:sz="8" w:space="0" w:color="auto"/>
              <w:left w:val="nil"/>
              <w:bottom w:val="single" w:sz="8" w:space="0" w:color="auto"/>
              <w:right w:val="nil"/>
            </w:tcBorders>
            <w:hideMark/>
          </w:tcPr>
          <w:p>
            <w:pPr>
              <w:spacing w:before="60" w:after="60"/>
              <w:rPr>
                <w:noProof/>
              </w:rPr>
            </w:pPr>
            <w:r>
              <w:rPr>
                <w:noProof/>
              </w:rPr>
              <w:t>Océan Atlantique</w:t>
            </w:r>
          </w:p>
          <w:p>
            <w:pPr>
              <w:spacing w:before="60" w:after="60"/>
              <w:rPr>
                <w:noProof/>
              </w:rPr>
            </w:pPr>
            <w:r>
              <w:rPr>
                <w:noProof/>
              </w:rPr>
              <w:t>(YFT/ATLANT)</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TAC</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rPr>
                <w:noProof/>
                <w:color w:val="000000"/>
              </w:rPr>
            </w:pPr>
            <w:r>
              <w:rPr>
                <w:b/>
                <w:bCs/>
                <w:noProof/>
                <w:vertAlign w:val="superscript"/>
              </w:rPr>
              <w:t>(1)</w:t>
            </w:r>
          </w:p>
        </w:tc>
        <w:tc>
          <w:tcPr>
            <w:tcW w:w="2591" w:type="pct"/>
            <w:gridSpan w:val="4"/>
            <w:tcBorders>
              <w:top w:val="single" w:sz="8" w:space="0" w:color="auto"/>
              <w:left w:val="nil"/>
              <w:bottom w:val="nil"/>
              <w:right w:val="nil"/>
            </w:tcBorders>
            <w:hideMark/>
          </w:tcPr>
          <w:p>
            <w:pPr>
              <w:spacing w:before="60" w:after="60"/>
              <w:rPr>
                <w:noProof/>
                <w:szCs w:val="24"/>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935" w:type="pct"/>
            <w:tcBorders>
              <w:top w:val="single" w:sz="8" w:space="0" w:color="auto"/>
              <w:left w:val="nil"/>
              <w:bottom w:val="nil"/>
              <w:right w:val="nil"/>
            </w:tcBorders>
          </w:tcPr>
          <w:p>
            <w:pPr>
              <w:spacing w:before="60" w:after="60"/>
              <w:jc w:val="right"/>
              <w:rPr>
                <w:noProof/>
              </w:rPr>
            </w:pPr>
            <w:r>
              <w:rPr>
                <w:b/>
                <w:bCs/>
                <w:noProof/>
                <w:vertAlign w:val="superscript"/>
              </w:rPr>
              <w:t>(1)</w:t>
            </w:r>
          </w:p>
        </w:tc>
        <w:tc>
          <w:tcPr>
            <w:tcW w:w="4065" w:type="pct"/>
            <w:gridSpan w:val="8"/>
            <w:tcBorders>
              <w:top w:val="single" w:sz="8" w:space="0" w:color="auto"/>
              <w:left w:val="nil"/>
              <w:bottom w:val="nil"/>
              <w:right w:val="nil"/>
            </w:tcBorders>
          </w:tcPr>
          <w:p>
            <w:pPr>
              <w:spacing w:before="60" w:after="60"/>
              <w:rPr>
                <w:noProof/>
              </w:rPr>
            </w:pPr>
            <w:r>
              <w:rPr>
                <w:noProof/>
              </w:rPr>
              <w:t>Les captures d’albacore effectuées par des senneurs à senne coulissante (YFT/*ATLPS) et des palangriers d’une longueur hors tout supérieure ou égale à 20 mètres (YFT/ *ATLLL) sont déclarées séparément.</w:t>
            </w: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rPr>
            </w:pPr>
            <w:r>
              <w:rPr>
                <w:noProof/>
              </w:rPr>
              <w:t>Espèce:</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Voilier</w:t>
            </w:r>
          </w:p>
          <w:p>
            <w:pPr>
              <w:keepNext/>
              <w:tabs>
                <w:tab w:val="left" w:pos="850"/>
              </w:tabs>
              <w:spacing w:before="60" w:after="60"/>
              <w:ind w:left="850" w:hanging="850"/>
              <w:outlineLvl w:val="0"/>
              <w:rPr>
                <w:noProof/>
              </w:rPr>
            </w:pPr>
            <w:bookmarkStart w:id="21" w:name="_Toc26205841"/>
            <w:bookmarkStart w:id="22" w:name="_Toc26207258"/>
            <w:r>
              <w:rPr>
                <w:i/>
                <w:iCs/>
                <w:noProof/>
              </w:rPr>
              <w:t>Istiophorus albicans</w:t>
            </w:r>
            <w:bookmarkEnd w:id="21"/>
            <w:bookmarkEnd w:id="22"/>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1939" w:type="pct"/>
            <w:tcBorders>
              <w:top w:val="single" w:sz="8" w:space="0" w:color="auto"/>
              <w:left w:val="nil"/>
              <w:bottom w:val="single" w:sz="8" w:space="0" w:color="auto"/>
              <w:right w:val="nil"/>
            </w:tcBorders>
            <w:hideMark/>
          </w:tcPr>
          <w:p>
            <w:pPr>
              <w:spacing w:before="60" w:after="60"/>
              <w:rPr>
                <w:noProof/>
              </w:rPr>
            </w:pPr>
            <w:r>
              <w:rPr>
                <w:noProof/>
              </w:rPr>
              <w:t>Océan Atlantique, à l’est de 45° O</w:t>
            </w:r>
          </w:p>
          <w:p>
            <w:pPr>
              <w:spacing w:before="60" w:after="60"/>
              <w:rPr>
                <w:noProof/>
              </w:rPr>
            </w:pPr>
            <w:r>
              <w:rPr>
                <w:noProof/>
              </w:rPr>
              <w:t>(SAI/AE45W)</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TAC</w:t>
            </w:r>
          </w:p>
        </w:tc>
        <w:tc>
          <w:tcPr>
            <w:tcW w:w="817" w:type="pct"/>
            <w:gridSpan w:val="2"/>
            <w:tcBorders>
              <w:top w:val="single" w:sz="8" w:space="0" w:color="auto"/>
              <w:left w:val="nil"/>
              <w:bottom w:val="nil"/>
              <w:right w:val="nil"/>
            </w:tcBorders>
            <w:hideMark/>
          </w:tcPr>
          <w:p>
            <w:pPr>
              <w:spacing w:before="60" w:after="60"/>
              <w:jc w:val="right"/>
              <w:rPr>
                <w:noProof/>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rPr>
                <w:noProof/>
              </w:rPr>
            </w:pPr>
          </w:p>
        </w:tc>
        <w:tc>
          <w:tcPr>
            <w:tcW w:w="2591" w:type="pct"/>
            <w:gridSpan w:val="4"/>
            <w:tcBorders>
              <w:top w:val="single" w:sz="8" w:space="0" w:color="auto"/>
              <w:left w:val="nil"/>
              <w:bottom w:val="nil"/>
              <w:right w:val="nil"/>
            </w:tcBorders>
            <w:hideMark/>
          </w:tcPr>
          <w:p>
            <w:pPr>
              <w:spacing w:before="60" w:after="60"/>
              <w:rPr>
                <w:noProof/>
                <w:szCs w:val="24"/>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rPr>
            </w:pPr>
            <w:r>
              <w:rPr>
                <w:noProof/>
              </w:rPr>
              <w:t>Espèce:</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Voilier</w:t>
            </w:r>
          </w:p>
          <w:p>
            <w:pPr>
              <w:keepNext/>
              <w:tabs>
                <w:tab w:val="left" w:pos="850"/>
              </w:tabs>
              <w:spacing w:before="60" w:after="60"/>
              <w:ind w:left="850" w:hanging="850"/>
              <w:outlineLvl w:val="0"/>
              <w:rPr>
                <w:noProof/>
              </w:rPr>
            </w:pPr>
            <w:bookmarkStart w:id="23" w:name="_Toc26205842"/>
            <w:bookmarkStart w:id="24" w:name="_Toc26207259"/>
            <w:r>
              <w:rPr>
                <w:i/>
                <w:iCs/>
                <w:noProof/>
              </w:rPr>
              <w:t>Istiophorus albicans</w:t>
            </w:r>
            <w:bookmarkEnd w:id="23"/>
            <w:bookmarkEnd w:id="24"/>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1939" w:type="pct"/>
            <w:tcBorders>
              <w:top w:val="single" w:sz="8" w:space="0" w:color="auto"/>
              <w:left w:val="nil"/>
              <w:bottom w:val="single" w:sz="8" w:space="0" w:color="auto"/>
              <w:right w:val="nil"/>
            </w:tcBorders>
            <w:hideMark/>
          </w:tcPr>
          <w:p>
            <w:pPr>
              <w:spacing w:before="60" w:after="60"/>
              <w:rPr>
                <w:noProof/>
              </w:rPr>
            </w:pPr>
            <w:r>
              <w:rPr>
                <w:noProof/>
              </w:rPr>
              <w:t>Océan Atlantique, à l’ouest de 45° O</w:t>
            </w:r>
          </w:p>
          <w:p>
            <w:pPr>
              <w:spacing w:before="60" w:after="60"/>
              <w:rPr>
                <w:noProof/>
              </w:rPr>
            </w:pPr>
            <w:r>
              <w:rPr>
                <w:noProof/>
              </w:rPr>
              <w:t>(SAI/AW45W)</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TAC</w:t>
            </w:r>
          </w:p>
        </w:tc>
        <w:tc>
          <w:tcPr>
            <w:tcW w:w="817" w:type="pct"/>
            <w:gridSpan w:val="2"/>
            <w:tcBorders>
              <w:top w:val="single" w:sz="8" w:space="0" w:color="auto"/>
              <w:left w:val="nil"/>
              <w:bottom w:val="nil"/>
              <w:right w:val="nil"/>
            </w:tcBorders>
            <w:hideMark/>
          </w:tcPr>
          <w:p>
            <w:pPr>
              <w:spacing w:before="60" w:after="60"/>
              <w:jc w:val="right"/>
              <w:rPr>
                <w:noProof/>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rPr>
                <w:noProof/>
              </w:rPr>
            </w:pPr>
          </w:p>
        </w:tc>
        <w:tc>
          <w:tcPr>
            <w:tcW w:w="2591" w:type="pct"/>
            <w:gridSpan w:val="4"/>
            <w:tcBorders>
              <w:top w:val="single" w:sz="8" w:space="0" w:color="auto"/>
              <w:left w:val="nil"/>
              <w:bottom w:val="nil"/>
              <w:right w:val="nil"/>
            </w:tcBorders>
            <w:hideMark/>
          </w:tcPr>
          <w:p>
            <w:pPr>
              <w:spacing w:before="60" w:after="60"/>
              <w:rPr>
                <w:noProof/>
                <w:szCs w:val="24"/>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rPr>
            </w:pPr>
            <w:r>
              <w:rPr>
                <w:noProof/>
              </w:rPr>
              <w:t>Espèce:</w:t>
            </w:r>
          </w:p>
        </w:tc>
        <w:tc>
          <w:tcPr>
            <w:tcW w:w="1475" w:type="pct"/>
            <w:gridSpan w:val="4"/>
            <w:tcBorders>
              <w:top w:val="single" w:sz="8" w:space="0" w:color="auto"/>
              <w:left w:val="nil"/>
              <w:bottom w:val="single" w:sz="8" w:space="0" w:color="auto"/>
              <w:right w:val="nil"/>
            </w:tcBorders>
            <w:hideMark/>
          </w:tcPr>
          <w:p>
            <w:pPr>
              <w:keepNext/>
              <w:spacing w:before="60" w:after="60"/>
              <w:rPr>
                <w:noProof/>
              </w:rPr>
            </w:pPr>
            <w:r>
              <w:rPr>
                <w:noProof/>
              </w:rPr>
              <w:t>Peau bleue</w:t>
            </w:r>
          </w:p>
          <w:p>
            <w:pPr>
              <w:keepNext/>
              <w:tabs>
                <w:tab w:val="left" w:pos="850"/>
              </w:tabs>
              <w:spacing w:before="60" w:after="60"/>
              <w:ind w:left="850" w:hanging="850"/>
              <w:outlineLvl w:val="0"/>
              <w:rPr>
                <w:noProof/>
              </w:rPr>
            </w:pPr>
            <w:bookmarkStart w:id="25" w:name="_Toc26205843"/>
            <w:bookmarkStart w:id="26" w:name="_Toc26207260"/>
            <w:r>
              <w:rPr>
                <w:i/>
                <w:iCs/>
                <w:noProof/>
              </w:rPr>
              <w:t>Prionace glauca</w:t>
            </w:r>
            <w:bookmarkEnd w:id="25"/>
            <w:bookmarkEnd w:id="26"/>
          </w:p>
        </w:tc>
        <w:tc>
          <w:tcPr>
            <w:tcW w:w="641" w:type="pct"/>
            <w:gridSpan w:val="2"/>
            <w:tcBorders>
              <w:top w:val="single" w:sz="8" w:space="0" w:color="auto"/>
              <w:left w:val="single" w:sz="8" w:space="0" w:color="auto"/>
              <w:bottom w:val="single" w:sz="8" w:space="0" w:color="auto"/>
              <w:right w:val="nil"/>
            </w:tcBorders>
            <w:hideMark/>
          </w:tcPr>
          <w:p>
            <w:pPr>
              <w:keepNext/>
              <w:spacing w:before="60" w:after="60"/>
              <w:rPr>
                <w:noProof/>
              </w:rPr>
            </w:pPr>
            <w:r>
              <w:rPr>
                <w:noProof/>
              </w:rPr>
              <w:t>Zone:</w:t>
            </w:r>
          </w:p>
        </w:tc>
        <w:tc>
          <w:tcPr>
            <w:tcW w:w="1949" w:type="pct"/>
            <w:gridSpan w:val="2"/>
            <w:tcBorders>
              <w:top w:val="single" w:sz="8" w:space="0" w:color="auto"/>
              <w:left w:val="nil"/>
              <w:bottom w:val="single" w:sz="8" w:space="0" w:color="auto"/>
              <w:right w:val="nil"/>
            </w:tcBorders>
            <w:hideMark/>
          </w:tcPr>
          <w:p>
            <w:pPr>
              <w:keepNext/>
              <w:spacing w:before="60" w:after="60"/>
              <w:rPr>
                <w:noProof/>
              </w:rPr>
            </w:pPr>
            <w:r>
              <w:rPr>
                <w:noProof/>
              </w:rPr>
              <w:t>Océan Atlantique, au nord de 5° N</w:t>
            </w:r>
          </w:p>
          <w:p>
            <w:pPr>
              <w:keepNext/>
              <w:spacing w:before="60" w:after="60"/>
              <w:rPr>
                <w:noProof/>
              </w:rPr>
            </w:pPr>
            <w:r>
              <w:rPr>
                <w:noProof/>
              </w:rPr>
              <w:t>(BSH/AN05N)</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Irlande</w:t>
            </w:r>
          </w:p>
        </w:tc>
        <w:tc>
          <w:tcPr>
            <w:tcW w:w="817" w:type="pct"/>
            <w:gridSpan w:val="2"/>
            <w:tcBorders>
              <w:top w:val="single" w:sz="8" w:space="0" w:color="auto"/>
              <w:left w:val="nil"/>
              <w:bottom w:val="nil"/>
              <w:right w:val="nil"/>
            </w:tcBorders>
            <w:hideMark/>
          </w:tcPr>
          <w:p>
            <w:pPr>
              <w:spacing w:before="60" w:after="60"/>
              <w:jc w:val="right"/>
              <w:rPr>
                <w:noProof/>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rPr>
                <w:noProof/>
              </w:rPr>
            </w:pPr>
          </w:p>
        </w:tc>
        <w:tc>
          <w:tcPr>
            <w:tcW w:w="2591" w:type="pct"/>
            <w:gridSpan w:val="4"/>
            <w:vMerge w:val="restart"/>
            <w:tcBorders>
              <w:top w:val="single" w:sz="8" w:space="0" w:color="auto"/>
              <w:left w:val="nil"/>
              <w:bottom w:val="nil"/>
              <w:right w:val="nil"/>
            </w:tcBorders>
            <w:hideMark/>
          </w:tcPr>
          <w:p>
            <w:pPr>
              <w:spacing w:before="60" w:after="60"/>
              <w:rPr>
                <w:noProof/>
                <w:szCs w:val="24"/>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935" w:type="pct"/>
            <w:hideMark/>
          </w:tcPr>
          <w:p>
            <w:pPr>
              <w:spacing w:before="60" w:after="60"/>
              <w:rPr>
                <w:noProof/>
              </w:rPr>
            </w:pPr>
            <w:r>
              <w:rPr>
                <w:noProof/>
              </w:rPr>
              <w:t>Spain</w:t>
            </w:r>
          </w:p>
        </w:tc>
        <w:tc>
          <w:tcPr>
            <w:tcW w:w="817" w:type="pct"/>
            <w:gridSpan w:val="2"/>
            <w:hideMark/>
          </w:tcPr>
          <w:p>
            <w:pPr>
              <w:spacing w:before="60" w:after="60"/>
              <w:jc w:val="right"/>
              <w:rPr>
                <w:noProof/>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France</w:t>
            </w:r>
          </w:p>
        </w:tc>
        <w:tc>
          <w:tcPr>
            <w:tcW w:w="817" w:type="pct"/>
            <w:gridSpan w:val="2"/>
            <w:hideMark/>
          </w:tcPr>
          <w:p>
            <w:pPr>
              <w:spacing w:before="60" w:after="60"/>
              <w:jc w:val="right"/>
              <w:rPr>
                <w:noProof/>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Portugal</w:t>
            </w:r>
          </w:p>
        </w:tc>
        <w:tc>
          <w:tcPr>
            <w:tcW w:w="817" w:type="pct"/>
            <w:gridSpan w:val="2"/>
            <w:hideMark/>
          </w:tcPr>
          <w:p>
            <w:pPr>
              <w:spacing w:before="60" w:after="60"/>
              <w:jc w:val="right"/>
              <w:rPr>
                <w:noProof/>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(1)</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Union</w:t>
            </w:r>
          </w:p>
        </w:tc>
        <w:tc>
          <w:tcPr>
            <w:tcW w:w="817" w:type="pct"/>
            <w:gridSpan w:val="2"/>
            <w:hideMark/>
          </w:tcPr>
          <w:p>
            <w:pPr>
              <w:spacing w:before="60" w:after="60"/>
              <w:jc w:val="right"/>
              <w:rPr>
                <w:noProof/>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TAC</w:t>
            </w:r>
          </w:p>
        </w:tc>
        <w:tc>
          <w:tcPr>
            <w:tcW w:w="817" w:type="pct"/>
            <w:gridSpan w:val="2"/>
            <w:hideMark/>
          </w:tcPr>
          <w:p>
            <w:pPr>
              <w:spacing w:before="60" w:after="60"/>
              <w:jc w:val="right"/>
              <w:rPr>
                <w:noProof/>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rPr>
            </w:pPr>
            <w:r>
              <w:rPr>
                <w:b/>
                <w:bCs/>
                <w:noProof/>
                <w:vertAlign w:val="superscript"/>
              </w:rPr>
              <w:t>(1)</w:t>
            </w:r>
          </w:p>
        </w:tc>
        <w:tc>
          <w:tcPr>
            <w:tcW w:w="4065" w:type="pct"/>
            <w:gridSpan w:val="8"/>
            <w:tcBorders>
              <w:top w:val="nil"/>
              <w:left w:val="nil"/>
              <w:bottom w:val="single" w:sz="8" w:space="0" w:color="auto"/>
              <w:right w:val="nil"/>
            </w:tcBorders>
            <w:hideMark/>
          </w:tcPr>
          <w:p>
            <w:pPr>
              <w:spacing w:before="60" w:after="60"/>
              <w:rPr>
                <w:noProof/>
              </w:rPr>
            </w:pPr>
            <w:r>
              <w:rPr>
                <w:noProof/>
              </w:rPr>
              <w:t>La période et la méthode de calcul utilisées par la CICTA pour fixer les limites de capture pour la peau bleue dans l’Atlantique Nord ne préjugent pas de la période ni de la méthode de calcul utilisée pour définir à l’avenir les clés de répartition au niveau de l’Union.</w:t>
            </w:r>
          </w:p>
        </w:tc>
      </w:tr>
    </w:tbl>
    <w:tbl>
      <w:tblPr>
        <w:tblpPr w:leftFromText="141" w:rightFromText="141" w:vertAnchor="text" w:horzAnchor="margin" w:tblpY="385"/>
        <w:tblW w:w="5047" w:type="pct"/>
        <w:tblLook w:val="06A0" w:firstRow="1" w:lastRow="0" w:firstColumn="1" w:lastColumn="0" w:noHBand="1" w:noVBand="1"/>
      </w:tblPr>
      <w:tblGrid>
        <w:gridCol w:w="1836"/>
        <w:gridCol w:w="1958"/>
        <w:gridCol w:w="965"/>
        <w:gridCol w:w="1295"/>
        <w:gridCol w:w="3894"/>
      </w:tblGrid>
      <w:tr>
        <w:trPr>
          <w:trHeight w:val="227"/>
        </w:trPr>
        <w:tc>
          <w:tcPr>
            <w:tcW w:w="923" w:type="pct"/>
            <w:tcBorders>
              <w:top w:val="single" w:sz="8" w:space="0" w:color="auto"/>
              <w:left w:val="nil"/>
              <w:bottom w:val="single" w:sz="8" w:space="0" w:color="auto"/>
              <w:right w:val="nil"/>
            </w:tcBorders>
            <w:hideMark/>
          </w:tcPr>
          <w:p>
            <w:pPr>
              <w:pageBreakBefore/>
              <w:spacing w:before="60" w:after="60"/>
              <w:rPr>
                <w:noProof/>
              </w:rPr>
            </w:pPr>
            <w:r>
              <w:rPr>
                <w:noProof/>
              </w:rPr>
              <w:t>Espèce:</w:t>
            </w:r>
          </w:p>
        </w:tc>
        <w:tc>
          <w:tcPr>
            <w:tcW w:w="1469" w:type="pct"/>
            <w:gridSpan w:val="2"/>
            <w:tcBorders>
              <w:top w:val="single" w:sz="8" w:space="0" w:color="auto"/>
              <w:left w:val="nil"/>
              <w:bottom w:val="single" w:sz="8" w:space="0" w:color="auto"/>
              <w:right w:val="nil"/>
            </w:tcBorders>
            <w:hideMark/>
          </w:tcPr>
          <w:p>
            <w:pPr>
              <w:keepNext/>
              <w:spacing w:before="60" w:after="60"/>
              <w:rPr>
                <w:noProof/>
              </w:rPr>
            </w:pPr>
            <w:r>
              <w:rPr>
                <w:noProof/>
              </w:rPr>
              <w:t>Peau bleue</w:t>
            </w:r>
          </w:p>
          <w:p>
            <w:pPr>
              <w:keepNext/>
              <w:tabs>
                <w:tab w:val="left" w:pos="850"/>
              </w:tabs>
              <w:spacing w:before="60" w:after="60"/>
              <w:ind w:left="850" w:hanging="850"/>
              <w:outlineLvl w:val="0"/>
              <w:rPr>
                <w:noProof/>
              </w:rPr>
            </w:pPr>
            <w:bookmarkStart w:id="27" w:name="_Toc26205844"/>
            <w:bookmarkStart w:id="28" w:name="_Toc26207261"/>
            <w:r>
              <w:rPr>
                <w:i/>
                <w:iCs/>
                <w:noProof/>
              </w:rPr>
              <w:t>Prionace glauca</w:t>
            </w:r>
            <w:bookmarkEnd w:id="27"/>
            <w:bookmarkEnd w:id="28"/>
          </w:p>
        </w:tc>
        <w:tc>
          <w:tcPr>
            <w:tcW w:w="651" w:type="pct"/>
            <w:tcBorders>
              <w:top w:val="single" w:sz="8" w:space="0" w:color="auto"/>
              <w:left w:val="single" w:sz="8" w:space="0" w:color="auto"/>
              <w:bottom w:val="single" w:sz="8" w:space="0" w:color="auto"/>
              <w:right w:val="nil"/>
            </w:tcBorders>
            <w:hideMark/>
          </w:tcPr>
          <w:p>
            <w:pPr>
              <w:keepNext/>
              <w:spacing w:before="60" w:after="60"/>
              <w:rPr>
                <w:noProof/>
              </w:rPr>
            </w:pPr>
            <w:r>
              <w:rPr>
                <w:noProof/>
              </w:rPr>
              <w:t>Zone:</w:t>
            </w:r>
          </w:p>
        </w:tc>
        <w:tc>
          <w:tcPr>
            <w:tcW w:w="1957" w:type="pct"/>
            <w:tcBorders>
              <w:top w:val="single" w:sz="8" w:space="0" w:color="auto"/>
              <w:left w:val="nil"/>
              <w:bottom w:val="single" w:sz="8" w:space="0" w:color="auto"/>
              <w:right w:val="nil"/>
            </w:tcBorders>
            <w:hideMark/>
          </w:tcPr>
          <w:p>
            <w:pPr>
              <w:keepNext/>
              <w:spacing w:before="60" w:after="60"/>
              <w:rPr>
                <w:noProof/>
              </w:rPr>
            </w:pPr>
            <w:r>
              <w:rPr>
                <w:noProof/>
              </w:rPr>
              <w:t>Océan Atlantique, au sud de 5° N</w:t>
            </w:r>
          </w:p>
          <w:p>
            <w:pPr>
              <w:keepNext/>
              <w:spacing w:before="60" w:after="60"/>
              <w:rPr>
                <w:noProof/>
              </w:rPr>
            </w:pPr>
            <w:r>
              <w:rPr>
                <w:noProof/>
              </w:rPr>
              <w:t>(BSH/AS05N)</w:t>
            </w:r>
          </w:p>
        </w:tc>
      </w:tr>
      <w:tr>
        <w:trPr>
          <w:trHeight w:val="1760"/>
        </w:trPr>
        <w:tc>
          <w:tcPr>
            <w:tcW w:w="923" w:type="pct"/>
            <w:tcBorders>
              <w:top w:val="single" w:sz="8" w:space="0" w:color="auto"/>
              <w:left w:val="nil"/>
              <w:bottom w:val="nil"/>
              <w:right w:val="nil"/>
            </w:tcBorders>
            <w:hideMark/>
          </w:tcPr>
          <w:p>
            <w:pPr>
              <w:keepNext/>
              <w:spacing w:before="60" w:after="60"/>
              <w:rPr>
                <w:noProof/>
              </w:rPr>
            </w:pPr>
            <w:r>
              <w:rPr>
                <w:noProof/>
              </w:rPr>
              <w:t>TAC</w:t>
            </w:r>
          </w:p>
        </w:tc>
        <w:tc>
          <w:tcPr>
            <w:tcW w:w="984" w:type="pct"/>
            <w:tcBorders>
              <w:top w:val="single" w:sz="8" w:space="0" w:color="auto"/>
              <w:left w:val="nil"/>
              <w:bottom w:val="nil"/>
              <w:right w:val="nil"/>
            </w:tcBorders>
            <w:hideMark/>
          </w:tcPr>
          <w:p>
            <w:pPr>
              <w:keepNext/>
              <w:jc w:val="right"/>
              <w:rPr>
                <w:noProof/>
                <w:color w:val="000000"/>
              </w:rPr>
            </w:pPr>
            <w:r>
              <w:rPr>
                <w:rFonts w:asciiTheme="majorBidi" w:hAnsiTheme="majorBidi"/>
                <w:noProof/>
                <w:color w:val="000000"/>
              </w:rPr>
              <w:t>p.m.</w:t>
            </w:r>
          </w:p>
        </w:tc>
        <w:tc>
          <w:tcPr>
            <w:tcW w:w="485" w:type="pct"/>
            <w:tcBorders>
              <w:top w:val="single" w:sz="8" w:space="0" w:color="auto"/>
              <w:left w:val="nil"/>
              <w:bottom w:val="nil"/>
              <w:right w:val="nil"/>
            </w:tcBorders>
            <w:hideMark/>
          </w:tcPr>
          <w:p>
            <w:pPr>
              <w:keepNext/>
              <w:spacing w:before="60" w:after="60"/>
              <w:rPr>
                <w:b/>
                <w:bCs/>
                <w:noProof/>
                <w:vertAlign w:val="superscript"/>
              </w:rPr>
            </w:pPr>
            <w:r>
              <w:rPr>
                <w:b/>
                <w:bCs/>
                <w:noProof/>
                <w:vertAlign w:val="superscript"/>
              </w:rPr>
              <w:t>(1)</w:t>
            </w:r>
          </w:p>
        </w:tc>
        <w:tc>
          <w:tcPr>
            <w:tcW w:w="2608" w:type="pct"/>
            <w:gridSpan w:val="2"/>
            <w:tcBorders>
              <w:top w:val="single" w:sz="8" w:space="0" w:color="auto"/>
              <w:left w:val="nil"/>
              <w:bottom w:val="nil"/>
              <w:right w:val="nil"/>
            </w:tcBorders>
            <w:hideMark/>
          </w:tcPr>
          <w:p>
            <w:pPr>
              <w:keepNext/>
              <w:spacing w:before="60" w:after="60"/>
              <w:rPr>
                <w:noProof/>
              </w:rPr>
            </w:pPr>
            <w:r>
              <w:rPr>
                <w:noProof/>
              </w:rPr>
              <w:t>TAC analytique</w:t>
            </w:r>
          </w:p>
          <w:p>
            <w:pPr>
              <w:keepNext/>
              <w:spacing w:before="60" w:after="60"/>
              <w:rPr>
                <w:noProof/>
              </w:rPr>
            </w:pPr>
            <w:r>
              <w:rPr>
                <w:noProof/>
              </w:rPr>
              <w:t>L’article 3 du règlement (CE) nº 847/96 ne s’applique pas</w:t>
            </w:r>
          </w:p>
          <w:p>
            <w:pPr>
              <w:keepNext/>
              <w:spacing w:before="60" w:after="60"/>
              <w:rPr>
                <w:noProof/>
              </w:rPr>
            </w:pPr>
            <w:r>
              <w:rPr>
                <w:noProof/>
              </w:rPr>
              <w:t>L’article 4 du règlement (CE) nº 847/96 ne s’applique pas</w:t>
            </w:r>
          </w:p>
        </w:tc>
      </w:tr>
      <w:tr>
        <w:trPr>
          <w:trHeight w:val="227"/>
        </w:trPr>
        <w:tc>
          <w:tcPr>
            <w:tcW w:w="923" w:type="pct"/>
            <w:tcBorders>
              <w:top w:val="nil"/>
              <w:left w:val="nil"/>
              <w:bottom w:val="single" w:sz="8" w:space="0" w:color="auto"/>
              <w:right w:val="nil"/>
            </w:tcBorders>
            <w:hideMark/>
          </w:tcPr>
          <w:p>
            <w:pPr>
              <w:keepNext/>
              <w:jc w:val="right"/>
              <w:rPr>
                <w:b/>
                <w:bCs/>
                <w:noProof/>
                <w:vertAlign w:val="superscript"/>
              </w:rPr>
            </w:pPr>
            <w:r>
              <w:rPr>
                <w:b/>
                <w:bCs/>
                <w:noProof/>
                <w:vertAlign w:val="superscript"/>
              </w:rPr>
              <w:t>(1)</w:t>
            </w:r>
          </w:p>
        </w:tc>
        <w:tc>
          <w:tcPr>
            <w:tcW w:w="4077" w:type="pct"/>
            <w:gridSpan w:val="4"/>
            <w:tcBorders>
              <w:top w:val="nil"/>
              <w:left w:val="nil"/>
              <w:bottom w:val="single" w:sz="8" w:space="0" w:color="auto"/>
              <w:right w:val="nil"/>
            </w:tcBorders>
            <w:hideMark/>
          </w:tcPr>
          <w:p>
            <w:pPr>
              <w:keepNext/>
              <w:rPr>
                <w:noProof/>
              </w:rPr>
            </w:pPr>
            <w:r>
              <w:rPr>
                <w:noProof/>
              </w:rPr>
              <w:t>La période et la méthode de calcul utilisées par la CICTA pour fixer les limites de capture pour la peau bleue dans l’Atlantique Nord ne préjugent pas de la période ni de la méthode de calcul utilisée pour définir à l’avenir les clés de répartition au niveau de l’Union.</w:t>
            </w:r>
          </w:p>
        </w:tc>
      </w:tr>
    </w:tbl>
    <w:p>
      <w:pPr>
        <w:pStyle w:val="Lignefinal"/>
        <w:rPr>
          <w:noProof/>
        </w:rPr>
      </w:pPr>
    </w:p>
    <w:p>
      <w:pPr>
        <w:spacing w:before="0" w:after="0"/>
        <w:rPr>
          <w:b/>
          <w:noProof/>
          <w:u w:val="single"/>
        </w:rPr>
        <w:sectPr>
          <w:pgSz w:w="11907" w:h="16840"/>
          <w:pgMar w:top="1134" w:right="1134" w:bottom="1134" w:left="1134" w:header="567" w:footer="567" w:gutter="0"/>
          <w:pgNumType w:start="97"/>
          <w:cols w:space="720"/>
          <w:docGrid w:linePitch="326"/>
        </w:sectPr>
      </w:pPr>
    </w:p>
    <w:p>
      <w:pPr>
        <w:jc w:val="center"/>
        <w:rPr>
          <w:b/>
          <w:noProof/>
        </w:rPr>
      </w:pPr>
      <w:r>
        <w:rPr>
          <w:b/>
          <w:noProof/>
        </w:rPr>
        <w:t>ANNEXE IE</w:t>
      </w:r>
    </w:p>
    <w:p>
      <w:pPr>
        <w:pStyle w:val="NormalCentered"/>
        <w:rPr>
          <w:noProof/>
        </w:rPr>
      </w:pPr>
      <w:r>
        <w:rPr>
          <w:noProof/>
        </w:rPr>
        <w:t>ATLANTIQUE DU SUD-EST — ZONE DE LA CONVENTION OPASE</w:t>
      </w:r>
    </w:p>
    <w:p>
      <w:pPr>
        <w:rPr>
          <w:noProof/>
        </w:rPr>
      </w:pPr>
      <w:r>
        <w:rPr>
          <w:noProof/>
        </w:rPr>
        <w:t>Les TAC figurant ci-après ne sont pas attribués aux membres de l’OPASE et la part de l’Union n’est donc pas déterminée. Le contrôle des captures est assuré par le secrétariat de l’OPASE, qui annonce aux parties contractantes la fermeture de la pêche lorsque le TAC est épuisé.</w:t>
      </w:r>
    </w:p>
    <w:tbl>
      <w:tblPr>
        <w:tblW w:w="0" w:type="auto"/>
        <w:tblInd w:w="108" w:type="dxa"/>
        <w:tblLayout w:type="fixed"/>
        <w:tblLook w:val="04A0" w:firstRow="1" w:lastRow="0" w:firstColumn="1" w:lastColumn="0" w:noHBand="0" w:noVBand="1"/>
      </w:tblPr>
      <w:tblGrid>
        <w:gridCol w:w="1701"/>
        <w:gridCol w:w="1985"/>
        <w:gridCol w:w="992"/>
        <w:gridCol w:w="992"/>
        <w:gridCol w:w="3709"/>
      </w:tblGrid>
      <w:tr>
        <w:trPr>
          <w:trHeight w:val="227"/>
        </w:trPr>
        <w:tc>
          <w:tcPr>
            <w:tcW w:w="1701"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Espèce:</w:t>
            </w:r>
          </w:p>
        </w:tc>
        <w:tc>
          <w:tcPr>
            <w:tcW w:w="2977" w:type="dxa"/>
            <w:gridSpan w:val="2"/>
            <w:tcBorders>
              <w:top w:val="single" w:sz="8" w:space="0" w:color="000000"/>
              <w:left w:val="nil"/>
              <w:bottom w:val="single" w:sz="8" w:space="0" w:color="auto"/>
              <w:right w:val="single" w:sz="8" w:space="0" w:color="auto"/>
            </w:tcBorders>
            <w:hideMark/>
          </w:tcPr>
          <w:p>
            <w:pPr>
              <w:spacing w:before="60" w:after="60"/>
              <w:rPr>
                <w:rFonts w:asciiTheme="majorBidi" w:hAnsiTheme="majorBidi" w:cstheme="majorBidi"/>
                <w:noProof/>
              </w:rPr>
            </w:pPr>
            <w:r>
              <w:rPr>
                <w:rFonts w:asciiTheme="majorBidi" w:hAnsiTheme="majorBidi"/>
                <w:noProof/>
              </w:rPr>
              <w:t>Béryx</w:t>
            </w:r>
          </w:p>
          <w:p>
            <w:pPr>
              <w:spacing w:before="60" w:after="60"/>
              <w:rPr>
                <w:rFonts w:asciiTheme="majorBidi" w:hAnsiTheme="majorBidi" w:cstheme="majorBidi"/>
                <w:noProof/>
              </w:rPr>
            </w:pPr>
            <w:r>
              <w:rPr>
                <w:rFonts w:asciiTheme="majorBidi" w:hAnsiTheme="majorBidi"/>
                <w:i/>
                <w:iCs/>
                <w:noProof/>
              </w:rPr>
              <w:t>Beryx</w:t>
            </w:r>
            <w:r>
              <w:rPr>
                <w:rFonts w:asciiTheme="majorBidi" w:hAnsiTheme="majorBidi"/>
                <w:noProof/>
              </w:rPr>
              <w:t xml:space="preserve"> spp.</w:t>
            </w:r>
          </w:p>
        </w:tc>
        <w:tc>
          <w:tcPr>
            <w:tcW w:w="992" w:type="dxa"/>
            <w:tcBorders>
              <w:top w:val="single" w:sz="8" w:space="0" w:color="000000"/>
              <w:left w:val="single" w:sz="8" w:space="0" w:color="auto"/>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Zone:</w:t>
            </w:r>
          </w:p>
        </w:tc>
        <w:tc>
          <w:tcPr>
            <w:tcW w:w="3709"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OPASE</w:t>
            </w:r>
          </w:p>
          <w:p>
            <w:pPr>
              <w:spacing w:before="60" w:after="60"/>
              <w:rPr>
                <w:rFonts w:asciiTheme="majorBidi" w:hAnsiTheme="majorBidi" w:cstheme="majorBidi"/>
                <w:noProof/>
              </w:rPr>
            </w:pPr>
            <w:r>
              <w:rPr>
                <w:rFonts w:asciiTheme="majorBidi" w:hAnsiTheme="majorBidi"/>
                <w:noProof/>
              </w:rPr>
              <w:t>(ALF/SEAFO)</w:t>
            </w:r>
          </w:p>
        </w:tc>
      </w:tr>
      <w:tr>
        <w:trPr>
          <w:trHeight w:val="227"/>
        </w:trPr>
        <w:tc>
          <w:tcPr>
            <w:tcW w:w="1701" w:type="dxa"/>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TAC</w:t>
            </w:r>
          </w:p>
        </w:tc>
        <w:tc>
          <w:tcPr>
            <w:tcW w:w="1985" w:type="dxa"/>
            <w:tcBorders>
              <w:top w:val="single" w:sz="8" w:space="0" w:color="auto"/>
              <w:left w:val="nil"/>
              <w:bottom w:val="nil"/>
              <w:right w:val="nil"/>
            </w:tcBorders>
            <w:hideMark/>
          </w:tcPr>
          <w:p>
            <w:pPr>
              <w:spacing w:before="60" w:after="60"/>
              <w:jc w:val="right"/>
              <w:rPr>
                <w:noProof/>
              </w:rPr>
            </w:pPr>
            <w:r>
              <w:rPr>
                <w:noProof/>
              </w:rPr>
              <w:t>p.m.</w:t>
            </w:r>
          </w:p>
        </w:tc>
        <w:tc>
          <w:tcPr>
            <w:tcW w:w="992" w:type="dxa"/>
            <w:tcBorders>
              <w:top w:val="single" w:sz="8" w:space="0" w:color="auto"/>
              <w:left w:val="nil"/>
              <w:bottom w:val="nil"/>
              <w:right w:val="nil"/>
            </w:tcBorders>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701" w:type="dxa"/>
            <w:gridSpan w:val="2"/>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TAC de précaution</w:t>
            </w:r>
          </w:p>
        </w:tc>
      </w:tr>
      <w:tr>
        <w:trPr>
          <w:trHeight w:val="227"/>
        </w:trPr>
        <w:tc>
          <w:tcPr>
            <w:tcW w:w="9379" w:type="dxa"/>
            <w:gridSpan w:val="5"/>
            <w:tcBorders>
              <w:top w:val="nil"/>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b/>
                <w:bCs/>
                <w:noProof/>
                <w:vertAlign w:val="superscript"/>
              </w:rPr>
              <w:t>(1)</w:t>
            </w:r>
            <w:r>
              <w:rPr>
                <w:noProof/>
              </w:rPr>
              <w:tab/>
            </w:r>
            <w:r>
              <w:rPr>
                <w:rFonts w:asciiTheme="majorBidi" w:hAnsiTheme="majorBidi"/>
                <w:noProof/>
              </w:rPr>
              <w:t>Les captures sont limitées à 132 tonnes dans la division B1 (ALF/*F47NA).</w:t>
            </w:r>
          </w:p>
        </w:tc>
      </w:tr>
      <w:tr>
        <w:trPr>
          <w:trHeight w:val="227"/>
        </w:trPr>
        <w:tc>
          <w:tcPr>
            <w:tcW w:w="9379" w:type="dxa"/>
            <w:gridSpan w:val="5"/>
            <w:tcBorders>
              <w:top w:val="single" w:sz="8" w:space="0" w:color="auto"/>
              <w:left w:val="nil"/>
              <w:bottom w:val="nil"/>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Espèce:</w:t>
            </w:r>
          </w:p>
        </w:tc>
        <w:tc>
          <w:tcPr>
            <w:tcW w:w="2977" w:type="dxa"/>
            <w:gridSpan w:val="2"/>
            <w:tcBorders>
              <w:top w:val="single" w:sz="8" w:space="0" w:color="000000"/>
              <w:left w:val="nil"/>
              <w:bottom w:val="single" w:sz="8" w:space="0" w:color="000000"/>
              <w:right w:val="single" w:sz="8" w:space="0" w:color="auto"/>
            </w:tcBorders>
            <w:hideMark/>
          </w:tcPr>
          <w:p>
            <w:pPr>
              <w:spacing w:before="60" w:after="60"/>
              <w:rPr>
                <w:rFonts w:asciiTheme="majorBidi" w:hAnsiTheme="majorBidi" w:cstheme="majorBidi"/>
                <w:noProof/>
              </w:rPr>
            </w:pPr>
            <w:r>
              <w:rPr>
                <w:rFonts w:asciiTheme="majorBidi" w:hAnsiTheme="majorBidi"/>
                <w:noProof/>
              </w:rPr>
              <w:t xml:space="preserve">Crabes </w:t>
            </w:r>
            <w:r>
              <w:rPr>
                <w:rFonts w:asciiTheme="majorBidi" w:hAnsiTheme="majorBidi"/>
                <w:i/>
                <w:iCs/>
                <w:noProof/>
              </w:rPr>
              <w:t>Chaceon</w:t>
            </w:r>
          </w:p>
          <w:p>
            <w:pPr>
              <w:spacing w:before="60" w:after="60"/>
              <w:rPr>
                <w:rFonts w:asciiTheme="majorBidi" w:hAnsiTheme="majorBidi" w:cstheme="majorBidi"/>
                <w:noProof/>
              </w:rPr>
            </w:pPr>
            <w:r>
              <w:rPr>
                <w:rFonts w:asciiTheme="majorBidi" w:hAnsiTheme="majorBidi"/>
                <w:i/>
                <w:iCs/>
                <w:noProof/>
              </w:rPr>
              <w:t>Chaceon</w:t>
            </w:r>
            <w:r>
              <w:rPr>
                <w:rFonts w:asciiTheme="majorBidi" w:hAnsiTheme="majorBidi"/>
                <w:noProof/>
              </w:rPr>
              <w:t> spp.</w:t>
            </w:r>
          </w:p>
        </w:tc>
        <w:tc>
          <w:tcPr>
            <w:tcW w:w="992" w:type="dxa"/>
            <w:tcBorders>
              <w:top w:val="single" w:sz="8" w:space="0" w:color="000000"/>
              <w:left w:val="single" w:sz="8" w:space="0" w:color="auto"/>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Zone:</w:t>
            </w:r>
          </w:p>
        </w:tc>
        <w:tc>
          <w:tcPr>
            <w:tcW w:w="3709"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Sous-division B 1 de l’OPASE</w:t>
            </w:r>
            <w:r>
              <w:rPr>
                <w:rFonts w:asciiTheme="majorBidi" w:hAnsiTheme="majorBidi"/>
                <w:b/>
                <w:bCs/>
                <w:noProof/>
                <w:vertAlign w:val="superscript"/>
              </w:rPr>
              <w:t>(1)</w:t>
            </w:r>
          </w:p>
          <w:p>
            <w:pPr>
              <w:spacing w:before="60" w:after="60"/>
              <w:rPr>
                <w:rFonts w:asciiTheme="majorBidi" w:hAnsiTheme="majorBidi" w:cstheme="majorBidi"/>
                <w:noProof/>
              </w:rPr>
            </w:pPr>
            <w:r>
              <w:rPr>
                <w:rFonts w:asciiTheme="majorBidi" w:hAnsiTheme="majorBidi"/>
                <w:noProof/>
              </w:rPr>
              <w:t>(GER/F47NAM)</w:t>
            </w:r>
          </w:p>
        </w:tc>
      </w:tr>
      <w:tr>
        <w:trPr>
          <w:trHeight w:val="227"/>
        </w:trPr>
        <w:tc>
          <w:tcPr>
            <w:tcW w:w="1701" w:type="dxa"/>
            <w:hideMark/>
          </w:tcPr>
          <w:p>
            <w:pPr>
              <w:spacing w:before="60" w:after="60"/>
              <w:rPr>
                <w:rFonts w:asciiTheme="majorBidi" w:hAnsiTheme="majorBidi" w:cstheme="majorBidi"/>
                <w:noProof/>
              </w:rPr>
            </w:pPr>
            <w:r>
              <w:rPr>
                <w:rFonts w:asciiTheme="majorBidi" w:hAnsiTheme="majorBidi"/>
                <w:noProof/>
              </w:rPr>
              <w:t>TAC</w:t>
            </w:r>
          </w:p>
        </w:tc>
        <w:tc>
          <w:tcPr>
            <w:tcW w:w="1985" w:type="dxa"/>
            <w:hideMark/>
          </w:tcPr>
          <w:p>
            <w:pPr>
              <w:spacing w:before="60" w:after="60"/>
              <w:jc w:val="right"/>
              <w:rPr>
                <w:noProof/>
              </w:rPr>
            </w:pPr>
            <w:r>
              <w:rPr>
                <w:noProof/>
              </w:rPr>
              <w:t>p.m.</w:t>
            </w:r>
          </w:p>
        </w:tc>
        <w:tc>
          <w:tcPr>
            <w:tcW w:w="992" w:type="dxa"/>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701" w:type="dxa"/>
            <w:gridSpan w:val="2"/>
            <w:hideMark/>
          </w:tcPr>
          <w:p>
            <w:pPr>
              <w:spacing w:before="60" w:after="60"/>
              <w:rPr>
                <w:rFonts w:asciiTheme="majorBidi" w:hAnsiTheme="majorBidi" w:cstheme="majorBidi"/>
                <w:noProof/>
              </w:rPr>
            </w:pPr>
            <w:r>
              <w:rPr>
                <w:rFonts w:asciiTheme="majorBidi" w:hAnsiTheme="majorBidi"/>
                <w:noProof/>
              </w:rPr>
              <w:t>TAC de précaution</w:t>
            </w:r>
          </w:p>
        </w:tc>
      </w:tr>
      <w:tr>
        <w:trPr>
          <w:trHeight w:val="227"/>
        </w:trPr>
        <w:tc>
          <w:tcPr>
            <w:tcW w:w="9379" w:type="dxa"/>
            <w:gridSpan w:val="5"/>
            <w:tcBorders>
              <w:top w:val="nil"/>
              <w:left w:val="nil"/>
              <w:bottom w:val="single" w:sz="8" w:space="0" w:color="000000"/>
              <w:right w:val="nil"/>
            </w:tcBorders>
            <w:hideMark/>
          </w:tcPr>
          <w:p>
            <w:pPr>
              <w:spacing w:before="60" w:after="60"/>
              <w:ind w:left="720" w:hanging="720"/>
              <w:rPr>
                <w:rFonts w:asciiTheme="majorBidi" w:hAnsiTheme="majorBidi" w:cstheme="majorBidi"/>
                <w:noProof/>
              </w:rPr>
            </w:pPr>
            <w:r>
              <w:rPr>
                <w:rFonts w:asciiTheme="majorBidi" w:hAnsiTheme="majorBidi"/>
                <w:b/>
                <w:bCs/>
                <w:noProof/>
                <w:vertAlign w:val="superscript"/>
              </w:rPr>
              <w:t>(1)</w:t>
            </w:r>
            <w:r>
              <w:rPr>
                <w:noProof/>
              </w:rPr>
              <w:tab/>
            </w:r>
            <w:r>
              <w:rPr>
                <w:rFonts w:asciiTheme="majorBidi" w:hAnsiTheme="majorBidi"/>
                <w:noProof/>
              </w:rPr>
              <w:t>Pour les besoins de ce TAC, on entend par «zone ouverte à la pêche» le secteur dont les limites s’étendent:</w:t>
            </w:r>
            <w:r>
              <w:rPr>
                <w:noProof/>
              </w:rPr>
              <w:t xml:space="preserve"> </w:t>
            </w:r>
            <w:r>
              <w:rPr>
                <w:noProof/>
              </w:rPr>
              <w:br/>
            </w:r>
            <w:r>
              <w:rPr>
                <w:rFonts w:asciiTheme="majorBidi" w:hAnsiTheme="majorBidi"/>
                <w:noProof/>
              </w:rPr>
              <w:t>– à l’ouest, le long de la longitude 0° E;</w:t>
            </w:r>
            <w:r>
              <w:rPr>
                <w:noProof/>
              </w:rPr>
              <w:t xml:space="preserve"> </w:t>
            </w:r>
            <w:r>
              <w:rPr>
                <w:noProof/>
              </w:rPr>
              <w:br/>
            </w:r>
            <w:r>
              <w:rPr>
                <w:rFonts w:asciiTheme="majorBidi" w:hAnsiTheme="majorBidi"/>
                <w:noProof/>
              </w:rPr>
              <w:t>– au nord, le long de la latitude 20° S;</w:t>
            </w:r>
            <w:r>
              <w:rPr>
                <w:noProof/>
              </w:rPr>
              <w:t xml:space="preserve"> </w:t>
            </w:r>
            <w:r>
              <w:rPr>
                <w:noProof/>
              </w:rPr>
              <w:br/>
            </w:r>
            <w:r>
              <w:rPr>
                <w:rFonts w:asciiTheme="majorBidi" w:hAnsiTheme="majorBidi"/>
                <w:noProof/>
              </w:rPr>
              <w:t>– au sud, le long de la latitude 28° S; et</w:t>
            </w:r>
            <w:r>
              <w:rPr>
                <w:noProof/>
              </w:rPr>
              <w:t xml:space="preserve"> </w:t>
            </w:r>
            <w:r>
              <w:rPr>
                <w:noProof/>
              </w:rPr>
              <w:br/>
            </w:r>
            <w:r>
              <w:rPr>
                <w:rFonts w:asciiTheme="majorBidi" w:hAnsiTheme="majorBidi"/>
                <w:noProof/>
              </w:rPr>
              <w:t>– à l’est, le long des limites extérieures de la ZEE namibienne.</w:t>
            </w:r>
          </w:p>
        </w:tc>
      </w:tr>
      <w:tr>
        <w:trPr>
          <w:trHeight w:val="227"/>
        </w:trPr>
        <w:tc>
          <w:tcPr>
            <w:tcW w:w="9379" w:type="dxa"/>
            <w:gridSpan w:val="5"/>
            <w:tcBorders>
              <w:top w:val="single" w:sz="8" w:space="0" w:color="000000"/>
              <w:left w:val="nil"/>
              <w:bottom w:val="single" w:sz="8" w:space="0" w:color="auto"/>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auto"/>
              <w:left w:val="nil"/>
              <w:bottom w:val="single" w:sz="8" w:space="0" w:color="000000"/>
              <w:right w:val="nil"/>
            </w:tcBorders>
            <w:hideMark/>
          </w:tcPr>
          <w:p>
            <w:pPr>
              <w:pageBreakBefore/>
              <w:spacing w:before="60" w:after="60"/>
              <w:rPr>
                <w:rFonts w:asciiTheme="majorBidi" w:hAnsiTheme="majorBidi" w:cstheme="majorBidi"/>
                <w:noProof/>
              </w:rPr>
            </w:pPr>
            <w:r>
              <w:rPr>
                <w:rFonts w:asciiTheme="majorBidi" w:hAnsiTheme="majorBidi"/>
                <w:noProof/>
              </w:rPr>
              <w:t>Espèce:</w:t>
            </w:r>
          </w:p>
        </w:tc>
        <w:tc>
          <w:tcPr>
            <w:tcW w:w="2977" w:type="dxa"/>
            <w:gridSpan w:val="2"/>
            <w:tcBorders>
              <w:top w:val="single" w:sz="8" w:space="0" w:color="auto"/>
              <w:left w:val="nil"/>
              <w:bottom w:val="single" w:sz="8" w:space="0" w:color="000000"/>
              <w:right w:val="single" w:sz="8" w:space="0" w:color="auto"/>
            </w:tcBorders>
            <w:hideMark/>
          </w:tcPr>
          <w:p>
            <w:pPr>
              <w:spacing w:before="60" w:after="60"/>
              <w:rPr>
                <w:rFonts w:asciiTheme="majorBidi" w:hAnsiTheme="majorBidi" w:cstheme="majorBidi"/>
                <w:noProof/>
              </w:rPr>
            </w:pPr>
            <w:r>
              <w:rPr>
                <w:rFonts w:asciiTheme="majorBidi" w:hAnsiTheme="majorBidi"/>
                <w:noProof/>
              </w:rPr>
              <w:t xml:space="preserve">Crabes </w:t>
            </w:r>
            <w:r>
              <w:rPr>
                <w:rFonts w:asciiTheme="majorBidi" w:hAnsiTheme="majorBidi"/>
                <w:i/>
                <w:iCs/>
                <w:noProof/>
              </w:rPr>
              <w:t>Chaceon</w:t>
            </w:r>
          </w:p>
          <w:p>
            <w:pPr>
              <w:spacing w:before="60" w:after="60"/>
              <w:rPr>
                <w:rFonts w:asciiTheme="majorBidi" w:hAnsiTheme="majorBidi" w:cstheme="majorBidi"/>
                <w:noProof/>
              </w:rPr>
            </w:pPr>
            <w:r>
              <w:rPr>
                <w:rFonts w:asciiTheme="majorBidi" w:hAnsiTheme="majorBidi"/>
                <w:i/>
                <w:iCs/>
                <w:noProof/>
              </w:rPr>
              <w:t>Chaceon</w:t>
            </w:r>
            <w:r>
              <w:rPr>
                <w:rFonts w:asciiTheme="majorBidi" w:hAnsiTheme="majorBidi"/>
                <w:noProof/>
              </w:rPr>
              <w:t xml:space="preserve"> spp.</w:t>
            </w:r>
          </w:p>
        </w:tc>
        <w:tc>
          <w:tcPr>
            <w:tcW w:w="992" w:type="dxa"/>
            <w:tcBorders>
              <w:top w:val="single" w:sz="8" w:space="0" w:color="auto"/>
              <w:left w:val="single" w:sz="8" w:space="0" w:color="auto"/>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Zone:</w:t>
            </w:r>
          </w:p>
        </w:tc>
        <w:tc>
          <w:tcPr>
            <w:tcW w:w="3709" w:type="dxa"/>
            <w:tcBorders>
              <w:top w:val="single" w:sz="8" w:space="0" w:color="auto"/>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OPASE, à l’exclusion de la sous-division B 1</w:t>
            </w:r>
          </w:p>
          <w:p>
            <w:pPr>
              <w:spacing w:before="60" w:after="60"/>
              <w:rPr>
                <w:rFonts w:asciiTheme="majorBidi" w:hAnsiTheme="majorBidi" w:cstheme="majorBidi"/>
                <w:noProof/>
              </w:rPr>
            </w:pPr>
            <w:r>
              <w:rPr>
                <w:rFonts w:asciiTheme="majorBidi" w:hAnsiTheme="majorBidi"/>
                <w:noProof/>
              </w:rPr>
              <w:t>(GER/F47X)</w:t>
            </w:r>
          </w:p>
        </w:tc>
      </w:tr>
      <w:tr>
        <w:trPr>
          <w:trHeight w:val="227"/>
        </w:trPr>
        <w:tc>
          <w:tcPr>
            <w:tcW w:w="1701" w:type="dxa"/>
            <w:hideMark/>
          </w:tcPr>
          <w:p>
            <w:pPr>
              <w:spacing w:before="60" w:after="60"/>
              <w:rPr>
                <w:rFonts w:asciiTheme="majorBidi" w:hAnsiTheme="majorBidi" w:cstheme="majorBidi"/>
                <w:noProof/>
              </w:rPr>
            </w:pPr>
            <w:r>
              <w:rPr>
                <w:rFonts w:asciiTheme="majorBidi" w:hAnsiTheme="majorBidi"/>
                <w:noProof/>
              </w:rPr>
              <w:t>TAC</w:t>
            </w:r>
          </w:p>
        </w:tc>
        <w:tc>
          <w:tcPr>
            <w:tcW w:w="1985" w:type="dxa"/>
            <w:hideMark/>
          </w:tcPr>
          <w:p>
            <w:pPr>
              <w:spacing w:before="60" w:after="60"/>
              <w:jc w:val="right"/>
              <w:rPr>
                <w:noProof/>
              </w:rPr>
            </w:pPr>
            <w:r>
              <w:rPr>
                <w:noProof/>
              </w:rPr>
              <w:t>p.m.</w:t>
            </w:r>
          </w:p>
        </w:tc>
        <w:tc>
          <w:tcPr>
            <w:tcW w:w="992" w:type="dxa"/>
          </w:tcPr>
          <w:p>
            <w:pPr>
              <w:spacing w:before="60" w:after="60"/>
              <w:rPr>
                <w:rFonts w:asciiTheme="majorBidi" w:hAnsiTheme="majorBidi" w:cstheme="majorBidi"/>
                <w:noProof/>
              </w:rPr>
            </w:pPr>
          </w:p>
        </w:tc>
        <w:tc>
          <w:tcPr>
            <w:tcW w:w="4701" w:type="dxa"/>
            <w:gridSpan w:val="2"/>
            <w:hideMark/>
          </w:tcPr>
          <w:p>
            <w:pPr>
              <w:spacing w:before="60" w:after="60"/>
              <w:rPr>
                <w:rFonts w:asciiTheme="majorBidi" w:hAnsiTheme="majorBidi" w:cstheme="majorBidi"/>
                <w:noProof/>
              </w:rPr>
            </w:pPr>
            <w:r>
              <w:rPr>
                <w:rFonts w:asciiTheme="majorBidi" w:hAnsiTheme="majorBidi"/>
                <w:noProof/>
              </w:rPr>
              <w:t>TAC de précaution</w:t>
            </w:r>
          </w:p>
        </w:tc>
      </w:tr>
      <w:tr>
        <w:trPr>
          <w:trHeight w:val="227"/>
        </w:trPr>
        <w:tc>
          <w:tcPr>
            <w:tcW w:w="9379" w:type="dxa"/>
            <w:gridSpan w:val="5"/>
            <w:tcBorders>
              <w:top w:val="single" w:sz="8" w:space="0" w:color="000000"/>
              <w:left w:val="nil"/>
              <w:bottom w:val="single" w:sz="8" w:space="0" w:color="000000"/>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Espèce:</w:t>
            </w:r>
          </w:p>
        </w:tc>
        <w:tc>
          <w:tcPr>
            <w:tcW w:w="2977" w:type="dxa"/>
            <w:gridSpan w:val="2"/>
            <w:tcBorders>
              <w:top w:val="single" w:sz="8" w:space="0" w:color="000000"/>
              <w:left w:val="nil"/>
              <w:bottom w:val="single" w:sz="8" w:space="0" w:color="000000"/>
              <w:right w:val="single" w:sz="8" w:space="0" w:color="auto"/>
            </w:tcBorders>
            <w:hideMark/>
          </w:tcPr>
          <w:p>
            <w:pPr>
              <w:spacing w:before="60" w:after="60"/>
              <w:rPr>
                <w:rFonts w:asciiTheme="majorBidi" w:hAnsiTheme="majorBidi" w:cstheme="majorBidi"/>
                <w:noProof/>
              </w:rPr>
            </w:pPr>
            <w:r>
              <w:rPr>
                <w:rFonts w:asciiTheme="majorBidi" w:hAnsiTheme="majorBidi"/>
                <w:noProof/>
              </w:rPr>
              <w:t xml:space="preserve">Légine australe </w:t>
            </w:r>
            <w:r>
              <w:rPr>
                <w:rFonts w:asciiTheme="majorBidi" w:hAnsiTheme="majorBidi"/>
                <w:i/>
                <w:iCs/>
                <w:noProof/>
              </w:rPr>
              <w:t>Dissostichus eleginoides</w:t>
            </w:r>
          </w:p>
        </w:tc>
        <w:tc>
          <w:tcPr>
            <w:tcW w:w="992" w:type="dxa"/>
            <w:tcBorders>
              <w:top w:val="single" w:sz="8" w:space="0" w:color="000000"/>
              <w:left w:val="single" w:sz="8" w:space="0" w:color="auto"/>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Zone:</w:t>
            </w:r>
          </w:p>
        </w:tc>
        <w:tc>
          <w:tcPr>
            <w:tcW w:w="3709"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Sous-zone D de l’OPASE</w:t>
            </w:r>
          </w:p>
          <w:p>
            <w:pPr>
              <w:spacing w:before="60" w:after="60"/>
              <w:rPr>
                <w:rFonts w:asciiTheme="majorBidi" w:hAnsiTheme="majorBidi" w:cstheme="majorBidi"/>
                <w:noProof/>
              </w:rPr>
            </w:pPr>
            <w:r>
              <w:rPr>
                <w:rFonts w:asciiTheme="majorBidi" w:hAnsiTheme="majorBidi"/>
                <w:noProof/>
              </w:rPr>
              <w:t>(TOP/F47D)</w:t>
            </w:r>
          </w:p>
        </w:tc>
      </w:tr>
      <w:tr>
        <w:trPr>
          <w:trHeight w:val="227"/>
        </w:trPr>
        <w:tc>
          <w:tcPr>
            <w:tcW w:w="1701" w:type="dxa"/>
            <w:tcBorders>
              <w:top w:val="single" w:sz="8" w:space="0" w:color="000000"/>
              <w:left w:val="nil"/>
              <w:bottom w:val="single" w:sz="4" w:space="0" w:color="000000"/>
              <w:right w:val="nil"/>
            </w:tcBorders>
            <w:hideMark/>
          </w:tcPr>
          <w:p>
            <w:pPr>
              <w:spacing w:before="60" w:after="60"/>
              <w:rPr>
                <w:rFonts w:asciiTheme="majorBidi" w:hAnsiTheme="majorBidi" w:cstheme="majorBidi"/>
                <w:noProof/>
              </w:rPr>
            </w:pPr>
            <w:r>
              <w:rPr>
                <w:rFonts w:asciiTheme="majorBidi" w:hAnsiTheme="majorBidi"/>
                <w:noProof/>
              </w:rPr>
              <w:t>TAC</w:t>
            </w:r>
          </w:p>
        </w:tc>
        <w:tc>
          <w:tcPr>
            <w:tcW w:w="1985" w:type="dxa"/>
            <w:tcBorders>
              <w:top w:val="single" w:sz="8" w:space="0" w:color="000000"/>
              <w:left w:val="nil"/>
              <w:bottom w:val="single" w:sz="4" w:space="0" w:color="000000"/>
              <w:right w:val="nil"/>
            </w:tcBorders>
            <w:hideMark/>
          </w:tcPr>
          <w:p>
            <w:pPr>
              <w:spacing w:before="60" w:after="60"/>
              <w:jc w:val="right"/>
              <w:rPr>
                <w:noProof/>
              </w:rPr>
            </w:pPr>
            <w:r>
              <w:rPr>
                <w:noProof/>
              </w:rPr>
              <w:t>p.m.</w:t>
            </w:r>
          </w:p>
        </w:tc>
        <w:tc>
          <w:tcPr>
            <w:tcW w:w="992" w:type="dxa"/>
            <w:tcBorders>
              <w:top w:val="single" w:sz="8" w:space="0" w:color="000000"/>
              <w:left w:val="nil"/>
              <w:bottom w:val="single" w:sz="4" w:space="0" w:color="000000"/>
              <w:right w:val="nil"/>
            </w:tcBorders>
          </w:tcPr>
          <w:p>
            <w:pPr>
              <w:spacing w:before="60" w:after="60"/>
              <w:rPr>
                <w:rFonts w:asciiTheme="majorBidi" w:hAnsiTheme="majorBidi" w:cstheme="majorBidi"/>
                <w:noProof/>
              </w:rPr>
            </w:pPr>
          </w:p>
        </w:tc>
        <w:tc>
          <w:tcPr>
            <w:tcW w:w="4701" w:type="dxa"/>
            <w:gridSpan w:val="2"/>
            <w:tcBorders>
              <w:top w:val="single" w:sz="8" w:space="0" w:color="000000"/>
              <w:left w:val="nil"/>
              <w:bottom w:val="single" w:sz="4" w:space="0" w:color="000000"/>
              <w:right w:val="nil"/>
            </w:tcBorders>
            <w:hideMark/>
          </w:tcPr>
          <w:p>
            <w:pPr>
              <w:spacing w:before="60" w:after="60"/>
              <w:rPr>
                <w:rFonts w:asciiTheme="majorBidi" w:hAnsiTheme="majorBidi" w:cstheme="majorBidi"/>
                <w:noProof/>
              </w:rPr>
            </w:pPr>
            <w:r>
              <w:rPr>
                <w:rFonts w:asciiTheme="majorBidi" w:hAnsiTheme="majorBidi"/>
                <w:noProof/>
              </w:rPr>
              <w:t>TAC de précaution</w:t>
            </w:r>
          </w:p>
        </w:tc>
      </w:tr>
      <w:tr>
        <w:trPr>
          <w:trHeight w:val="227"/>
        </w:trPr>
        <w:tc>
          <w:tcPr>
            <w:tcW w:w="9379" w:type="dxa"/>
            <w:gridSpan w:val="5"/>
            <w:tcBorders>
              <w:top w:val="single" w:sz="8" w:space="0" w:color="000000"/>
              <w:left w:val="nil"/>
              <w:bottom w:val="single" w:sz="4" w:space="0" w:color="000000"/>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Espèce:</w:t>
            </w:r>
          </w:p>
        </w:tc>
        <w:tc>
          <w:tcPr>
            <w:tcW w:w="2977" w:type="dxa"/>
            <w:gridSpan w:val="2"/>
            <w:tcBorders>
              <w:top w:val="single" w:sz="8" w:space="0" w:color="000000"/>
              <w:left w:val="nil"/>
              <w:bottom w:val="single" w:sz="8" w:space="0" w:color="000000"/>
              <w:right w:val="single" w:sz="8" w:space="0" w:color="auto"/>
            </w:tcBorders>
            <w:hideMark/>
          </w:tcPr>
          <w:p>
            <w:pPr>
              <w:spacing w:before="60" w:after="60"/>
              <w:rPr>
                <w:rFonts w:asciiTheme="majorBidi" w:hAnsiTheme="majorBidi" w:cstheme="majorBidi"/>
                <w:noProof/>
              </w:rPr>
            </w:pPr>
            <w:r>
              <w:rPr>
                <w:rFonts w:asciiTheme="majorBidi" w:hAnsiTheme="majorBidi"/>
                <w:noProof/>
              </w:rPr>
              <w:t>Légine australe</w:t>
            </w:r>
          </w:p>
          <w:p>
            <w:pPr>
              <w:spacing w:before="60" w:after="60"/>
              <w:rPr>
                <w:rFonts w:asciiTheme="majorBidi" w:hAnsiTheme="majorBidi" w:cstheme="majorBidi"/>
                <w:noProof/>
              </w:rPr>
            </w:pPr>
            <w:r>
              <w:rPr>
                <w:rFonts w:asciiTheme="majorBidi" w:hAnsiTheme="majorBidi"/>
                <w:i/>
                <w:iCs/>
                <w:noProof/>
              </w:rPr>
              <w:t>Dissostichus eleginoides</w:t>
            </w:r>
          </w:p>
        </w:tc>
        <w:tc>
          <w:tcPr>
            <w:tcW w:w="992" w:type="dxa"/>
            <w:tcBorders>
              <w:top w:val="single" w:sz="8" w:space="0" w:color="000000"/>
              <w:left w:val="single" w:sz="8" w:space="0" w:color="auto"/>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Zone:</w:t>
            </w:r>
          </w:p>
        </w:tc>
        <w:tc>
          <w:tcPr>
            <w:tcW w:w="3709"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OPASE, à l’exclusion de la sous-zone D</w:t>
            </w:r>
          </w:p>
          <w:p>
            <w:pPr>
              <w:spacing w:before="60" w:after="60"/>
              <w:rPr>
                <w:rFonts w:asciiTheme="majorBidi" w:hAnsiTheme="majorBidi" w:cstheme="majorBidi"/>
                <w:noProof/>
              </w:rPr>
            </w:pPr>
            <w:r>
              <w:rPr>
                <w:rFonts w:asciiTheme="majorBidi" w:hAnsiTheme="majorBidi"/>
                <w:noProof/>
              </w:rPr>
              <w:t>(TOP/F47-D)</w:t>
            </w:r>
          </w:p>
        </w:tc>
      </w:tr>
      <w:tr>
        <w:trPr>
          <w:trHeight w:val="227"/>
        </w:trPr>
        <w:tc>
          <w:tcPr>
            <w:tcW w:w="1701"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TAC</w:t>
            </w:r>
          </w:p>
        </w:tc>
        <w:tc>
          <w:tcPr>
            <w:tcW w:w="1985" w:type="dxa"/>
            <w:tcBorders>
              <w:top w:val="single" w:sz="8" w:space="0" w:color="000000"/>
              <w:left w:val="nil"/>
              <w:bottom w:val="single" w:sz="8" w:space="0" w:color="auto"/>
              <w:right w:val="nil"/>
            </w:tcBorders>
            <w:hideMark/>
          </w:tcPr>
          <w:p>
            <w:pPr>
              <w:spacing w:before="60" w:after="60"/>
              <w:jc w:val="right"/>
              <w:rPr>
                <w:noProof/>
              </w:rPr>
            </w:pPr>
            <w:r>
              <w:rPr>
                <w:noProof/>
              </w:rPr>
              <w:t>p.m.</w:t>
            </w:r>
          </w:p>
        </w:tc>
        <w:tc>
          <w:tcPr>
            <w:tcW w:w="992" w:type="dxa"/>
            <w:tcBorders>
              <w:top w:val="single" w:sz="8" w:space="0" w:color="000000"/>
              <w:left w:val="nil"/>
              <w:bottom w:val="single" w:sz="8" w:space="0" w:color="auto"/>
              <w:right w:val="nil"/>
            </w:tcBorders>
          </w:tcPr>
          <w:p>
            <w:pPr>
              <w:spacing w:before="60" w:after="60"/>
              <w:rPr>
                <w:rFonts w:asciiTheme="majorBidi" w:hAnsiTheme="majorBidi" w:cstheme="majorBidi"/>
                <w:noProof/>
              </w:rPr>
            </w:pPr>
          </w:p>
        </w:tc>
        <w:tc>
          <w:tcPr>
            <w:tcW w:w="4701" w:type="dxa"/>
            <w:gridSpan w:val="2"/>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TAC de précaution</w:t>
            </w:r>
          </w:p>
        </w:tc>
      </w:tr>
      <w:tr>
        <w:trPr>
          <w:trHeight w:val="227"/>
        </w:trPr>
        <w:tc>
          <w:tcPr>
            <w:tcW w:w="9379" w:type="dxa"/>
            <w:gridSpan w:val="5"/>
            <w:tcBorders>
              <w:top w:val="single" w:sz="8" w:space="0" w:color="auto"/>
              <w:left w:val="nil"/>
              <w:bottom w:val="single" w:sz="8" w:space="0" w:color="auto"/>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auto"/>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Espèce:</w:t>
            </w:r>
          </w:p>
        </w:tc>
        <w:tc>
          <w:tcPr>
            <w:tcW w:w="2977" w:type="dxa"/>
            <w:gridSpan w:val="2"/>
            <w:tcBorders>
              <w:top w:val="single" w:sz="8" w:space="0" w:color="auto"/>
              <w:left w:val="nil"/>
              <w:bottom w:val="single" w:sz="8" w:space="0" w:color="auto"/>
              <w:right w:val="single" w:sz="8" w:space="0" w:color="auto"/>
            </w:tcBorders>
            <w:hideMark/>
          </w:tcPr>
          <w:p>
            <w:pPr>
              <w:spacing w:before="60" w:after="60"/>
              <w:rPr>
                <w:rFonts w:asciiTheme="majorBidi" w:hAnsiTheme="majorBidi" w:cstheme="majorBidi"/>
                <w:noProof/>
              </w:rPr>
            </w:pPr>
            <w:r>
              <w:rPr>
                <w:rFonts w:asciiTheme="majorBidi" w:hAnsiTheme="majorBidi"/>
                <w:noProof/>
              </w:rPr>
              <w:t>Hoplostète rouge</w:t>
            </w:r>
          </w:p>
          <w:p>
            <w:pPr>
              <w:keepNext/>
              <w:tabs>
                <w:tab w:val="left" w:pos="850"/>
              </w:tabs>
              <w:spacing w:before="60" w:after="60"/>
              <w:rPr>
                <w:rFonts w:asciiTheme="majorBidi" w:hAnsiTheme="majorBidi" w:cstheme="majorBidi"/>
                <w:i/>
                <w:iCs/>
                <w:noProof/>
              </w:rPr>
            </w:pPr>
            <w:r>
              <w:rPr>
                <w:rFonts w:asciiTheme="majorBidi" w:hAnsiTheme="majorBidi"/>
                <w:i/>
                <w:iCs/>
                <w:noProof/>
              </w:rPr>
              <w:t>Hoplostethus atlanticus</w:t>
            </w:r>
          </w:p>
        </w:tc>
        <w:tc>
          <w:tcPr>
            <w:tcW w:w="992" w:type="dxa"/>
            <w:tcBorders>
              <w:top w:val="single" w:sz="8" w:space="0" w:color="auto"/>
              <w:left w:val="single" w:sz="8" w:space="0" w:color="auto"/>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Zone:</w:t>
            </w:r>
          </w:p>
        </w:tc>
        <w:tc>
          <w:tcPr>
            <w:tcW w:w="3709" w:type="dxa"/>
            <w:tcBorders>
              <w:top w:val="single" w:sz="8" w:space="0" w:color="auto"/>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Sous-division B 1 de l’OPASE</w:t>
            </w:r>
            <w:r>
              <w:rPr>
                <w:rFonts w:asciiTheme="majorBidi" w:hAnsiTheme="majorBidi"/>
                <w:b/>
                <w:bCs/>
                <w:noProof/>
                <w:vertAlign w:val="superscript"/>
              </w:rPr>
              <w:t>(1)</w:t>
            </w:r>
          </w:p>
          <w:p>
            <w:pPr>
              <w:spacing w:before="60" w:after="60"/>
              <w:rPr>
                <w:rFonts w:asciiTheme="majorBidi" w:hAnsiTheme="majorBidi" w:cstheme="majorBidi"/>
                <w:noProof/>
              </w:rPr>
            </w:pPr>
            <w:r>
              <w:rPr>
                <w:rFonts w:asciiTheme="majorBidi" w:hAnsiTheme="majorBidi"/>
                <w:noProof/>
              </w:rPr>
              <w:t>(ORY/F47NAM)</w:t>
            </w:r>
          </w:p>
        </w:tc>
      </w:tr>
      <w:tr>
        <w:trPr>
          <w:trHeight w:val="227"/>
        </w:trPr>
        <w:tc>
          <w:tcPr>
            <w:tcW w:w="1701" w:type="dxa"/>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TAC</w:t>
            </w:r>
          </w:p>
        </w:tc>
        <w:tc>
          <w:tcPr>
            <w:tcW w:w="1985" w:type="dxa"/>
            <w:tcBorders>
              <w:top w:val="single" w:sz="8" w:space="0" w:color="auto"/>
              <w:left w:val="nil"/>
              <w:bottom w:val="nil"/>
              <w:right w:val="nil"/>
            </w:tcBorders>
            <w:hideMark/>
          </w:tcPr>
          <w:p>
            <w:pPr>
              <w:spacing w:before="60" w:after="60"/>
              <w:jc w:val="right"/>
              <w:rPr>
                <w:noProof/>
              </w:rPr>
            </w:pPr>
            <w:r>
              <w:rPr>
                <w:noProof/>
              </w:rPr>
              <w:t>p.m.</w:t>
            </w:r>
          </w:p>
        </w:tc>
        <w:tc>
          <w:tcPr>
            <w:tcW w:w="992" w:type="dxa"/>
            <w:tcBorders>
              <w:top w:val="single" w:sz="8" w:space="0" w:color="auto"/>
              <w:left w:val="nil"/>
              <w:bottom w:val="nil"/>
              <w:right w:val="nil"/>
            </w:tcBorders>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(2)</w:t>
            </w:r>
          </w:p>
        </w:tc>
        <w:tc>
          <w:tcPr>
            <w:tcW w:w="4701" w:type="dxa"/>
            <w:gridSpan w:val="2"/>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TAC de précaution</w:t>
            </w:r>
          </w:p>
        </w:tc>
      </w:tr>
      <w:tr>
        <w:trPr>
          <w:trHeight w:val="227"/>
        </w:trPr>
        <w:tc>
          <w:tcPr>
            <w:tcW w:w="9379" w:type="dxa"/>
            <w:gridSpan w:val="5"/>
            <w:tcBorders>
              <w:top w:val="nil"/>
              <w:left w:val="nil"/>
              <w:bottom w:val="single" w:sz="8" w:space="0" w:color="auto"/>
              <w:right w:val="nil"/>
            </w:tcBorders>
            <w:hideMark/>
          </w:tcPr>
          <w:p>
            <w:pPr>
              <w:spacing w:before="60" w:after="60"/>
              <w:ind w:left="720" w:hanging="720"/>
              <w:rPr>
                <w:rFonts w:asciiTheme="majorBidi" w:hAnsiTheme="majorBidi" w:cstheme="majorBidi"/>
                <w:noProof/>
              </w:rPr>
            </w:pPr>
            <w:r>
              <w:rPr>
                <w:rFonts w:asciiTheme="majorBidi" w:hAnsiTheme="majorBidi"/>
                <w:b/>
                <w:bCs/>
                <w:noProof/>
                <w:vertAlign w:val="superscript"/>
              </w:rPr>
              <w:t>(1)</w:t>
            </w:r>
            <w:r>
              <w:rPr>
                <w:noProof/>
              </w:rPr>
              <w:tab/>
            </w:r>
            <w:r>
              <w:rPr>
                <w:rFonts w:asciiTheme="majorBidi" w:hAnsiTheme="majorBidi"/>
                <w:noProof/>
              </w:rPr>
              <w:t>Pour les besoins de la présente annexe, on entend par «zone ouverte à la pêche» le secteur dont les limites s’étendent:</w:t>
            </w:r>
            <w:r>
              <w:rPr>
                <w:noProof/>
              </w:rPr>
              <w:t xml:space="preserve"> </w:t>
            </w:r>
            <w:r>
              <w:rPr>
                <w:noProof/>
              </w:rPr>
              <w:br/>
            </w:r>
            <w:r>
              <w:rPr>
                <w:rFonts w:asciiTheme="majorBidi" w:hAnsiTheme="majorBidi"/>
                <w:noProof/>
              </w:rPr>
              <w:t>– à l’ouest, le long de la longitude 0° E;</w:t>
            </w:r>
            <w:r>
              <w:rPr>
                <w:noProof/>
              </w:rPr>
              <w:t xml:space="preserve"> </w:t>
            </w:r>
            <w:r>
              <w:rPr>
                <w:noProof/>
              </w:rPr>
              <w:br/>
            </w:r>
            <w:r>
              <w:rPr>
                <w:rFonts w:asciiTheme="majorBidi" w:hAnsiTheme="majorBidi"/>
                <w:noProof/>
              </w:rPr>
              <w:t>– au nord, le long de la latitude 20° S;</w:t>
            </w:r>
            <w:r>
              <w:rPr>
                <w:noProof/>
              </w:rPr>
              <w:t xml:space="preserve"> </w:t>
            </w:r>
            <w:r>
              <w:rPr>
                <w:noProof/>
              </w:rPr>
              <w:br/>
            </w:r>
            <w:r>
              <w:rPr>
                <w:rFonts w:asciiTheme="majorBidi" w:hAnsiTheme="majorBidi"/>
                <w:noProof/>
              </w:rPr>
              <w:t>– au sud, le long de la latitude 28° S; et</w:t>
            </w:r>
            <w:r>
              <w:rPr>
                <w:noProof/>
              </w:rPr>
              <w:t xml:space="preserve"> </w:t>
            </w:r>
            <w:r>
              <w:rPr>
                <w:noProof/>
              </w:rPr>
              <w:br/>
            </w:r>
            <w:r>
              <w:rPr>
                <w:rFonts w:asciiTheme="majorBidi" w:hAnsiTheme="majorBidi"/>
                <w:noProof/>
              </w:rPr>
              <w:t>– à l’est, le long des limites extérieures de la ZEE namibienne.</w:t>
            </w:r>
          </w:p>
          <w:p>
            <w:pPr>
              <w:spacing w:before="60" w:after="60"/>
              <w:ind w:left="720" w:hanging="720"/>
              <w:rPr>
                <w:rFonts w:asciiTheme="majorBidi" w:hAnsiTheme="majorBidi" w:cstheme="majorBidi"/>
                <w:noProof/>
              </w:rPr>
            </w:pPr>
            <w:r>
              <w:rPr>
                <w:rFonts w:asciiTheme="majorBidi" w:hAnsiTheme="majorBidi"/>
                <w:b/>
                <w:bCs/>
                <w:noProof/>
                <w:vertAlign w:val="superscript"/>
              </w:rPr>
              <w:t>(2)</w:t>
            </w:r>
            <w:r>
              <w:rPr>
                <w:noProof/>
              </w:rPr>
              <w:tab/>
            </w:r>
            <w:r>
              <w:rPr>
                <w:rFonts w:asciiTheme="majorBidi" w:hAnsiTheme="majorBidi"/>
                <w:noProof/>
              </w:rPr>
              <w:t>Sauf prises accessoires à hauteur de 4 tonnes (ORY/*F47NA).</w:t>
            </w:r>
          </w:p>
        </w:tc>
      </w:tr>
      <w:tr>
        <w:trPr>
          <w:trHeight w:val="227"/>
        </w:trPr>
        <w:tc>
          <w:tcPr>
            <w:tcW w:w="9379" w:type="dxa"/>
            <w:gridSpan w:val="5"/>
            <w:tcBorders>
              <w:top w:val="single" w:sz="8" w:space="0" w:color="auto"/>
              <w:left w:val="nil"/>
              <w:bottom w:val="single" w:sz="8" w:space="0" w:color="000000"/>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000000"/>
              <w:left w:val="nil"/>
              <w:bottom w:val="single" w:sz="8" w:space="0" w:color="auto"/>
              <w:right w:val="nil"/>
            </w:tcBorders>
            <w:hideMark/>
          </w:tcPr>
          <w:p>
            <w:pPr>
              <w:pageBreakBefore/>
              <w:spacing w:before="60" w:after="60"/>
              <w:rPr>
                <w:rFonts w:asciiTheme="majorBidi" w:hAnsiTheme="majorBidi" w:cstheme="majorBidi"/>
                <w:noProof/>
              </w:rPr>
            </w:pPr>
            <w:r>
              <w:rPr>
                <w:rFonts w:asciiTheme="majorBidi" w:hAnsiTheme="majorBidi"/>
                <w:noProof/>
              </w:rPr>
              <w:t>Espèce:</w:t>
            </w:r>
          </w:p>
        </w:tc>
        <w:tc>
          <w:tcPr>
            <w:tcW w:w="2977" w:type="dxa"/>
            <w:gridSpan w:val="2"/>
            <w:tcBorders>
              <w:top w:val="single" w:sz="8" w:space="0" w:color="000000"/>
              <w:left w:val="nil"/>
              <w:bottom w:val="single" w:sz="8" w:space="0" w:color="auto"/>
              <w:right w:val="single" w:sz="8" w:space="0" w:color="auto"/>
            </w:tcBorders>
            <w:hideMark/>
          </w:tcPr>
          <w:p>
            <w:pPr>
              <w:spacing w:before="60" w:after="60"/>
              <w:rPr>
                <w:rFonts w:asciiTheme="majorBidi" w:hAnsiTheme="majorBidi" w:cstheme="majorBidi"/>
                <w:noProof/>
              </w:rPr>
            </w:pPr>
            <w:r>
              <w:rPr>
                <w:rFonts w:asciiTheme="majorBidi" w:hAnsiTheme="majorBidi"/>
                <w:noProof/>
              </w:rPr>
              <w:t>Hoplostète rouge</w:t>
            </w:r>
          </w:p>
          <w:p>
            <w:pPr>
              <w:keepNext/>
              <w:tabs>
                <w:tab w:val="left" w:pos="850"/>
              </w:tabs>
              <w:spacing w:before="60" w:after="60"/>
              <w:rPr>
                <w:rFonts w:asciiTheme="majorBidi" w:hAnsiTheme="majorBidi" w:cstheme="majorBidi"/>
                <w:i/>
                <w:iCs/>
                <w:noProof/>
              </w:rPr>
            </w:pPr>
            <w:r>
              <w:rPr>
                <w:rFonts w:asciiTheme="majorBidi" w:hAnsiTheme="majorBidi"/>
                <w:i/>
                <w:iCs/>
                <w:noProof/>
              </w:rPr>
              <w:t>Hoplostethus atlanticus</w:t>
            </w:r>
          </w:p>
        </w:tc>
        <w:tc>
          <w:tcPr>
            <w:tcW w:w="992" w:type="dxa"/>
            <w:tcBorders>
              <w:top w:val="single" w:sz="8" w:space="0" w:color="000000"/>
              <w:left w:val="single" w:sz="8" w:space="0" w:color="auto"/>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Zone:</w:t>
            </w:r>
          </w:p>
        </w:tc>
        <w:tc>
          <w:tcPr>
            <w:tcW w:w="3709"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OPASE, à l’exclusion de la sous-division B 1</w:t>
            </w:r>
          </w:p>
          <w:p>
            <w:pPr>
              <w:spacing w:before="60" w:after="60"/>
              <w:rPr>
                <w:rFonts w:asciiTheme="majorBidi" w:hAnsiTheme="majorBidi" w:cstheme="majorBidi"/>
                <w:noProof/>
              </w:rPr>
            </w:pPr>
            <w:r>
              <w:rPr>
                <w:rFonts w:asciiTheme="majorBidi" w:hAnsiTheme="majorBidi"/>
                <w:noProof/>
              </w:rPr>
              <w:t>(ORY/F47X)</w:t>
            </w:r>
          </w:p>
        </w:tc>
      </w:tr>
      <w:tr>
        <w:trPr>
          <w:trHeight w:val="227"/>
        </w:trPr>
        <w:tc>
          <w:tcPr>
            <w:tcW w:w="1701" w:type="dxa"/>
            <w:tcBorders>
              <w:top w:val="single" w:sz="8" w:space="0" w:color="auto"/>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TAC</w:t>
            </w:r>
          </w:p>
        </w:tc>
        <w:tc>
          <w:tcPr>
            <w:tcW w:w="1985" w:type="dxa"/>
            <w:tcBorders>
              <w:top w:val="single" w:sz="8" w:space="0" w:color="auto"/>
              <w:left w:val="nil"/>
              <w:bottom w:val="single" w:sz="8" w:space="0" w:color="000000"/>
              <w:right w:val="nil"/>
            </w:tcBorders>
            <w:hideMark/>
          </w:tcPr>
          <w:p>
            <w:pPr>
              <w:spacing w:before="60" w:after="60"/>
              <w:jc w:val="right"/>
              <w:rPr>
                <w:noProof/>
              </w:rPr>
            </w:pPr>
            <w:r>
              <w:rPr>
                <w:noProof/>
              </w:rPr>
              <w:t>p.m.</w:t>
            </w:r>
          </w:p>
        </w:tc>
        <w:tc>
          <w:tcPr>
            <w:tcW w:w="992" w:type="dxa"/>
            <w:tcBorders>
              <w:top w:val="single" w:sz="8" w:space="0" w:color="auto"/>
              <w:left w:val="nil"/>
              <w:bottom w:val="single" w:sz="8" w:space="0" w:color="000000"/>
              <w:right w:val="nil"/>
            </w:tcBorders>
          </w:tcPr>
          <w:p>
            <w:pPr>
              <w:spacing w:before="60" w:after="60"/>
              <w:rPr>
                <w:rFonts w:asciiTheme="majorBidi" w:hAnsiTheme="majorBidi" w:cstheme="majorBidi"/>
                <w:noProof/>
              </w:rPr>
            </w:pPr>
          </w:p>
        </w:tc>
        <w:tc>
          <w:tcPr>
            <w:tcW w:w="4701" w:type="dxa"/>
            <w:gridSpan w:val="2"/>
            <w:tcBorders>
              <w:top w:val="single" w:sz="8" w:space="0" w:color="auto"/>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TAC de précaution</w:t>
            </w:r>
          </w:p>
        </w:tc>
      </w:tr>
      <w:tr>
        <w:trPr>
          <w:trHeight w:val="227"/>
        </w:trPr>
        <w:tc>
          <w:tcPr>
            <w:tcW w:w="9379" w:type="dxa"/>
            <w:gridSpan w:val="5"/>
            <w:tcBorders>
              <w:top w:val="single" w:sz="4" w:space="0" w:color="000000"/>
              <w:left w:val="nil"/>
              <w:bottom w:val="single" w:sz="8" w:space="0" w:color="000000"/>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Espèce:</w:t>
            </w:r>
          </w:p>
        </w:tc>
        <w:tc>
          <w:tcPr>
            <w:tcW w:w="2977" w:type="dxa"/>
            <w:gridSpan w:val="2"/>
            <w:tcBorders>
              <w:top w:val="single" w:sz="8" w:space="0" w:color="000000"/>
              <w:left w:val="nil"/>
              <w:bottom w:val="single" w:sz="8" w:space="0" w:color="auto"/>
              <w:right w:val="single" w:sz="8" w:space="0" w:color="auto"/>
            </w:tcBorders>
            <w:hideMark/>
          </w:tcPr>
          <w:p>
            <w:pPr>
              <w:spacing w:before="60" w:after="60"/>
              <w:rPr>
                <w:rFonts w:asciiTheme="majorBidi" w:hAnsiTheme="majorBidi" w:cstheme="majorBidi"/>
                <w:noProof/>
              </w:rPr>
            </w:pPr>
            <w:r>
              <w:rPr>
                <w:rFonts w:asciiTheme="majorBidi" w:hAnsiTheme="majorBidi"/>
                <w:noProof/>
              </w:rPr>
              <w:t>Têtes casquées pélagiques</w:t>
            </w:r>
          </w:p>
          <w:p>
            <w:pPr>
              <w:spacing w:before="60" w:after="60"/>
              <w:rPr>
                <w:rFonts w:asciiTheme="majorBidi" w:hAnsiTheme="majorBidi" w:cstheme="majorBidi"/>
                <w:noProof/>
              </w:rPr>
            </w:pPr>
            <w:r>
              <w:rPr>
                <w:rFonts w:asciiTheme="majorBidi" w:hAnsiTheme="majorBidi"/>
                <w:i/>
                <w:iCs/>
                <w:noProof/>
              </w:rPr>
              <w:t>Pseudopentaceros</w:t>
            </w:r>
            <w:r>
              <w:rPr>
                <w:rFonts w:asciiTheme="majorBidi" w:hAnsiTheme="majorBidi"/>
                <w:noProof/>
              </w:rPr>
              <w:t xml:space="preserve"> spp.</w:t>
            </w:r>
          </w:p>
        </w:tc>
        <w:tc>
          <w:tcPr>
            <w:tcW w:w="992" w:type="dxa"/>
            <w:tcBorders>
              <w:top w:val="single" w:sz="8" w:space="0" w:color="000000"/>
              <w:left w:val="single" w:sz="8" w:space="0" w:color="auto"/>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Zone:</w:t>
            </w:r>
          </w:p>
        </w:tc>
        <w:tc>
          <w:tcPr>
            <w:tcW w:w="3709"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OPASE</w:t>
            </w:r>
          </w:p>
          <w:p>
            <w:pPr>
              <w:spacing w:before="60" w:after="60"/>
              <w:rPr>
                <w:rFonts w:asciiTheme="majorBidi" w:hAnsiTheme="majorBidi" w:cstheme="majorBidi"/>
                <w:noProof/>
              </w:rPr>
            </w:pPr>
            <w:r>
              <w:rPr>
                <w:rFonts w:asciiTheme="majorBidi" w:hAnsiTheme="majorBidi"/>
                <w:noProof/>
              </w:rPr>
              <w:t>(EDW/SEAFO)</w:t>
            </w:r>
          </w:p>
        </w:tc>
      </w:tr>
      <w:tr>
        <w:trPr>
          <w:trHeight w:val="227"/>
        </w:trPr>
        <w:tc>
          <w:tcPr>
            <w:tcW w:w="1701" w:type="dxa"/>
            <w:tcBorders>
              <w:top w:val="single" w:sz="8" w:space="0" w:color="auto"/>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TAC</w:t>
            </w:r>
          </w:p>
        </w:tc>
        <w:tc>
          <w:tcPr>
            <w:tcW w:w="1985" w:type="dxa"/>
            <w:tcBorders>
              <w:top w:val="single" w:sz="8" w:space="0" w:color="auto"/>
              <w:left w:val="nil"/>
              <w:bottom w:val="single" w:sz="8" w:space="0" w:color="000000"/>
              <w:right w:val="nil"/>
            </w:tcBorders>
            <w:hideMark/>
          </w:tcPr>
          <w:p>
            <w:pPr>
              <w:spacing w:before="60" w:after="60"/>
              <w:jc w:val="right"/>
              <w:rPr>
                <w:noProof/>
              </w:rPr>
            </w:pPr>
            <w:r>
              <w:rPr>
                <w:noProof/>
              </w:rPr>
              <w:t>p.m.</w:t>
            </w:r>
          </w:p>
        </w:tc>
        <w:tc>
          <w:tcPr>
            <w:tcW w:w="992" w:type="dxa"/>
            <w:tcBorders>
              <w:top w:val="single" w:sz="8" w:space="0" w:color="auto"/>
              <w:left w:val="nil"/>
              <w:bottom w:val="single" w:sz="8" w:space="0" w:color="000000"/>
              <w:right w:val="nil"/>
            </w:tcBorders>
          </w:tcPr>
          <w:p>
            <w:pPr>
              <w:spacing w:before="60" w:after="60"/>
              <w:rPr>
                <w:rFonts w:asciiTheme="majorBidi" w:hAnsiTheme="majorBidi" w:cstheme="majorBidi"/>
                <w:noProof/>
              </w:rPr>
            </w:pPr>
          </w:p>
        </w:tc>
        <w:tc>
          <w:tcPr>
            <w:tcW w:w="4701" w:type="dxa"/>
            <w:gridSpan w:val="2"/>
            <w:tcBorders>
              <w:top w:val="single" w:sz="8" w:space="0" w:color="auto"/>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TAC de précaution</w:t>
            </w:r>
          </w:p>
        </w:tc>
      </w:tr>
    </w:tbl>
    <w:p>
      <w:pPr>
        <w:pStyle w:val="Lignefinal"/>
        <w:rPr>
          <w:noProof/>
          <w:szCs w:val="22"/>
        </w:rPr>
      </w:pPr>
    </w:p>
    <w:p>
      <w:pPr>
        <w:spacing w:before="0" w:after="0"/>
        <w:rPr>
          <w:noProof/>
        </w:rPr>
        <w:sectPr>
          <w:pgSz w:w="11907" w:h="16840"/>
          <w:pgMar w:top="1134" w:right="1134" w:bottom="1134" w:left="1134" w:header="567" w:footer="567" w:gutter="0"/>
          <w:pgNumType w:start="106"/>
          <w:cols w:space="720"/>
          <w:docGrid w:linePitch="326"/>
        </w:sectPr>
      </w:pPr>
    </w:p>
    <w:p>
      <w:pPr>
        <w:jc w:val="center"/>
        <w:rPr>
          <w:b/>
          <w:noProof/>
          <w:szCs w:val="24"/>
        </w:rPr>
      </w:pPr>
      <w:r>
        <w:rPr>
          <w:b/>
          <w:noProof/>
        </w:rPr>
        <w:t>ANNEXE IF</w:t>
      </w:r>
    </w:p>
    <w:p>
      <w:pPr>
        <w:pStyle w:val="NormalCentered"/>
        <w:rPr>
          <w:noProof/>
        </w:rPr>
      </w:pPr>
      <w:r>
        <w:rPr>
          <w:noProof/>
        </w:rPr>
        <w:t>THON ROUGE DU SUD — AIRES DE RÉPARTITION</w:t>
      </w:r>
    </w:p>
    <w:tbl>
      <w:tblPr>
        <w:tblW w:w="0" w:type="auto"/>
        <w:tblCellMar>
          <w:left w:w="0" w:type="dxa"/>
          <w:right w:w="0" w:type="dxa"/>
        </w:tblCellMar>
        <w:tblLook w:val="01E0" w:firstRow="1" w:lastRow="1" w:firstColumn="1" w:lastColumn="1" w:noHBand="0" w:noVBand="0"/>
      </w:tblPr>
      <w:tblGrid>
        <w:gridCol w:w="1701"/>
        <w:gridCol w:w="1985"/>
        <w:gridCol w:w="992"/>
        <w:gridCol w:w="992"/>
        <w:gridCol w:w="3969"/>
      </w:tblGrid>
      <w:tr>
        <w:trPr>
          <w:trHeight w:val="227"/>
        </w:trPr>
        <w:tc>
          <w:tcPr>
            <w:tcW w:w="1701" w:type="dxa"/>
            <w:tcBorders>
              <w:top w:val="single" w:sz="4" w:space="0" w:color="auto"/>
              <w:left w:val="nil"/>
              <w:bottom w:val="single" w:sz="4" w:space="0" w:color="auto"/>
              <w:right w:val="nil"/>
            </w:tcBorders>
            <w:hideMark/>
          </w:tcPr>
          <w:p>
            <w:pPr>
              <w:spacing w:before="60" w:after="60"/>
              <w:rPr>
                <w:rFonts w:eastAsia="Calibri"/>
                <w:noProof/>
              </w:rPr>
            </w:pPr>
            <w:r>
              <w:rPr>
                <w:noProof/>
              </w:rPr>
              <w:t>Espèce:</w:t>
            </w:r>
          </w:p>
        </w:tc>
        <w:tc>
          <w:tcPr>
            <w:tcW w:w="2977" w:type="dxa"/>
            <w:gridSpan w:val="2"/>
            <w:tcBorders>
              <w:top w:val="single" w:sz="4" w:space="0" w:color="auto"/>
              <w:left w:val="nil"/>
              <w:bottom w:val="single" w:sz="4" w:space="0" w:color="auto"/>
              <w:right w:val="single" w:sz="4" w:space="0" w:color="auto"/>
            </w:tcBorders>
            <w:hideMark/>
          </w:tcPr>
          <w:p>
            <w:pPr>
              <w:spacing w:before="60" w:after="60"/>
              <w:rPr>
                <w:rFonts w:eastAsia="Calibri"/>
                <w:noProof/>
              </w:rPr>
            </w:pPr>
            <w:r>
              <w:rPr>
                <w:noProof/>
              </w:rPr>
              <w:t>Thon rouge du Sud</w:t>
            </w:r>
          </w:p>
          <w:p>
            <w:pPr>
              <w:spacing w:before="60" w:after="60"/>
              <w:rPr>
                <w:rFonts w:eastAsia="Calibri"/>
                <w:i/>
                <w:iCs/>
                <w:noProof/>
              </w:rPr>
            </w:pPr>
            <w:r>
              <w:rPr>
                <w:i/>
                <w:iCs/>
                <w:noProof/>
              </w:rPr>
              <w:t>Thunnus maccoyii</w:t>
            </w:r>
          </w:p>
        </w:tc>
        <w:tc>
          <w:tcPr>
            <w:tcW w:w="992" w:type="dxa"/>
            <w:tcBorders>
              <w:top w:val="single" w:sz="4" w:space="0" w:color="auto"/>
              <w:left w:val="single" w:sz="4" w:space="0" w:color="auto"/>
              <w:bottom w:val="single" w:sz="4" w:space="0" w:color="auto"/>
              <w:right w:val="nil"/>
            </w:tcBorders>
            <w:hideMark/>
          </w:tcPr>
          <w:p>
            <w:pPr>
              <w:spacing w:before="60" w:after="60"/>
              <w:rPr>
                <w:rFonts w:eastAsia="Calibri"/>
                <w:noProof/>
              </w:rPr>
            </w:pPr>
            <w:r>
              <w:rPr>
                <w:noProof/>
              </w:rPr>
              <w:t>Zone:</w:t>
            </w:r>
          </w:p>
        </w:tc>
        <w:tc>
          <w:tcPr>
            <w:tcW w:w="3969" w:type="dxa"/>
            <w:tcBorders>
              <w:top w:val="single" w:sz="4" w:space="0" w:color="auto"/>
              <w:left w:val="nil"/>
              <w:bottom w:val="single" w:sz="4" w:space="0" w:color="auto"/>
              <w:right w:val="nil"/>
            </w:tcBorders>
            <w:hideMark/>
          </w:tcPr>
          <w:p>
            <w:pPr>
              <w:spacing w:before="60" w:after="60"/>
              <w:rPr>
                <w:rFonts w:eastAsia="Calibri"/>
                <w:noProof/>
              </w:rPr>
            </w:pPr>
            <w:r>
              <w:rPr>
                <w:noProof/>
              </w:rPr>
              <w:t>Toutes les aires de répartition (SBF/F41-81)</w:t>
            </w:r>
          </w:p>
        </w:tc>
      </w:tr>
      <w:tr>
        <w:trPr>
          <w:trHeight w:val="227"/>
        </w:trPr>
        <w:tc>
          <w:tcPr>
            <w:tcW w:w="1701" w:type="dxa"/>
            <w:tcBorders>
              <w:top w:val="single" w:sz="4" w:space="0" w:color="auto"/>
              <w:left w:val="nil"/>
              <w:bottom w:val="nil"/>
              <w:right w:val="nil"/>
            </w:tcBorders>
            <w:hideMark/>
          </w:tcPr>
          <w:p>
            <w:pPr>
              <w:spacing w:before="60" w:after="60"/>
              <w:rPr>
                <w:rFonts w:eastAsia="Calibri"/>
                <w:noProof/>
              </w:rPr>
            </w:pPr>
            <w:r>
              <w:rPr>
                <w:noProof/>
              </w:rPr>
              <w:t>Union</w:t>
            </w:r>
          </w:p>
        </w:tc>
        <w:tc>
          <w:tcPr>
            <w:tcW w:w="1985" w:type="dxa"/>
            <w:tcBorders>
              <w:top w:val="single" w:sz="4" w:space="0" w:color="auto"/>
              <w:left w:val="nil"/>
              <w:bottom w:val="nil"/>
              <w:right w:val="nil"/>
            </w:tcBorders>
            <w:hideMark/>
          </w:tcPr>
          <w:p>
            <w:pPr>
              <w:spacing w:before="60" w:after="60"/>
              <w:jc w:val="right"/>
              <w:rPr>
                <w:rFonts w:eastAsia="Calibri"/>
                <w:noProof/>
              </w:rPr>
            </w:pPr>
            <w:r>
              <w:rPr>
                <w:rFonts w:asciiTheme="majorBidi" w:hAnsiTheme="majorBidi"/>
                <w:noProof/>
                <w:color w:val="000000"/>
              </w:rPr>
              <w:t>p.m.</w:t>
            </w:r>
          </w:p>
        </w:tc>
        <w:tc>
          <w:tcPr>
            <w:tcW w:w="992" w:type="dxa"/>
            <w:tcBorders>
              <w:top w:val="single" w:sz="4" w:space="0" w:color="auto"/>
              <w:left w:val="nil"/>
              <w:bottom w:val="nil"/>
              <w:right w:val="nil"/>
            </w:tcBorders>
            <w:hideMark/>
          </w:tcPr>
          <w:p>
            <w:pPr>
              <w:spacing w:before="60" w:after="60"/>
              <w:rPr>
                <w:rFonts w:eastAsia="Calibri"/>
                <w:b/>
                <w:bCs/>
                <w:noProof/>
                <w:vertAlign w:val="superscript"/>
              </w:rPr>
            </w:pPr>
            <w:r>
              <w:rPr>
                <w:b/>
                <w:bCs/>
                <w:noProof/>
                <w:vertAlign w:val="superscript"/>
              </w:rPr>
              <w:t>(1)</w:t>
            </w:r>
          </w:p>
        </w:tc>
        <w:tc>
          <w:tcPr>
            <w:tcW w:w="4961" w:type="dxa"/>
            <w:gridSpan w:val="2"/>
            <w:tcBorders>
              <w:top w:val="single" w:sz="4" w:space="0" w:color="auto"/>
              <w:left w:val="nil"/>
              <w:bottom w:val="nil"/>
              <w:right w:val="nil"/>
            </w:tcBorders>
            <w:hideMark/>
          </w:tcPr>
          <w:p>
            <w:pPr>
              <w:spacing w:before="60" w:after="60"/>
              <w:rPr>
                <w:rFonts w:eastAsia="Calibri"/>
                <w:noProof/>
              </w:rPr>
            </w:pPr>
            <w:r>
              <w:rPr>
                <w:noProof/>
              </w:rPr>
              <w:t>TAC analytique</w:t>
            </w:r>
          </w:p>
          <w:p>
            <w:pPr>
              <w:spacing w:before="60" w:after="60"/>
              <w:rPr>
                <w:rFonts w:eastAsia="Calibri"/>
                <w:noProof/>
              </w:rPr>
            </w:pPr>
            <w:r>
              <w:rPr>
                <w:noProof/>
              </w:rPr>
              <w:t>L’article 3 du règlement (CE) nº 847/96 ne s’applique pas</w:t>
            </w:r>
          </w:p>
          <w:p>
            <w:pPr>
              <w:spacing w:before="60" w:after="60"/>
              <w:rPr>
                <w:rFonts w:eastAsia="Calibri"/>
                <w:noProof/>
              </w:rPr>
            </w:pPr>
            <w:r>
              <w:rPr>
                <w:noProof/>
              </w:rPr>
              <w:t>L’article 4 du règlement (CE) nº 847/96 ne s’applique pas</w:t>
            </w:r>
          </w:p>
        </w:tc>
      </w:tr>
      <w:tr>
        <w:trPr>
          <w:trHeight w:val="227"/>
        </w:trPr>
        <w:tc>
          <w:tcPr>
            <w:tcW w:w="1701" w:type="dxa"/>
            <w:hideMark/>
          </w:tcPr>
          <w:p>
            <w:pPr>
              <w:spacing w:before="60" w:after="60"/>
              <w:rPr>
                <w:rFonts w:eastAsia="Calibri"/>
                <w:noProof/>
              </w:rPr>
            </w:pPr>
            <w:r>
              <w:rPr>
                <w:noProof/>
              </w:rPr>
              <w:t>TAC</w:t>
            </w:r>
          </w:p>
        </w:tc>
        <w:tc>
          <w:tcPr>
            <w:tcW w:w="1985" w:type="dxa"/>
            <w:hideMark/>
          </w:tcPr>
          <w:p>
            <w:pPr>
              <w:spacing w:before="60" w:after="60"/>
              <w:jc w:val="right"/>
              <w:rPr>
                <w:rFonts w:eastAsia="Calibri"/>
                <w:noProof/>
              </w:rPr>
            </w:pPr>
            <w:r>
              <w:rPr>
                <w:rFonts w:asciiTheme="majorBidi" w:hAnsiTheme="majorBidi"/>
                <w:noProof/>
                <w:color w:val="000000"/>
              </w:rPr>
              <w:t>p.m.</w:t>
            </w:r>
          </w:p>
        </w:tc>
        <w:tc>
          <w:tcPr>
            <w:tcW w:w="5953" w:type="dxa"/>
            <w:gridSpan w:val="3"/>
          </w:tcPr>
          <w:p>
            <w:pPr>
              <w:spacing w:before="60" w:after="60"/>
              <w:rPr>
                <w:rFonts w:eastAsia="Calibri"/>
                <w:noProof/>
              </w:rPr>
            </w:pPr>
          </w:p>
        </w:tc>
      </w:tr>
      <w:tr>
        <w:trPr>
          <w:trHeight w:val="227"/>
        </w:trPr>
        <w:tc>
          <w:tcPr>
            <w:tcW w:w="1701" w:type="dxa"/>
            <w:tcBorders>
              <w:top w:val="nil"/>
              <w:left w:val="nil"/>
              <w:bottom w:val="single" w:sz="4" w:space="0" w:color="auto"/>
              <w:right w:val="nil"/>
            </w:tcBorders>
            <w:hideMark/>
          </w:tcPr>
          <w:p>
            <w:pPr>
              <w:spacing w:before="60" w:after="60"/>
              <w:jc w:val="right"/>
              <w:rPr>
                <w:rFonts w:eastAsia="Calibri"/>
                <w:b/>
                <w:bCs/>
                <w:noProof/>
                <w:vertAlign w:val="superscript"/>
              </w:rPr>
            </w:pPr>
            <w:r>
              <w:rPr>
                <w:b/>
                <w:bCs/>
                <w:noProof/>
                <w:vertAlign w:val="superscript"/>
              </w:rPr>
              <w:t>(1)</w:t>
            </w:r>
          </w:p>
        </w:tc>
        <w:tc>
          <w:tcPr>
            <w:tcW w:w="7938" w:type="dxa"/>
            <w:gridSpan w:val="4"/>
            <w:tcBorders>
              <w:top w:val="nil"/>
              <w:left w:val="nil"/>
              <w:bottom w:val="single" w:sz="4" w:space="0" w:color="auto"/>
              <w:right w:val="nil"/>
            </w:tcBorders>
            <w:hideMark/>
          </w:tcPr>
          <w:p>
            <w:pPr>
              <w:spacing w:before="60" w:after="60"/>
              <w:rPr>
                <w:rFonts w:eastAsia="Calibri"/>
                <w:noProof/>
              </w:rPr>
            </w:pPr>
            <w:r>
              <w:rPr>
                <w:noProof/>
              </w:rPr>
              <w:t xml:space="preserve"> Exclusivement pour les prises accessoires. Aucune pêche ciblée n’est autorisée dans le cadre de ce quota.</w:t>
            </w:r>
          </w:p>
        </w:tc>
      </w:tr>
    </w:tbl>
    <w:p>
      <w:pPr>
        <w:pStyle w:val="Lignefinal"/>
        <w:rPr>
          <w:noProof/>
        </w:rPr>
      </w:pPr>
    </w:p>
    <w:p>
      <w:pPr>
        <w:spacing w:before="0" w:after="0"/>
        <w:rPr>
          <w:b/>
          <w:noProof/>
          <w:u w:val="single"/>
        </w:rPr>
        <w:sectPr>
          <w:pgSz w:w="11907" w:h="16840"/>
          <w:pgMar w:top="1134" w:right="1134" w:bottom="1134" w:left="1134" w:header="567" w:footer="567" w:gutter="0"/>
          <w:pgNumType w:start="109"/>
          <w:cols w:space="720"/>
          <w:docGrid w:linePitch="326"/>
        </w:sectPr>
      </w:pPr>
    </w:p>
    <w:p>
      <w:pPr>
        <w:jc w:val="center"/>
        <w:rPr>
          <w:b/>
          <w:noProof/>
        </w:rPr>
      </w:pPr>
      <w:r>
        <w:rPr>
          <w:b/>
          <w:noProof/>
        </w:rPr>
        <w:t>ANNEXE IG</w:t>
      </w:r>
    </w:p>
    <w:p>
      <w:pPr>
        <w:pStyle w:val="NormalCentered"/>
        <w:rPr>
          <w:noProof/>
        </w:rPr>
      </w:pPr>
      <w:r>
        <w:rPr>
          <w:noProof/>
        </w:rPr>
        <w:t>ZONE DE LA CONVENTION WCPFC</w:t>
      </w:r>
    </w:p>
    <w:tbl>
      <w:tblPr>
        <w:tblW w:w="5000" w:type="pct"/>
        <w:tblLook w:val="04A0" w:firstRow="1" w:lastRow="0" w:firstColumn="1" w:lastColumn="0" w:noHBand="0" w:noVBand="1"/>
      </w:tblPr>
      <w:tblGrid>
        <w:gridCol w:w="1809"/>
        <w:gridCol w:w="2127"/>
        <w:gridCol w:w="708"/>
        <w:gridCol w:w="1135"/>
        <w:gridCol w:w="4076"/>
      </w:tblGrid>
      <w:tr>
        <w:trPr>
          <w:trHeight w:val="227"/>
        </w:trPr>
        <w:tc>
          <w:tcPr>
            <w:tcW w:w="918" w:type="pct"/>
            <w:tcBorders>
              <w:top w:val="single" w:sz="8" w:space="0" w:color="000000"/>
              <w:left w:val="nil"/>
              <w:bottom w:val="single" w:sz="8" w:space="0" w:color="auto"/>
              <w:right w:val="single" w:sz="8" w:space="0" w:color="auto"/>
            </w:tcBorders>
            <w:hideMark/>
          </w:tcPr>
          <w:p>
            <w:pPr>
              <w:spacing w:before="60" w:after="60"/>
              <w:rPr>
                <w:noProof/>
                <w:szCs w:val="18"/>
              </w:rPr>
            </w:pPr>
            <w:r>
              <w:rPr>
                <w:noProof/>
              </w:rPr>
              <w:t>Espèce:</w:t>
            </w:r>
          </w:p>
        </w:tc>
        <w:tc>
          <w:tcPr>
            <w:tcW w:w="1438" w:type="pct"/>
            <w:gridSpan w:val="2"/>
            <w:tcBorders>
              <w:top w:val="single" w:sz="8" w:space="0" w:color="000000"/>
              <w:left w:val="nil"/>
              <w:bottom w:val="single" w:sz="8" w:space="0" w:color="auto"/>
              <w:right w:val="single" w:sz="8" w:space="0" w:color="auto"/>
            </w:tcBorders>
            <w:hideMark/>
          </w:tcPr>
          <w:p>
            <w:pPr>
              <w:spacing w:before="60" w:after="60"/>
              <w:rPr>
                <w:i/>
                <w:iCs/>
                <w:noProof/>
                <w:szCs w:val="18"/>
              </w:rPr>
            </w:pPr>
            <w:r>
              <w:rPr>
                <w:noProof/>
              </w:rPr>
              <w:t>Thon obèse</w:t>
            </w:r>
          </w:p>
          <w:p>
            <w:pPr>
              <w:spacing w:before="60" w:after="60"/>
              <w:rPr>
                <w:noProof/>
                <w:szCs w:val="18"/>
              </w:rPr>
            </w:pPr>
            <w:r>
              <w:rPr>
                <w:i/>
                <w:iCs/>
                <w:noProof/>
                <w:szCs w:val="18"/>
              </w:rPr>
              <w:t>Thunnus obesus</w:t>
            </w:r>
          </w:p>
        </w:tc>
        <w:tc>
          <w:tcPr>
            <w:tcW w:w="576" w:type="pct"/>
            <w:tcBorders>
              <w:top w:val="single" w:sz="8" w:space="0" w:color="000000"/>
              <w:left w:val="single" w:sz="8" w:space="0" w:color="auto"/>
              <w:bottom w:val="single" w:sz="8" w:space="0" w:color="auto"/>
              <w:right w:val="nil"/>
            </w:tcBorders>
            <w:hideMark/>
          </w:tcPr>
          <w:p>
            <w:pPr>
              <w:spacing w:before="60" w:after="60"/>
              <w:rPr>
                <w:noProof/>
                <w:szCs w:val="18"/>
              </w:rPr>
            </w:pPr>
            <w:r>
              <w:rPr>
                <w:noProof/>
              </w:rPr>
              <w:t>Zone:</w:t>
            </w:r>
          </w:p>
        </w:tc>
        <w:tc>
          <w:tcPr>
            <w:tcW w:w="2068" w:type="pct"/>
            <w:tcBorders>
              <w:top w:val="single" w:sz="8" w:space="0" w:color="000000"/>
              <w:left w:val="nil"/>
              <w:bottom w:val="single" w:sz="8" w:space="0" w:color="auto"/>
              <w:right w:val="nil"/>
            </w:tcBorders>
            <w:hideMark/>
          </w:tcPr>
          <w:p>
            <w:pPr>
              <w:spacing w:before="60" w:after="60"/>
              <w:rPr>
                <w:noProof/>
                <w:szCs w:val="16"/>
              </w:rPr>
            </w:pPr>
            <w:r>
              <w:rPr>
                <w:noProof/>
              </w:rPr>
              <w:t>Zone de la convention WCPFC située au sud de 20° S</w:t>
            </w:r>
          </w:p>
          <w:p>
            <w:pPr>
              <w:spacing w:before="60" w:after="60"/>
              <w:rPr>
                <w:noProof/>
                <w:szCs w:val="18"/>
              </w:rPr>
            </w:pPr>
            <w:r>
              <w:rPr>
                <w:noProof/>
              </w:rPr>
              <w:t>(BET/F7120S)</w:t>
            </w:r>
          </w:p>
        </w:tc>
      </w:tr>
      <w:tr>
        <w:trPr>
          <w:trHeight w:val="227"/>
        </w:trPr>
        <w:tc>
          <w:tcPr>
            <w:tcW w:w="918" w:type="pct"/>
            <w:hideMark/>
          </w:tcPr>
          <w:p>
            <w:pPr>
              <w:spacing w:before="60" w:after="60"/>
              <w:rPr>
                <w:noProof/>
                <w:szCs w:val="18"/>
              </w:rPr>
            </w:pPr>
            <w:r>
              <w:rPr>
                <w:noProof/>
              </w:rPr>
              <w:t>Union</w:t>
            </w:r>
          </w:p>
        </w:tc>
        <w:tc>
          <w:tcPr>
            <w:tcW w:w="1079" w:type="pct"/>
            <w:hideMark/>
          </w:tcPr>
          <w:p>
            <w:pPr>
              <w:spacing w:before="60" w:after="60"/>
              <w:jc w:val="right"/>
              <w:rPr>
                <w:noProof/>
                <w:szCs w:val="18"/>
              </w:rPr>
            </w:pPr>
            <w:r>
              <w:rPr>
                <w:rFonts w:asciiTheme="majorBidi" w:hAnsiTheme="majorBidi"/>
                <w:noProof/>
                <w:color w:val="000000"/>
              </w:rPr>
              <w:t>p.m.</w:t>
            </w:r>
          </w:p>
        </w:tc>
        <w:tc>
          <w:tcPr>
            <w:tcW w:w="359" w:type="pct"/>
            <w:hideMark/>
          </w:tcPr>
          <w:p>
            <w:pPr>
              <w:spacing w:before="60" w:after="60"/>
              <w:rPr>
                <w:b/>
                <w:bCs/>
                <w:noProof/>
                <w:szCs w:val="18"/>
                <w:vertAlign w:val="superscript"/>
              </w:rPr>
            </w:pPr>
            <w:r>
              <w:rPr>
                <w:b/>
                <w:bCs/>
                <w:noProof/>
                <w:szCs w:val="18"/>
                <w:vertAlign w:val="superscript"/>
              </w:rPr>
              <w:t>(1)</w:t>
            </w:r>
          </w:p>
        </w:tc>
        <w:tc>
          <w:tcPr>
            <w:tcW w:w="2644" w:type="pct"/>
            <w:gridSpan w:val="2"/>
            <w:hideMark/>
          </w:tcPr>
          <w:p>
            <w:pPr>
              <w:spacing w:before="60" w:after="60"/>
              <w:rPr>
                <w:noProof/>
                <w:szCs w:val="18"/>
              </w:rPr>
            </w:pPr>
            <w:r>
              <w:rPr>
                <w:noProof/>
              </w:rPr>
              <w:t>TAC de précaution</w:t>
            </w:r>
          </w:p>
        </w:tc>
      </w:tr>
      <w:tr>
        <w:trPr>
          <w:trHeight w:val="227"/>
        </w:trPr>
        <w:tc>
          <w:tcPr>
            <w:tcW w:w="918" w:type="pct"/>
            <w:hideMark/>
          </w:tcPr>
          <w:p>
            <w:pPr>
              <w:spacing w:before="60" w:after="60"/>
              <w:rPr>
                <w:noProof/>
                <w:szCs w:val="18"/>
              </w:rPr>
            </w:pPr>
            <w:r>
              <w:rPr>
                <w:noProof/>
              </w:rPr>
              <w:t>TAC</w:t>
            </w:r>
          </w:p>
        </w:tc>
        <w:tc>
          <w:tcPr>
            <w:tcW w:w="1079" w:type="pct"/>
            <w:hideMark/>
          </w:tcPr>
          <w:p>
            <w:pPr>
              <w:spacing w:before="60" w:after="60"/>
              <w:jc w:val="right"/>
              <w:rPr>
                <w:noProof/>
                <w:szCs w:val="18"/>
              </w:rPr>
            </w:pPr>
            <w:r>
              <w:rPr>
                <w:noProof/>
              </w:rPr>
              <w:t>Sans objet</w:t>
            </w:r>
          </w:p>
        </w:tc>
        <w:tc>
          <w:tcPr>
            <w:tcW w:w="359" w:type="pct"/>
            <w:hideMark/>
          </w:tcPr>
          <w:p>
            <w:pPr>
              <w:spacing w:before="60" w:after="60"/>
              <w:rPr>
                <w:b/>
                <w:bCs/>
                <w:noProof/>
                <w:szCs w:val="18"/>
                <w:vertAlign w:val="superscript"/>
              </w:rPr>
            </w:pPr>
            <w:r>
              <w:rPr>
                <w:b/>
                <w:bCs/>
                <w:noProof/>
                <w:szCs w:val="18"/>
                <w:vertAlign w:val="superscript"/>
              </w:rPr>
              <w:t>(1)</w:t>
            </w:r>
          </w:p>
        </w:tc>
        <w:tc>
          <w:tcPr>
            <w:tcW w:w="2644" w:type="pct"/>
            <w:gridSpan w:val="2"/>
          </w:tcPr>
          <w:p>
            <w:pPr>
              <w:spacing w:before="60" w:after="60"/>
              <w:rPr>
                <w:noProof/>
                <w:szCs w:val="18"/>
              </w:rPr>
            </w:pPr>
          </w:p>
        </w:tc>
      </w:tr>
      <w:tr>
        <w:trPr>
          <w:trHeight w:val="227"/>
        </w:trPr>
        <w:tc>
          <w:tcPr>
            <w:tcW w:w="918" w:type="pct"/>
            <w:tcBorders>
              <w:top w:val="nil"/>
              <w:left w:val="nil"/>
              <w:bottom w:val="single" w:sz="8" w:space="0" w:color="000000"/>
              <w:right w:val="nil"/>
            </w:tcBorders>
            <w:hideMark/>
          </w:tcPr>
          <w:p>
            <w:pPr>
              <w:spacing w:before="60" w:after="60"/>
              <w:jc w:val="right"/>
              <w:rPr>
                <w:b/>
                <w:bCs/>
                <w:noProof/>
                <w:szCs w:val="18"/>
                <w:vertAlign w:val="superscript"/>
              </w:rPr>
            </w:pPr>
            <w:r>
              <w:rPr>
                <w:b/>
                <w:bCs/>
                <w:noProof/>
                <w:szCs w:val="18"/>
                <w:vertAlign w:val="superscript"/>
              </w:rPr>
              <w:t>(1)</w:t>
            </w:r>
          </w:p>
        </w:tc>
        <w:tc>
          <w:tcPr>
            <w:tcW w:w="4082" w:type="pct"/>
            <w:gridSpan w:val="4"/>
            <w:tcBorders>
              <w:top w:val="nil"/>
              <w:left w:val="nil"/>
              <w:bottom w:val="single" w:sz="8" w:space="0" w:color="000000"/>
              <w:right w:val="nil"/>
            </w:tcBorders>
            <w:hideMark/>
          </w:tcPr>
          <w:p>
            <w:pPr>
              <w:spacing w:before="60" w:after="60"/>
              <w:rPr>
                <w:noProof/>
                <w:szCs w:val="18"/>
              </w:rPr>
            </w:pPr>
            <w:r>
              <w:rPr>
                <w:noProof/>
              </w:rPr>
              <w:t>Ce quota peut être pêché uniquement par des navires utilisant des palangres.</w:t>
            </w:r>
          </w:p>
        </w:tc>
      </w:tr>
      <w:tr>
        <w:trPr>
          <w:trHeight w:val="227"/>
        </w:trPr>
        <w:tc>
          <w:tcPr>
            <w:tcW w:w="918" w:type="pct"/>
            <w:tcBorders>
              <w:top w:val="single" w:sz="8" w:space="0" w:color="auto"/>
              <w:left w:val="nil"/>
              <w:bottom w:val="single" w:sz="8" w:space="0" w:color="000000"/>
              <w:right w:val="nil"/>
            </w:tcBorders>
            <w:shd w:val="clear" w:color="auto" w:fill="FFFFFF"/>
          </w:tcPr>
          <w:p>
            <w:pPr>
              <w:spacing w:before="60" w:after="60"/>
              <w:rPr>
                <w:noProof/>
                <w:szCs w:val="24"/>
              </w:rPr>
            </w:pPr>
          </w:p>
        </w:tc>
        <w:tc>
          <w:tcPr>
            <w:tcW w:w="1438" w:type="pct"/>
            <w:gridSpan w:val="2"/>
            <w:tcBorders>
              <w:top w:val="single" w:sz="8" w:space="0" w:color="auto"/>
              <w:left w:val="nil"/>
              <w:bottom w:val="single" w:sz="8" w:space="0" w:color="000000"/>
              <w:right w:val="single" w:sz="8" w:space="0" w:color="auto"/>
            </w:tcBorders>
            <w:shd w:val="clear" w:color="auto" w:fill="FFFFFF"/>
          </w:tcPr>
          <w:p>
            <w:pPr>
              <w:spacing w:before="60" w:after="60"/>
              <w:rPr>
                <w:noProof/>
              </w:rPr>
            </w:pPr>
          </w:p>
        </w:tc>
        <w:tc>
          <w:tcPr>
            <w:tcW w:w="576" w:type="pct"/>
            <w:tcBorders>
              <w:top w:val="single" w:sz="8" w:space="0" w:color="auto"/>
              <w:left w:val="single" w:sz="8" w:space="0" w:color="auto"/>
              <w:bottom w:val="single" w:sz="8" w:space="0" w:color="000000"/>
              <w:right w:val="nil"/>
            </w:tcBorders>
            <w:shd w:val="clear" w:color="auto" w:fill="FFFFFF"/>
          </w:tcPr>
          <w:p>
            <w:pPr>
              <w:spacing w:before="60" w:after="60"/>
              <w:rPr>
                <w:noProof/>
              </w:rPr>
            </w:pPr>
          </w:p>
        </w:tc>
        <w:tc>
          <w:tcPr>
            <w:tcW w:w="2068" w:type="pct"/>
            <w:tcBorders>
              <w:top w:val="single" w:sz="8" w:space="0" w:color="auto"/>
              <w:left w:val="nil"/>
              <w:bottom w:val="single" w:sz="8" w:space="0" w:color="000000"/>
              <w:right w:val="nil"/>
            </w:tcBorders>
            <w:shd w:val="clear" w:color="auto" w:fill="FFFFFF"/>
          </w:tcPr>
          <w:p>
            <w:pPr>
              <w:spacing w:before="60" w:after="60"/>
              <w:rPr>
                <w:noProof/>
              </w:rPr>
            </w:pPr>
          </w:p>
        </w:tc>
      </w:tr>
      <w:tr>
        <w:trPr>
          <w:trHeight w:val="227"/>
        </w:trPr>
        <w:tc>
          <w:tcPr>
            <w:tcW w:w="918" w:type="pct"/>
            <w:tcBorders>
              <w:top w:val="single" w:sz="8" w:space="0" w:color="auto"/>
              <w:left w:val="nil"/>
              <w:bottom w:val="single" w:sz="8" w:space="0" w:color="000000"/>
              <w:right w:val="nil"/>
            </w:tcBorders>
            <w:shd w:val="clear" w:color="auto" w:fill="FFFFFF"/>
            <w:hideMark/>
          </w:tcPr>
          <w:p>
            <w:pPr>
              <w:spacing w:before="60" w:after="60"/>
              <w:rPr>
                <w:noProof/>
              </w:rPr>
            </w:pPr>
            <w:r>
              <w:rPr>
                <w:noProof/>
              </w:rPr>
              <w:t>Espèce:</w:t>
            </w:r>
          </w:p>
        </w:tc>
        <w:tc>
          <w:tcPr>
            <w:tcW w:w="1438" w:type="pct"/>
            <w:gridSpan w:val="2"/>
            <w:tcBorders>
              <w:top w:val="single" w:sz="8" w:space="0" w:color="auto"/>
              <w:left w:val="nil"/>
              <w:bottom w:val="single" w:sz="8" w:space="0" w:color="000000"/>
              <w:right w:val="single" w:sz="8" w:space="0" w:color="auto"/>
            </w:tcBorders>
            <w:shd w:val="clear" w:color="auto" w:fill="FFFFFF"/>
            <w:hideMark/>
          </w:tcPr>
          <w:p>
            <w:pPr>
              <w:spacing w:before="60" w:after="60"/>
              <w:rPr>
                <w:noProof/>
              </w:rPr>
            </w:pPr>
            <w:r>
              <w:rPr>
                <w:noProof/>
              </w:rPr>
              <w:t>Espadon</w:t>
            </w:r>
          </w:p>
          <w:p>
            <w:pPr>
              <w:spacing w:before="60" w:after="60"/>
              <w:rPr>
                <w:i/>
                <w:iCs/>
                <w:noProof/>
              </w:rPr>
            </w:pPr>
            <w:r>
              <w:rPr>
                <w:i/>
                <w:iCs/>
                <w:noProof/>
              </w:rPr>
              <w:t>Xiphias gladius</w:t>
            </w:r>
          </w:p>
        </w:tc>
        <w:tc>
          <w:tcPr>
            <w:tcW w:w="576" w:type="pct"/>
            <w:tcBorders>
              <w:top w:val="single" w:sz="8" w:space="0" w:color="auto"/>
              <w:left w:val="single" w:sz="8" w:space="0" w:color="auto"/>
              <w:bottom w:val="single" w:sz="8" w:space="0" w:color="000000"/>
              <w:right w:val="nil"/>
            </w:tcBorders>
            <w:shd w:val="clear" w:color="auto" w:fill="FFFFFF"/>
            <w:hideMark/>
          </w:tcPr>
          <w:p>
            <w:pPr>
              <w:spacing w:before="60" w:after="60"/>
              <w:rPr>
                <w:noProof/>
              </w:rPr>
            </w:pPr>
            <w:r>
              <w:rPr>
                <w:noProof/>
              </w:rPr>
              <w:t>Zone:</w:t>
            </w:r>
          </w:p>
        </w:tc>
        <w:tc>
          <w:tcPr>
            <w:tcW w:w="2068" w:type="pct"/>
            <w:tcBorders>
              <w:top w:val="single" w:sz="8" w:space="0" w:color="auto"/>
              <w:left w:val="nil"/>
              <w:bottom w:val="single" w:sz="8" w:space="0" w:color="000000"/>
              <w:right w:val="nil"/>
            </w:tcBorders>
            <w:shd w:val="clear" w:color="auto" w:fill="FFFFFF"/>
            <w:hideMark/>
          </w:tcPr>
          <w:p>
            <w:pPr>
              <w:spacing w:before="60" w:after="60"/>
              <w:rPr>
                <w:noProof/>
              </w:rPr>
            </w:pPr>
            <w:r>
              <w:rPr>
                <w:noProof/>
              </w:rPr>
              <w:t>Zone de la convention WCPFC située au sud de 20° S</w:t>
            </w:r>
          </w:p>
          <w:p>
            <w:pPr>
              <w:spacing w:before="60" w:after="60"/>
              <w:rPr>
                <w:noProof/>
              </w:rPr>
            </w:pPr>
            <w:r>
              <w:rPr>
                <w:noProof/>
              </w:rPr>
              <w:t>(SWO/F7120S)</w:t>
            </w:r>
          </w:p>
        </w:tc>
      </w:tr>
      <w:tr>
        <w:trPr>
          <w:trHeight w:val="227"/>
        </w:trPr>
        <w:tc>
          <w:tcPr>
            <w:tcW w:w="918" w:type="pct"/>
            <w:hideMark/>
          </w:tcPr>
          <w:p>
            <w:pPr>
              <w:spacing w:before="60" w:after="60"/>
              <w:rPr>
                <w:noProof/>
              </w:rPr>
            </w:pPr>
            <w:r>
              <w:rPr>
                <w:noProof/>
              </w:rPr>
              <w:t>Union</w:t>
            </w:r>
          </w:p>
        </w:tc>
        <w:tc>
          <w:tcPr>
            <w:tcW w:w="1079" w:type="pct"/>
            <w:hideMark/>
          </w:tcPr>
          <w:p>
            <w:pPr>
              <w:spacing w:before="60" w:after="60"/>
              <w:jc w:val="right"/>
              <w:rPr>
                <w:noProof/>
              </w:rPr>
            </w:pPr>
            <w:r>
              <w:rPr>
                <w:rFonts w:asciiTheme="majorBidi" w:hAnsiTheme="majorBidi"/>
                <w:noProof/>
                <w:color w:val="000000"/>
              </w:rPr>
              <w:t>p.m.</w:t>
            </w:r>
          </w:p>
        </w:tc>
        <w:tc>
          <w:tcPr>
            <w:tcW w:w="359" w:type="pct"/>
          </w:tcPr>
          <w:p>
            <w:pPr>
              <w:spacing w:before="60" w:after="60"/>
              <w:rPr>
                <w:noProof/>
              </w:rPr>
            </w:pPr>
          </w:p>
        </w:tc>
        <w:tc>
          <w:tcPr>
            <w:tcW w:w="2644" w:type="pct"/>
            <w:gridSpan w:val="2"/>
            <w:vMerge w:val="restart"/>
            <w:tcBorders>
              <w:top w:val="single" w:sz="8" w:space="0" w:color="000000"/>
              <w:left w:val="nil"/>
              <w:bottom w:val="single" w:sz="8" w:space="0" w:color="auto"/>
              <w:right w:val="nil"/>
            </w:tcBorders>
            <w:hideMark/>
          </w:tcPr>
          <w:p>
            <w:pPr>
              <w:spacing w:before="60" w:after="60"/>
              <w:rPr>
                <w:noProof/>
              </w:rPr>
            </w:pPr>
            <w:r>
              <w:rPr>
                <w:noProof/>
              </w:rPr>
              <w:t>TAC de précaution</w:t>
            </w:r>
          </w:p>
        </w:tc>
      </w:tr>
      <w:tr>
        <w:trPr>
          <w:trHeight w:val="227"/>
        </w:trPr>
        <w:tc>
          <w:tcPr>
            <w:tcW w:w="918" w:type="pct"/>
            <w:tcBorders>
              <w:top w:val="nil"/>
              <w:left w:val="nil"/>
              <w:bottom w:val="single" w:sz="8" w:space="0" w:color="auto"/>
              <w:right w:val="nil"/>
            </w:tcBorders>
            <w:hideMark/>
          </w:tcPr>
          <w:p>
            <w:pPr>
              <w:spacing w:before="60" w:after="60"/>
              <w:rPr>
                <w:noProof/>
              </w:rPr>
            </w:pPr>
            <w:r>
              <w:rPr>
                <w:noProof/>
              </w:rPr>
              <w:t>TAC</w:t>
            </w:r>
          </w:p>
        </w:tc>
        <w:tc>
          <w:tcPr>
            <w:tcW w:w="1079" w:type="pct"/>
            <w:tcBorders>
              <w:top w:val="nil"/>
              <w:left w:val="nil"/>
              <w:bottom w:val="single" w:sz="8" w:space="0" w:color="auto"/>
              <w:right w:val="nil"/>
            </w:tcBorders>
            <w:hideMark/>
          </w:tcPr>
          <w:p>
            <w:pPr>
              <w:spacing w:before="60" w:after="60"/>
              <w:jc w:val="right"/>
              <w:rPr>
                <w:noProof/>
              </w:rPr>
            </w:pPr>
            <w:r>
              <w:rPr>
                <w:noProof/>
              </w:rPr>
              <w:t>Sans objet</w:t>
            </w:r>
          </w:p>
        </w:tc>
        <w:tc>
          <w:tcPr>
            <w:tcW w:w="359" w:type="pct"/>
            <w:tcBorders>
              <w:top w:val="nil"/>
              <w:left w:val="nil"/>
              <w:bottom w:val="single" w:sz="8" w:space="0" w:color="auto"/>
              <w:right w:val="nil"/>
            </w:tcBorders>
          </w:tcPr>
          <w:p>
            <w:pPr>
              <w:spacing w:before="60" w:after="60"/>
              <w:rPr>
                <w:noProof/>
              </w:rPr>
            </w:pPr>
          </w:p>
        </w:tc>
        <w:tc>
          <w:tcPr>
            <w:tcW w:w="0" w:type="auto"/>
            <w:gridSpan w:val="2"/>
            <w:vMerge/>
            <w:tcBorders>
              <w:top w:val="nil"/>
              <w:left w:val="nil"/>
              <w:bottom w:val="single" w:sz="8" w:space="0" w:color="auto"/>
              <w:right w:val="nil"/>
            </w:tcBorders>
            <w:vAlign w:val="center"/>
            <w:hideMark/>
          </w:tcPr>
          <w:p>
            <w:pPr>
              <w:spacing w:before="0" w:after="0"/>
              <w:rPr>
                <w:noProof/>
                <w:szCs w:val="24"/>
              </w:rPr>
            </w:pPr>
          </w:p>
        </w:tc>
      </w:tr>
    </w:tbl>
    <w:p>
      <w:pPr>
        <w:pStyle w:val="Lignefinal"/>
        <w:rPr>
          <w:noProof/>
          <w:szCs w:val="22"/>
        </w:rPr>
      </w:pPr>
    </w:p>
    <w:p>
      <w:pPr>
        <w:spacing w:before="0" w:after="0"/>
        <w:rPr>
          <w:noProof/>
        </w:rPr>
        <w:sectPr>
          <w:pgSz w:w="11907" w:h="16840"/>
          <w:pgMar w:top="1134" w:right="1134" w:bottom="1134" w:left="1134" w:header="567" w:footer="567" w:gutter="0"/>
          <w:pgNumType w:start="110"/>
          <w:cols w:space="720"/>
          <w:docGrid w:linePitch="326"/>
        </w:sectPr>
      </w:pPr>
    </w:p>
    <w:p>
      <w:pPr>
        <w:jc w:val="center"/>
        <w:rPr>
          <w:b/>
          <w:noProof/>
          <w:szCs w:val="24"/>
        </w:rPr>
      </w:pPr>
      <w:r>
        <w:rPr>
          <w:b/>
          <w:noProof/>
        </w:rPr>
        <w:t>ANNEXE IH</w:t>
      </w:r>
    </w:p>
    <w:p>
      <w:pPr>
        <w:pStyle w:val="NormalCentered"/>
        <w:rPr>
          <w:noProof/>
        </w:rPr>
      </w:pPr>
      <w:r>
        <w:rPr>
          <w:noProof/>
        </w:rPr>
        <w:t>ZONE DE LA CONVENTION ORGPPS</w:t>
      </w:r>
    </w:p>
    <w:tbl>
      <w:tblPr>
        <w:tblW w:w="0" w:type="auto"/>
        <w:tblLook w:val="04A0" w:firstRow="1" w:lastRow="0" w:firstColumn="1" w:lastColumn="0" w:noHBand="0" w:noVBand="1"/>
      </w:tblPr>
      <w:tblGrid>
        <w:gridCol w:w="1809"/>
        <w:gridCol w:w="2127"/>
        <w:gridCol w:w="708"/>
        <w:gridCol w:w="1040"/>
        <w:gridCol w:w="4171"/>
      </w:tblGrid>
      <w:tr>
        <w:trPr>
          <w:trHeight w:val="227"/>
        </w:trPr>
        <w:tc>
          <w:tcPr>
            <w:tcW w:w="1809" w:type="dxa"/>
            <w:tcBorders>
              <w:top w:val="single" w:sz="8" w:space="0" w:color="auto"/>
              <w:left w:val="nil"/>
              <w:bottom w:val="single" w:sz="8" w:space="0" w:color="auto"/>
              <w:right w:val="nil"/>
            </w:tcBorders>
            <w:noWrap/>
            <w:hideMark/>
          </w:tcPr>
          <w:p>
            <w:pPr>
              <w:spacing w:before="60" w:after="60"/>
              <w:rPr>
                <w:noProof/>
              </w:rPr>
            </w:pPr>
            <w:r>
              <w:rPr>
                <w:noProof/>
              </w:rPr>
              <w:t>Espèce:</w:t>
            </w:r>
          </w:p>
        </w:tc>
        <w:tc>
          <w:tcPr>
            <w:tcW w:w="2835" w:type="dxa"/>
            <w:gridSpan w:val="2"/>
            <w:tcBorders>
              <w:top w:val="single" w:sz="8" w:space="0" w:color="auto"/>
              <w:left w:val="nil"/>
              <w:bottom w:val="single" w:sz="8" w:space="0" w:color="auto"/>
              <w:right w:val="nil"/>
            </w:tcBorders>
            <w:noWrap/>
            <w:hideMark/>
          </w:tcPr>
          <w:p>
            <w:pPr>
              <w:spacing w:before="60" w:after="60"/>
              <w:rPr>
                <w:noProof/>
              </w:rPr>
            </w:pPr>
            <w:r>
              <w:rPr>
                <w:noProof/>
              </w:rPr>
              <w:t>Chinchard du Chili</w:t>
            </w:r>
          </w:p>
          <w:p>
            <w:pPr>
              <w:keepNext/>
              <w:tabs>
                <w:tab w:val="left" w:pos="850"/>
              </w:tabs>
              <w:spacing w:before="60" w:after="60"/>
              <w:outlineLvl w:val="0"/>
              <w:rPr>
                <w:noProof/>
              </w:rPr>
            </w:pPr>
            <w:r>
              <w:rPr>
                <w:i/>
                <w:iCs/>
                <w:noProof/>
              </w:rPr>
              <w:t>Trachurus murphyi</w:t>
            </w:r>
          </w:p>
        </w:tc>
        <w:tc>
          <w:tcPr>
            <w:tcW w:w="1040" w:type="dxa"/>
            <w:tcBorders>
              <w:top w:val="single" w:sz="8" w:space="0" w:color="auto"/>
              <w:left w:val="single" w:sz="8" w:space="0" w:color="auto"/>
              <w:bottom w:val="single" w:sz="8" w:space="0" w:color="auto"/>
              <w:right w:val="nil"/>
            </w:tcBorders>
            <w:noWrap/>
            <w:hideMark/>
          </w:tcPr>
          <w:p>
            <w:pPr>
              <w:spacing w:before="60" w:after="60"/>
              <w:rPr>
                <w:noProof/>
              </w:rPr>
            </w:pPr>
            <w:r>
              <w:rPr>
                <w:noProof/>
              </w:rPr>
              <w:t>Zone:</w:t>
            </w:r>
          </w:p>
        </w:tc>
        <w:tc>
          <w:tcPr>
            <w:tcW w:w="4171" w:type="dxa"/>
            <w:tcBorders>
              <w:top w:val="single" w:sz="8" w:space="0" w:color="auto"/>
              <w:left w:val="nil"/>
              <w:bottom w:val="single" w:sz="8" w:space="0" w:color="auto"/>
              <w:right w:val="nil"/>
            </w:tcBorders>
            <w:noWrap/>
            <w:hideMark/>
          </w:tcPr>
          <w:p>
            <w:pPr>
              <w:spacing w:before="60" w:after="60"/>
              <w:rPr>
                <w:noProof/>
              </w:rPr>
            </w:pPr>
            <w:r>
              <w:rPr>
                <w:noProof/>
              </w:rPr>
              <w:t>Zone de la convention ORGPPS</w:t>
            </w:r>
          </w:p>
          <w:p>
            <w:pPr>
              <w:spacing w:before="60" w:after="60"/>
              <w:rPr>
                <w:noProof/>
              </w:rPr>
            </w:pPr>
            <w:r>
              <w:rPr>
                <w:noProof/>
              </w:rPr>
              <w:t>(CJM/SPRFMO)</w:t>
            </w:r>
          </w:p>
        </w:tc>
      </w:tr>
      <w:tr>
        <w:trPr>
          <w:trHeight w:val="227"/>
        </w:trPr>
        <w:tc>
          <w:tcPr>
            <w:tcW w:w="1809" w:type="dxa"/>
            <w:tcBorders>
              <w:top w:val="single" w:sz="8" w:space="0" w:color="auto"/>
              <w:left w:val="nil"/>
              <w:bottom w:val="nil"/>
              <w:right w:val="nil"/>
            </w:tcBorders>
            <w:noWrap/>
            <w:hideMark/>
          </w:tcPr>
          <w:p>
            <w:pPr>
              <w:spacing w:before="60" w:after="60"/>
              <w:rPr>
                <w:noProof/>
              </w:rPr>
            </w:pPr>
            <w:r>
              <w:rPr>
                <w:noProof/>
              </w:rPr>
              <w:t>Allemagne</w:t>
            </w:r>
          </w:p>
        </w:tc>
        <w:tc>
          <w:tcPr>
            <w:tcW w:w="2127" w:type="dxa"/>
            <w:tcBorders>
              <w:top w:val="single" w:sz="8" w:space="0" w:color="auto"/>
              <w:left w:val="nil"/>
              <w:bottom w:val="nil"/>
              <w:right w:val="nil"/>
            </w:tcBorders>
            <w:noWrap/>
            <w:hideMark/>
          </w:tcPr>
          <w:p>
            <w:pPr>
              <w:spacing w:before="60" w:after="60"/>
              <w:jc w:val="right"/>
              <w:rPr>
                <w:noProof/>
              </w:rPr>
            </w:pPr>
            <w:r>
              <w:rPr>
                <w:noProof/>
              </w:rPr>
              <w:t>À fixer</w:t>
            </w:r>
          </w:p>
        </w:tc>
        <w:tc>
          <w:tcPr>
            <w:tcW w:w="708" w:type="dxa"/>
            <w:tcBorders>
              <w:top w:val="single" w:sz="8" w:space="0" w:color="auto"/>
              <w:left w:val="nil"/>
              <w:bottom w:val="nil"/>
              <w:right w:val="nil"/>
            </w:tcBorders>
          </w:tcPr>
          <w:p>
            <w:pPr>
              <w:spacing w:before="60" w:after="60"/>
              <w:rPr>
                <w:b/>
                <w:bCs/>
                <w:noProof/>
                <w:vertAlign w:val="superscript"/>
              </w:rPr>
            </w:pPr>
          </w:p>
        </w:tc>
        <w:tc>
          <w:tcPr>
            <w:tcW w:w="5211" w:type="dxa"/>
            <w:gridSpan w:val="2"/>
            <w:vMerge w:val="restart"/>
            <w:tcBorders>
              <w:top w:val="single" w:sz="8" w:space="0" w:color="auto"/>
              <w:left w:val="nil"/>
              <w:bottom w:val="nil"/>
              <w:right w:val="nil"/>
            </w:tcBorders>
            <w:noWrap/>
            <w:hideMark/>
          </w:tcPr>
          <w:p>
            <w:pPr>
              <w:spacing w:before="60" w:after="60"/>
              <w:rPr>
                <w:noProof/>
              </w:rPr>
            </w:pPr>
            <w:r>
              <w:rPr>
                <w:noProof/>
              </w:rPr>
              <w:t>TAC analytique</w:t>
            </w:r>
          </w:p>
          <w:p>
            <w:pPr>
              <w:spacing w:before="60" w:after="60"/>
              <w:rPr>
                <w:noProof/>
              </w:rPr>
            </w:pPr>
            <w:r>
              <w:rPr>
                <w:noProof/>
              </w:rPr>
              <w:t>L’article 3 du règlement (CE) nº 847/96 ne s’applique pas</w:t>
            </w:r>
          </w:p>
          <w:p>
            <w:pPr>
              <w:spacing w:before="60" w:after="60"/>
              <w:rPr>
                <w:noProof/>
              </w:rPr>
            </w:pPr>
            <w:r>
              <w:rPr>
                <w:noProof/>
              </w:rPr>
              <w:t>L’article 4 du règlement (CE) nº 847/96 ne s’applique pas</w:t>
            </w:r>
          </w:p>
        </w:tc>
      </w:tr>
      <w:tr>
        <w:trPr>
          <w:trHeight w:val="227"/>
        </w:trPr>
        <w:tc>
          <w:tcPr>
            <w:tcW w:w="1809" w:type="dxa"/>
            <w:noWrap/>
            <w:hideMark/>
          </w:tcPr>
          <w:p>
            <w:pPr>
              <w:spacing w:before="60" w:after="60"/>
              <w:rPr>
                <w:noProof/>
              </w:rPr>
            </w:pPr>
            <w:r>
              <w:rPr>
                <w:noProof/>
              </w:rPr>
              <w:t>Pays-Bas</w:t>
            </w:r>
          </w:p>
        </w:tc>
        <w:tc>
          <w:tcPr>
            <w:tcW w:w="2127" w:type="dxa"/>
            <w:noWrap/>
            <w:hideMark/>
          </w:tcPr>
          <w:p>
            <w:pPr>
              <w:spacing w:before="60" w:after="60"/>
              <w:jc w:val="right"/>
              <w:rPr>
                <w:noProof/>
              </w:rPr>
            </w:pPr>
            <w:r>
              <w:rPr>
                <w:noProof/>
              </w:rPr>
              <w:t>À fixer</w:t>
            </w:r>
          </w:p>
        </w:tc>
        <w:tc>
          <w:tcPr>
            <w:tcW w:w="708" w:type="dxa"/>
          </w:tcPr>
          <w:p>
            <w:pPr>
              <w:spacing w:before="60" w:after="60"/>
              <w:rPr>
                <w:noProof/>
              </w:rPr>
            </w:pPr>
          </w:p>
        </w:tc>
        <w:tc>
          <w:tcPr>
            <w:tcW w:w="0" w:type="auto"/>
            <w:gridSpan w:val="2"/>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1809" w:type="dxa"/>
            <w:noWrap/>
            <w:hideMark/>
          </w:tcPr>
          <w:p>
            <w:pPr>
              <w:spacing w:before="60" w:after="60"/>
              <w:rPr>
                <w:noProof/>
              </w:rPr>
            </w:pPr>
            <w:r>
              <w:rPr>
                <w:noProof/>
              </w:rPr>
              <w:t>Lituanie</w:t>
            </w:r>
          </w:p>
        </w:tc>
        <w:tc>
          <w:tcPr>
            <w:tcW w:w="2127" w:type="dxa"/>
            <w:noWrap/>
            <w:hideMark/>
          </w:tcPr>
          <w:p>
            <w:pPr>
              <w:spacing w:before="60" w:after="60"/>
              <w:jc w:val="right"/>
              <w:rPr>
                <w:noProof/>
              </w:rPr>
            </w:pPr>
            <w:r>
              <w:rPr>
                <w:noProof/>
              </w:rPr>
              <w:t>À fixer</w:t>
            </w:r>
          </w:p>
        </w:tc>
        <w:tc>
          <w:tcPr>
            <w:tcW w:w="708" w:type="dxa"/>
          </w:tcPr>
          <w:p>
            <w:pPr>
              <w:spacing w:before="60" w:after="60"/>
              <w:rPr>
                <w:noProof/>
              </w:rPr>
            </w:pPr>
          </w:p>
        </w:tc>
        <w:tc>
          <w:tcPr>
            <w:tcW w:w="0" w:type="auto"/>
            <w:gridSpan w:val="2"/>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1809" w:type="dxa"/>
            <w:noWrap/>
            <w:hideMark/>
          </w:tcPr>
          <w:p>
            <w:pPr>
              <w:spacing w:before="60" w:after="60"/>
              <w:rPr>
                <w:noProof/>
              </w:rPr>
            </w:pPr>
            <w:r>
              <w:rPr>
                <w:noProof/>
              </w:rPr>
              <w:t>Pologne</w:t>
            </w:r>
          </w:p>
        </w:tc>
        <w:tc>
          <w:tcPr>
            <w:tcW w:w="2127" w:type="dxa"/>
            <w:noWrap/>
            <w:hideMark/>
          </w:tcPr>
          <w:p>
            <w:pPr>
              <w:spacing w:before="60" w:after="60"/>
              <w:jc w:val="right"/>
              <w:rPr>
                <w:noProof/>
              </w:rPr>
            </w:pPr>
            <w:r>
              <w:rPr>
                <w:noProof/>
              </w:rPr>
              <w:t>À fixer</w:t>
            </w:r>
          </w:p>
        </w:tc>
        <w:tc>
          <w:tcPr>
            <w:tcW w:w="708" w:type="dxa"/>
          </w:tcPr>
          <w:p>
            <w:pPr>
              <w:spacing w:before="60" w:after="60"/>
              <w:rPr>
                <w:noProof/>
              </w:rPr>
            </w:pPr>
          </w:p>
        </w:tc>
        <w:tc>
          <w:tcPr>
            <w:tcW w:w="0" w:type="auto"/>
            <w:gridSpan w:val="2"/>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1809" w:type="dxa"/>
            <w:noWrap/>
            <w:hideMark/>
          </w:tcPr>
          <w:p>
            <w:pPr>
              <w:spacing w:before="60" w:after="60"/>
              <w:rPr>
                <w:noProof/>
              </w:rPr>
            </w:pPr>
            <w:r>
              <w:rPr>
                <w:noProof/>
              </w:rPr>
              <w:t>Union</w:t>
            </w:r>
          </w:p>
        </w:tc>
        <w:tc>
          <w:tcPr>
            <w:tcW w:w="2127" w:type="dxa"/>
            <w:noWrap/>
            <w:hideMark/>
          </w:tcPr>
          <w:p>
            <w:pPr>
              <w:spacing w:before="60" w:after="60"/>
              <w:jc w:val="right"/>
              <w:rPr>
                <w:noProof/>
              </w:rPr>
            </w:pPr>
            <w:r>
              <w:rPr>
                <w:noProof/>
              </w:rPr>
              <w:t>À fixer</w:t>
            </w:r>
          </w:p>
        </w:tc>
        <w:tc>
          <w:tcPr>
            <w:tcW w:w="708" w:type="dxa"/>
          </w:tcPr>
          <w:p>
            <w:pPr>
              <w:spacing w:before="60" w:after="60"/>
              <w:rPr>
                <w:noProof/>
              </w:rPr>
            </w:pPr>
          </w:p>
        </w:tc>
        <w:tc>
          <w:tcPr>
            <w:tcW w:w="0" w:type="auto"/>
            <w:gridSpan w:val="2"/>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1809" w:type="dxa"/>
            <w:noWrap/>
            <w:hideMark/>
          </w:tcPr>
          <w:p>
            <w:pPr>
              <w:spacing w:before="60" w:after="60"/>
              <w:rPr>
                <w:noProof/>
              </w:rPr>
            </w:pPr>
            <w:r>
              <w:rPr>
                <w:noProof/>
              </w:rPr>
              <w:t>TAC</w:t>
            </w:r>
          </w:p>
        </w:tc>
        <w:tc>
          <w:tcPr>
            <w:tcW w:w="2127" w:type="dxa"/>
            <w:noWrap/>
            <w:hideMark/>
          </w:tcPr>
          <w:p>
            <w:pPr>
              <w:spacing w:before="60" w:after="60"/>
              <w:rPr>
                <w:noProof/>
              </w:rPr>
            </w:pPr>
            <w:r>
              <w:rPr>
                <w:noProof/>
              </w:rPr>
              <w:t>Sans objet</w:t>
            </w:r>
          </w:p>
        </w:tc>
        <w:tc>
          <w:tcPr>
            <w:tcW w:w="708" w:type="dxa"/>
          </w:tcPr>
          <w:p>
            <w:pPr>
              <w:spacing w:before="60" w:after="60"/>
              <w:rPr>
                <w:noProof/>
              </w:rPr>
            </w:pPr>
          </w:p>
        </w:tc>
        <w:tc>
          <w:tcPr>
            <w:tcW w:w="0" w:type="auto"/>
            <w:gridSpan w:val="2"/>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1809" w:type="dxa"/>
            <w:tcBorders>
              <w:top w:val="single" w:sz="4" w:space="0" w:color="auto"/>
              <w:left w:val="nil"/>
              <w:bottom w:val="single" w:sz="8" w:space="0" w:color="auto"/>
              <w:right w:val="nil"/>
            </w:tcBorders>
            <w:noWrap/>
          </w:tcPr>
          <w:p>
            <w:pPr>
              <w:spacing w:before="60" w:after="60"/>
              <w:rPr>
                <w:b/>
                <w:bCs/>
                <w:noProof/>
                <w:vertAlign w:val="superscript"/>
              </w:rPr>
            </w:pPr>
          </w:p>
        </w:tc>
        <w:tc>
          <w:tcPr>
            <w:tcW w:w="8046" w:type="dxa"/>
            <w:gridSpan w:val="4"/>
            <w:tcBorders>
              <w:top w:val="single" w:sz="4" w:space="0" w:color="auto"/>
              <w:left w:val="nil"/>
              <w:bottom w:val="single" w:sz="8" w:space="0" w:color="auto"/>
              <w:right w:val="nil"/>
            </w:tcBorders>
            <w:noWrap/>
          </w:tcPr>
          <w:p>
            <w:pPr>
              <w:spacing w:before="60" w:after="60"/>
              <w:rPr>
                <w:noProof/>
              </w:rPr>
            </w:pPr>
          </w:p>
        </w:tc>
      </w:tr>
      <w:tr>
        <w:trPr>
          <w:trHeight w:val="227"/>
        </w:trPr>
        <w:tc>
          <w:tcPr>
            <w:tcW w:w="1809" w:type="dxa"/>
            <w:tcBorders>
              <w:top w:val="single" w:sz="8" w:space="0" w:color="auto"/>
              <w:left w:val="nil"/>
              <w:bottom w:val="single" w:sz="8" w:space="0" w:color="auto"/>
              <w:right w:val="nil"/>
            </w:tcBorders>
            <w:hideMark/>
          </w:tcPr>
          <w:p>
            <w:pPr>
              <w:spacing w:before="60" w:after="60"/>
              <w:rPr>
                <w:noProof/>
              </w:rPr>
            </w:pPr>
            <w:r>
              <w:rPr>
                <w:noProof/>
              </w:rPr>
              <w:t>Espèce:</w:t>
            </w:r>
          </w:p>
        </w:tc>
        <w:tc>
          <w:tcPr>
            <w:tcW w:w="2835" w:type="dxa"/>
            <w:gridSpan w:val="2"/>
            <w:tcBorders>
              <w:top w:val="single" w:sz="8" w:space="0" w:color="auto"/>
              <w:left w:val="nil"/>
              <w:bottom w:val="single" w:sz="8" w:space="0" w:color="auto"/>
              <w:right w:val="single" w:sz="8" w:space="0" w:color="auto"/>
            </w:tcBorders>
            <w:hideMark/>
          </w:tcPr>
          <w:p>
            <w:pPr>
              <w:spacing w:before="60" w:after="60"/>
              <w:rPr>
                <w:noProof/>
              </w:rPr>
            </w:pPr>
            <w:r>
              <w:rPr>
                <w:noProof/>
              </w:rPr>
              <w:t>Légines</w:t>
            </w:r>
          </w:p>
          <w:p>
            <w:pPr>
              <w:keepNext/>
              <w:tabs>
                <w:tab w:val="left" w:pos="850"/>
              </w:tabs>
              <w:spacing w:before="60" w:after="60"/>
              <w:rPr>
                <w:i/>
                <w:iCs/>
                <w:noProof/>
              </w:rPr>
            </w:pPr>
            <w:r>
              <w:rPr>
                <w:i/>
                <w:iCs/>
                <w:noProof/>
              </w:rPr>
              <w:t xml:space="preserve">Dissostichus </w:t>
            </w:r>
            <w:r>
              <w:rPr>
                <w:noProof/>
              </w:rPr>
              <w:t>spp.</w:t>
            </w:r>
          </w:p>
        </w:tc>
        <w:tc>
          <w:tcPr>
            <w:tcW w:w="1040" w:type="dxa"/>
            <w:tcBorders>
              <w:top w:val="single" w:sz="8" w:space="0" w:color="auto"/>
              <w:left w:val="single" w:sz="8" w:space="0" w:color="auto"/>
              <w:bottom w:val="single" w:sz="8" w:space="0" w:color="auto"/>
              <w:right w:val="nil"/>
            </w:tcBorders>
            <w:hideMark/>
          </w:tcPr>
          <w:p>
            <w:pPr>
              <w:spacing w:before="60" w:after="60"/>
              <w:rPr>
                <w:noProof/>
              </w:rPr>
            </w:pPr>
            <w:r>
              <w:rPr>
                <w:noProof/>
              </w:rPr>
              <w:t>Zone:</w:t>
            </w:r>
          </w:p>
        </w:tc>
        <w:tc>
          <w:tcPr>
            <w:tcW w:w="4171" w:type="dxa"/>
            <w:tcBorders>
              <w:top w:val="single" w:sz="8" w:space="0" w:color="auto"/>
              <w:left w:val="nil"/>
              <w:bottom w:val="single" w:sz="8" w:space="0" w:color="auto"/>
              <w:right w:val="nil"/>
            </w:tcBorders>
            <w:hideMark/>
          </w:tcPr>
          <w:p>
            <w:pPr>
              <w:spacing w:before="60" w:after="60"/>
              <w:rPr>
                <w:noProof/>
              </w:rPr>
            </w:pPr>
            <w:r>
              <w:rPr>
                <w:noProof/>
              </w:rPr>
              <w:t>Zone de la convention ORGPPS</w:t>
            </w:r>
          </w:p>
          <w:p>
            <w:pPr>
              <w:spacing w:before="60" w:after="60"/>
              <w:rPr>
                <w:noProof/>
              </w:rPr>
            </w:pPr>
            <w:r>
              <w:rPr>
                <w:noProof/>
              </w:rPr>
              <w:t>(TOT/SPR-AE)</w:t>
            </w:r>
          </w:p>
        </w:tc>
      </w:tr>
      <w:tr>
        <w:trPr>
          <w:trHeight w:val="227"/>
        </w:trPr>
        <w:tc>
          <w:tcPr>
            <w:tcW w:w="1809" w:type="dxa"/>
            <w:tcBorders>
              <w:top w:val="single" w:sz="8" w:space="0" w:color="auto"/>
              <w:left w:val="nil"/>
              <w:bottom w:val="nil"/>
              <w:right w:val="nil"/>
            </w:tcBorders>
            <w:hideMark/>
          </w:tcPr>
          <w:p>
            <w:pPr>
              <w:spacing w:before="60" w:after="60"/>
              <w:rPr>
                <w:noProof/>
              </w:rPr>
            </w:pPr>
            <w:r>
              <w:rPr>
                <w:noProof/>
              </w:rPr>
              <w:t>TAC</w:t>
            </w:r>
          </w:p>
        </w:tc>
        <w:tc>
          <w:tcPr>
            <w:tcW w:w="2127" w:type="dxa"/>
            <w:tcBorders>
              <w:top w:val="single" w:sz="8" w:space="0" w:color="auto"/>
              <w:left w:val="nil"/>
              <w:bottom w:val="nil"/>
              <w:right w:val="nil"/>
            </w:tcBorders>
            <w:hideMark/>
          </w:tcPr>
          <w:p>
            <w:pPr>
              <w:spacing w:before="60" w:after="60"/>
              <w:jc w:val="right"/>
              <w:rPr>
                <w:noProof/>
              </w:rPr>
            </w:pPr>
            <w:r>
              <w:rPr>
                <w:noProof/>
              </w:rPr>
              <w:t>À fixer</w:t>
            </w:r>
          </w:p>
        </w:tc>
        <w:tc>
          <w:tcPr>
            <w:tcW w:w="708" w:type="dxa"/>
            <w:tcBorders>
              <w:top w:val="single" w:sz="8" w:space="0" w:color="auto"/>
              <w:left w:val="nil"/>
              <w:bottom w:val="nil"/>
              <w:right w:val="nil"/>
            </w:tcBorders>
            <w:hideMark/>
          </w:tcPr>
          <w:p>
            <w:pPr>
              <w:spacing w:before="60" w:after="60"/>
              <w:rPr>
                <w:b/>
                <w:bCs/>
                <w:noProof/>
                <w:vertAlign w:val="superscript"/>
              </w:rPr>
            </w:pPr>
            <w:r>
              <w:rPr>
                <w:b/>
                <w:bCs/>
                <w:noProof/>
                <w:vertAlign w:val="superscript"/>
              </w:rPr>
              <w:t>(1)</w:t>
            </w:r>
          </w:p>
        </w:tc>
        <w:tc>
          <w:tcPr>
            <w:tcW w:w="5211" w:type="dxa"/>
            <w:gridSpan w:val="2"/>
            <w:tcBorders>
              <w:top w:val="single" w:sz="8" w:space="0" w:color="auto"/>
              <w:left w:val="nil"/>
              <w:bottom w:val="nil"/>
              <w:right w:val="nil"/>
            </w:tcBorders>
            <w:hideMark/>
          </w:tcPr>
          <w:p>
            <w:pPr>
              <w:spacing w:before="60" w:after="60"/>
              <w:rPr>
                <w:noProof/>
              </w:rPr>
            </w:pPr>
            <w:r>
              <w:rPr>
                <w:noProof/>
              </w:rPr>
              <w:t>TAC de précaution</w:t>
            </w:r>
          </w:p>
        </w:tc>
      </w:tr>
      <w:tr>
        <w:trPr>
          <w:trHeight w:val="227"/>
        </w:trPr>
        <w:tc>
          <w:tcPr>
            <w:tcW w:w="0" w:type="auto"/>
            <w:gridSpan w:val="5"/>
            <w:tcBorders>
              <w:top w:val="nil"/>
              <w:left w:val="nil"/>
              <w:bottom w:val="single" w:sz="4" w:space="0" w:color="auto"/>
              <w:right w:val="nil"/>
            </w:tcBorders>
            <w:hideMark/>
          </w:tcPr>
          <w:p>
            <w:pPr>
              <w:spacing w:before="60" w:after="60"/>
              <w:ind w:left="720" w:hanging="720"/>
              <w:jc w:val="left"/>
              <w:rPr>
                <w:noProof/>
              </w:rPr>
            </w:pPr>
            <w:r>
              <w:rPr>
                <w:b/>
                <w:bCs/>
                <w:noProof/>
                <w:vertAlign w:val="superscript"/>
              </w:rPr>
              <w:t>(1)</w:t>
            </w:r>
            <w:r>
              <w:rPr>
                <w:noProof/>
              </w:rPr>
              <w:tab/>
              <w:t xml:space="preserve">Ce TAC concerne uniquement la pêche exploratoire. La pêche est pratiquée uniquement dans les blocs de recherche suivants (A à E): </w:t>
            </w:r>
            <w:r>
              <w:rPr>
                <w:noProof/>
              </w:rPr>
              <w:br/>
              <w:t xml:space="preserve">– Bloc de recherche A: zone délimitée par les latitudes 47° 15′ S et 48° 15′ S et les longitudes 146° 30′ E et 147° 30′ E, </w:t>
            </w:r>
            <w:r>
              <w:rPr>
                <w:noProof/>
              </w:rPr>
              <w:br/>
              <w:t xml:space="preserve">– Bloc de recherche B: zone délimitée par les latitudes 47° 15′ S et 48° 15′ S et les longitudes 147° 30′ E et 148° 30′ E, </w:t>
            </w:r>
            <w:r>
              <w:rPr>
                <w:noProof/>
              </w:rPr>
              <w:br/>
              <w:t xml:space="preserve">– Bloc de recherche C: zone délimitée par les latitudes 47° 15′ S et 48° 15′ S et les longitudes 148° 30′ E et 150° 00′ E, </w:t>
            </w:r>
            <w:r>
              <w:rPr>
                <w:noProof/>
              </w:rPr>
              <w:br/>
              <w:t xml:space="preserve">– Bloc de recherche D: zone délimitée par les latitudes 48° 15′ S et 49° 15′ S et les longitudes 149° 00′ E et 150° 00′ E, </w:t>
            </w:r>
            <w:r>
              <w:rPr>
                <w:noProof/>
              </w:rPr>
              <w:br/>
              <w:t>– Bloc de recherche E: zone délimitée par les latitudes 48° 15′ S et 49° 30′ S et les longitudes 150° 00′ E et 151° 00′ E.</w:t>
            </w:r>
          </w:p>
        </w:tc>
      </w:tr>
    </w:tbl>
    <w:p>
      <w:pPr>
        <w:pStyle w:val="Lignefinal"/>
        <w:rPr>
          <w:noProof/>
          <w:szCs w:val="22"/>
        </w:rPr>
      </w:pPr>
    </w:p>
    <w:p>
      <w:pPr>
        <w:spacing w:before="0" w:after="0"/>
        <w:rPr>
          <w:noProof/>
        </w:rPr>
        <w:sectPr>
          <w:pgSz w:w="11907" w:h="16840"/>
          <w:pgMar w:top="1134" w:right="1134" w:bottom="1134" w:left="1134" w:header="567" w:footer="567" w:gutter="0"/>
          <w:pgNumType w:start="111"/>
          <w:cols w:space="720"/>
          <w:docGrid w:linePitch="326"/>
        </w:sectPr>
      </w:pPr>
    </w:p>
    <w:p>
      <w:pPr>
        <w:jc w:val="center"/>
        <w:rPr>
          <w:b/>
          <w:noProof/>
          <w:szCs w:val="24"/>
        </w:rPr>
      </w:pPr>
      <w:r>
        <w:rPr>
          <w:b/>
          <w:noProof/>
        </w:rPr>
        <w:t>ANNEXE IJ</w:t>
      </w:r>
    </w:p>
    <w:p>
      <w:pPr>
        <w:pStyle w:val="NormalCentered"/>
        <w:rPr>
          <w:noProof/>
        </w:rPr>
      </w:pPr>
      <w:r>
        <w:rPr>
          <w:noProof/>
        </w:rPr>
        <w:t>ZONE DE COMPETENCE CTOI</w:t>
      </w:r>
    </w:p>
    <w:p>
      <w:pPr>
        <w:rPr>
          <w:noProof/>
        </w:rPr>
      </w:pPr>
      <w:r>
        <w:rPr>
          <w:noProof/>
        </w:rPr>
        <w:t>Les captures d’albacore par les senneurs de l’Union à sennes coulissantes ne dépassent pas les limites de captures définies dans la présente annexe.</w:t>
      </w:r>
    </w:p>
    <w:tbl>
      <w:tblPr>
        <w:tblW w:w="9406" w:type="dxa"/>
        <w:tblInd w:w="108" w:type="dxa"/>
        <w:tblLayout w:type="fixed"/>
        <w:tblLook w:val="04A0" w:firstRow="1" w:lastRow="0" w:firstColumn="1" w:lastColumn="0" w:noHBand="0" w:noVBand="1"/>
      </w:tblPr>
      <w:tblGrid>
        <w:gridCol w:w="1843"/>
        <w:gridCol w:w="1559"/>
        <w:gridCol w:w="993"/>
        <w:gridCol w:w="850"/>
        <w:gridCol w:w="4161"/>
      </w:tblGrid>
      <w:tr>
        <w:trPr>
          <w:trHeight w:val="40"/>
        </w:trPr>
        <w:tc>
          <w:tcPr>
            <w:tcW w:w="1843" w:type="dxa"/>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Espèce:</w:t>
            </w:r>
          </w:p>
        </w:tc>
        <w:tc>
          <w:tcPr>
            <w:tcW w:w="2552" w:type="dxa"/>
            <w:gridSpan w:val="2"/>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Albacore</w:t>
            </w:r>
          </w:p>
          <w:p>
            <w:pPr>
              <w:spacing w:before="60" w:after="60"/>
              <w:rPr>
                <w:rFonts w:asciiTheme="majorBidi" w:hAnsiTheme="majorBidi" w:cstheme="majorBidi"/>
                <w:noProof/>
              </w:rPr>
            </w:pPr>
            <w:r>
              <w:rPr>
                <w:rFonts w:asciiTheme="majorBidi" w:hAnsiTheme="majorBidi"/>
                <w:i/>
                <w:iCs/>
                <w:noProof/>
              </w:rPr>
              <w:t>Thunnus albacares</w:t>
            </w:r>
          </w:p>
        </w:tc>
        <w:tc>
          <w:tcPr>
            <w:tcW w:w="850" w:type="dxa"/>
            <w:tcBorders>
              <w:top w:val="single" w:sz="8" w:space="0" w:color="auto"/>
              <w:left w:val="single" w:sz="8" w:space="0" w:color="auto"/>
              <w:bottom w:val="nil"/>
              <w:right w:val="nil"/>
            </w:tcBorders>
            <w:hideMark/>
          </w:tcPr>
          <w:p>
            <w:pPr>
              <w:spacing w:before="60" w:after="60"/>
              <w:rPr>
                <w:rFonts w:asciiTheme="majorBidi" w:hAnsiTheme="majorBidi" w:cstheme="majorBidi"/>
                <w:noProof/>
              </w:rPr>
            </w:pPr>
            <w:r>
              <w:rPr>
                <w:rFonts w:asciiTheme="majorBidi" w:hAnsiTheme="majorBidi"/>
                <w:noProof/>
              </w:rPr>
              <w:t>Zone:</w:t>
            </w:r>
          </w:p>
        </w:tc>
        <w:tc>
          <w:tcPr>
            <w:tcW w:w="4161" w:type="dxa"/>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Zone de compétence CTOI</w:t>
            </w:r>
          </w:p>
          <w:p>
            <w:pPr>
              <w:spacing w:before="60" w:after="60"/>
              <w:rPr>
                <w:rFonts w:asciiTheme="majorBidi" w:hAnsiTheme="majorBidi" w:cstheme="majorBidi"/>
                <w:noProof/>
              </w:rPr>
            </w:pPr>
            <w:r>
              <w:rPr>
                <w:rFonts w:asciiTheme="majorBidi" w:hAnsiTheme="majorBidi"/>
                <w:noProof/>
              </w:rPr>
              <w:t>(YFT/IOTC)</w:t>
            </w:r>
          </w:p>
        </w:tc>
      </w:tr>
      <w:tr>
        <w:trPr>
          <w:trHeight w:val="227"/>
        </w:trPr>
        <w:tc>
          <w:tcPr>
            <w:tcW w:w="1843" w:type="dxa"/>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France</w:t>
            </w:r>
          </w:p>
        </w:tc>
        <w:tc>
          <w:tcPr>
            <w:tcW w:w="1559" w:type="dxa"/>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993" w:type="dxa"/>
            <w:tcBorders>
              <w:top w:val="single" w:sz="8" w:space="0" w:color="auto"/>
              <w:left w:val="nil"/>
              <w:bottom w:val="nil"/>
              <w:right w:val="nil"/>
            </w:tcBorders>
            <w:hideMark/>
          </w:tcPr>
          <w:p>
            <w:pPr>
              <w:rPr>
                <w:noProof/>
                <w:color w:val="000000"/>
                <w:lang w:eastAsia="en-GB"/>
              </w:rPr>
            </w:pPr>
          </w:p>
        </w:tc>
        <w:tc>
          <w:tcPr>
            <w:tcW w:w="5011" w:type="dxa"/>
            <w:gridSpan w:val="2"/>
            <w:vMerge w:val="restart"/>
            <w:tcBorders>
              <w:top w:val="single" w:sz="8" w:space="0" w:color="auto"/>
              <w:left w:val="nil"/>
              <w:bottom w:val="single" w:sz="8" w:space="0" w:color="auto"/>
              <w:right w:val="nil"/>
            </w:tcBorders>
            <w:hideMark/>
          </w:tcPr>
          <w:p>
            <w:pPr>
              <w:spacing w:before="60" w:after="60"/>
              <w:rPr>
                <w:rFonts w:asciiTheme="majorBidi" w:hAnsiTheme="majorBidi" w:cstheme="majorBidi"/>
                <w:noProof/>
                <w:szCs w:val="24"/>
              </w:rPr>
            </w:pPr>
            <w:r>
              <w:rPr>
                <w:rFonts w:asciiTheme="majorBidi" w:hAnsiTheme="majorBidi"/>
                <w:noProof/>
              </w:rPr>
              <w:t>TAC analytique</w:t>
            </w:r>
          </w:p>
          <w:p>
            <w:pPr>
              <w:spacing w:before="60" w:after="60"/>
              <w:rPr>
                <w:rFonts w:asciiTheme="majorBidi" w:hAnsiTheme="majorBidi" w:cstheme="majorBidi"/>
                <w:noProof/>
              </w:rPr>
            </w:pPr>
            <w:r>
              <w:rPr>
                <w:rFonts w:asciiTheme="majorBidi" w:hAnsiTheme="majorBidi"/>
                <w:noProof/>
              </w:rPr>
              <w:t>L’article 3 du règlement (CE) nº 847/96 ne s’applique pas</w:t>
            </w:r>
          </w:p>
          <w:p>
            <w:pPr>
              <w:spacing w:before="60" w:after="60"/>
              <w:rPr>
                <w:rFonts w:asciiTheme="majorBidi" w:hAnsiTheme="majorBidi" w:cstheme="majorBidi"/>
                <w:noProof/>
              </w:rPr>
            </w:pPr>
            <w:r>
              <w:rPr>
                <w:rFonts w:asciiTheme="majorBidi" w:hAnsiTheme="majorBidi"/>
                <w:noProof/>
              </w:rPr>
              <w:t>L’article 4 du règlement (CE) nº 847/96 ne s’applique pas</w:t>
            </w:r>
          </w:p>
        </w:tc>
      </w:tr>
      <w:tr>
        <w:trPr>
          <w:trHeight w:val="227"/>
        </w:trPr>
        <w:tc>
          <w:tcPr>
            <w:tcW w:w="1843" w:type="dxa"/>
            <w:hideMark/>
          </w:tcPr>
          <w:p>
            <w:pPr>
              <w:spacing w:before="60" w:after="60"/>
              <w:rPr>
                <w:rFonts w:asciiTheme="majorBidi" w:hAnsiTheme="majorBidi" w:cstheme="majorBidi"/>
                <w:noProof/>
              </w:rPr>
            </w:pPr>
            <w:r>
              <w:rPr>
                <w:rFonts w:asciiTheme="majorBidi" w:hAnsiTheme="majorBidi"/>
                <w:noProof/>
              </w:rPr>
              <w:t>Italie</w:t>
            </w:r>
          </w:p>
        </w:tc>
        <w:tc>
          <w:tcPr>
            <w:tcW w:w="1559" w:type="dxa"/>
            <w:hideMark/>
          </w:tcPr>
          <w:p>
            <w:pPr>
              <w:spacing w:before="60" w:after="60"/>
              <w:jc w:val="right"/>
              <w:rPr>
                <w:noProof/>
                <w:color w:val="000000"/>
              </w:rPr>
            </w:pPr>
            <w:r>
              <w:rPr>
                <w:rFonts w:asciiTheme="majorBidi" w:hAnsiTheme="majorBidi"/>
                <w:noProof/>
                <w:color w:val="000000"/>
              </w:rPr>
              <w:t>p.m.</w:t>
            </w:r>
          </w:p>
        </w:tc>
        <w:tc>
          <w:tcPr>
            <w:tcW w:w="993" w:type="dxa"/>
            <w:hideMark/>
          </w:tcPr>
          <w:p>
            <w:pPr>
              <w:rPr>
                <w:noProof/>
                <w:color w:val="000000"/>
                <w:lang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843" w:type="dxa"/>
            <w:hideMark/>
          </w:tcPr>
          <w:p>
            <w:pPr>
              <w:spacing w:before="60" w:after="60"/>
              <w:rPr>
                <w:rFonts w:asciiTheme="majorBidi" w:hAnsiTheme="majorBidi" w:cstheme="majorBidi"/>
                <w:noProof/>
                <w:szCs w:val="24"/>
              </w:rPr>
            </w:pPr>
            <w:r>
              <w:rPr>
                <w:rFonts w:asciiTheme="majorBidi" w:hAnsiTheme="majorBidi"/>
                <w:noProof/>
              </w:rPr>
              <w:t>Spain</w:t>
            </w:r>
          </w:p>
        </w:tc>
        <w:tc>
          <w:tcPr>
            <w:tcW w:w="1559" w:type="dxa"/>
            <w:hideMark/>
          </w:tcPr>
          <w:p>
            <w:pPr>
              <w:spacing w:before="60" w:after="60"/>
              <w:jc w:val="right"/>
              <w:rPr>
                <w:noProof/>
                <w:color w:val="000000"/>
              </w:rPr>
            </w:pPr>
            <w:r>
              <w:rPr>
                <w:rFonts w:asciiTheme="majorBidi" w:hAnsiTheme="majorBidi"/>
                <w:noProof/>
                <w:color w:val="000000"/>
              </w:rPr>
              <w:t>p.m.</w:t>
            </w:r>
          </w:p>
        </w:tc>
        <w:tc>
          <w:tcPr>
            <w:tcW w:w="993" w:type="dxa"/>
            <w:hideMark/>
          </w:tcPr>
          <w:p>
            <w:pPr>
              <w:rPr>
                <w:noProof/>
                <w:color w:val="000000"/>
                <w:lang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843" w:type="dxa"/>
          </w:tcPr>
          <w:p>
            <w:pPr>
              <w:spacing w:before="60" w:after="60"/>
              <w:rPr>
                <w:rFonts w:asciiTheme="majorBidi" w:hAnsiTheme="majorBidi" w:cstheme="majorBidi"/>
                <w:noProof/>
                <w:szCs w:val="24"/>
              </w:rPr>
            </w:pPr>
          </w:p>
        </w:tc>
        <w:tc>
          <w:tcPr>
            <w:tcW w:w="1559" w:type="dxa"/>
          </w:tcPr>
          <w:p>
            <w:pPr>
              <w:spacing w:before="60" w:after="60"/>
              <w:jc w:val="right"/>
              <w:rPr>
                <w:rFonts w:asciiTheme="majorBidi" w:hAnsiTheme="majorBidi" w:cstheme="majorBidi"/>
                <w:noProof/>
              </w:rPr>
            </w:pPr>
          </w:p>
        </w:tc>
        <w:tc>
          <w:tcPr>
            <w:tcW w:w="993" w:type="dxa"/>
          </w:tcPr>
          <w:p>
            <w:pPr>
              <w:spacing w:before="60" w:after="60"/>
              <w:rPr>
                <w:rFonts w:asciiTheme="majorBidi" w:hAnsiTheme="majorBidi" w:cstheme="majorBidi"/>
                <w:noProof/>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843" w:type="dxa"/>
            <w:hideMark/>
          </w:tcPr>
          <w:p>
            <w:pPr>
              <w:spacing w:before="60" w:after="60"/>
              <w:rPr>
                <w:rFonts w:asciiTheme="majorBidi" w:hAnsiTheme="majorBidi" w:cstheme="majorBidi"/>
                <w:noProof/>
              </w:rPr>
            </w:pPr>
            <w:r>
              <w:rPr>
                <w:rFonts w:asciiTheme="majorBidi" w:hAnsiTheme="majorBidi"/>
                <w:noProof/>
              </w:rPr>
              <w:t>Union</w:t>
            </w:r>
          </w:p>
        </w:tc>
        <w:tc>
          <w:tcPr>
            <w:tcW w:w="1559" w:type="dxa"/>
            <w:hideMark/>
          </w:tcPr>
          <w:p>
            <w:pPr>
              <w:spacing w:before="60" w:after="60"/>
              <w:jc w:val="right"/>
              <w:rPr>
                <w:noProof/>
                <w:color w:val="000000"/>
              </w:rPr>
            </w:pPr>
            <w:r>
              <w:rPr>
                <w:rFonts w:asciiTheme="majorBidi" w:hAnsiTheme="majorBidi"/>
                <w:noProof/>
                <w:color w:val="000000"/>
              </w:rPr>
              <w:t>p.m.</w:t>
            </w:r>
          </w:p>
        </w:tc>
        <w:tc>
          <w:tcPr>
            <w:tcW w:w="993" w:type="dxa"/>
            <w:hideMark/>
          </w:tcPr>
          <w:p>
            <w:pPr>
              <w:rPr>
                <w:noProof/>
                <w:color w:val="000000"/>
                <w:lang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843" w:type="dxa"/>
            <w:hideMark/>
          </w:tcPr>
          <w:p>
            <w:pPr>
              <w:spacing w:before="0" w:after="0"/>
              <w:rPr>
                <w:noProof/>
                <w:sz w:val="20"/>
                <w:szCs w:val="20"/>
                <w:lang w:eastAsia="en-GB"/>
              </w:rPr>
            </w:pPr>
          </w:p>
        </w:tc>
        <w:tc>
          <w:tcPr>
            <w:tcW w:w="1559" w:type="dxa"/>
            <w:hideMark/>
          </w:tcPr>
          <w:p>
            <w:pPr>
              <w:spacing w:before="0" w:after="0"/>
              <w:rPr>
                <w:noProof/>
                <w:sz w:val="20"/>
                <w:szCs w:val="20"/>
                <w:lang w:eastAsia="en-GB"/>
              </w:rPr>
            </w:pPr>
          </w:p>
        </w:tc>
        <w:tc>
          <w:tcPr>
            <w:tcW w:w="993" w:type="dxa"/>
            <w:hideMark/>
          </w:tcPr>
          <w:p>
            <w:pPr>
              <w:spacing w:before="0" w:after="0"/>
              <w:rPr>
                <w:noProof/>
                <w:sz w:val="20"/>
                <w:szCs w:val="20"/>
                <w:lang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843" w:type="dxa"/>
            <w:tcBorders>
              <w:top w:val="nil"/>
              <w:left w:val="nil"/>
              <w:bottom w:val="single" w:sz="8" w:space="0" w:color="auto"/>
              <w:right w:val="nil"/>
            </w:tcBorders>
            <w:hideMark/>
          </w:tcPr>
          <w:p>
            <w:pPr>
              <w:spacing w:before="60" w:after="60"/>
              <w:rPr>
                <w:rFonts w:asciiTheme="majorBidi" w:hAnsiTheme="majorBidi" w:cstheme="majorBidi"/>
                <w:noProof/>
                <w:szCs w:val="24"/>
              </w:rPr>
            </w:pPr>
            <w:r>
              <w:rPr>
                <w:rFonts w:asciiTheme="majorBidi" w:hAnsiTheme="majorBidi"/>
                <w:noProof/>
              </w:rPr>
              <w:t>TAC</w:t>
            </w:r>
          </w:p>
        </w:tc>
        <w:tc>
          <w:tcPr>
            <w:tcW w:w="1559" w:type="dxa"/>
            <w:tcBorders>
              <w:top w:val="nil"/>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Sans objet</w:t>
            </w:r>
          </w:p>
        </w:tc>
        <w:tc>
          <w:tcPr>
            <w:tcW w:w="993" w:type="dxa"/>
            <w:tcBorders>
              <w:top w:val="nil"/>
              <w:left w:val="nil"/>
              <w:bottom w:val="single" w:sz="8" w:space="0" w:color="auto"/>
              <w:right w:val="nil"/>
            </w:tcBorders>
            <w:hideMark/>
          </w:tcPr>
          <w:p>
            <w:pPr>
              <w:rPr>
                <w:rFonts w:asciiTheme="majorBidi" w:hAnsiTheme="majorBidi" w:cstheme="majorBidi"/>
                <w:noProof/>
              </w:rPr>
            </w:pPr>
          </w:p>
        </w:tc>
        <w:tc>
          <w:tcPr>
            <w:tcW w:w="501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bl>
    <w:p>
      <w:pPr>
        <w:pStyle w:val="Lignefinal"/>
        <w:rPr>
          <w:noProof/>
          <w:szCs w:val="22"/>
        </w:rPr>
      </w:pPr>
    </w:p>
    <w:p>
      <w:pPr>
        <w:spacing w:before="0" w:after="0"/>
        <w:rPr>
          <w:noProof/>
        </w:rPr>
        <w:sectPr>
          <w:pgSz w:w="11907" w:h="16840"/>
          <w:pgMar w:top="1134" w:right="1134" w:bottom="1134" w:left="1134" w:header="567" w:footer="567" w:gutter="0"/>
          <w:pgNumType w:start="112"/>
          <w:cols w:space="720"/>
          <w:docGrid w:linePitch="326"/>
        </w:sectPr>
      </w:pPr>
    </w:p>
    <w:p>
      <w:pPr>
        <w:jc w:val="center"/>
        <w:rPr>
          <w:b/>
          <w:noProof/>
          <w:szCs w:val="24"/>
        </w:rPr>
      </w:pPr>
      <w:r>
        <w:rPr>
          <w:b/>
          <w:noProof/>
        </w:rPr>
        <w:t>ANNEXE IK</w:t>
      </w:r>
    </w:p>
    <w:p>
      <w:pPr>
        <w:pStyle w:val="NormalCentered"/>
        <w:rPr>
          <w:noProof/>
        </w:rPr>
      </w:pPr>
      <w:r>
        <w:rPr>
          <w:noProof/>
        </w:rPr>
        <w:t>ZONE DE L’ACCORD SIOFA/APSOI</w:t>
      </w:r>
    </w:p>
    <w:tbl>
      <w:tblPr>
        <w:tblW w:w="9711" w:type="dxa"/>
        <w:tblInd w:w="108" w:type="dxa"/>
        <w:tblLayout w:type="fixed"/>
        <w:tblLook w:val="04A0" w:firstRow="1" w:lastRow="0" w:firstColumn="1" w:lastColumn="0" w:noHBand="0" w:noVBand="1"/>
      </w:tblPr>
      <w:tblGrid>
        <w:gridCol w:w="1701"/>
        <w:gridCol w:w="1701"/>
        <w:gridCol w:w="196"/>
        <w:gridCol w:w="797"/>
        <w:gridCol w:w="992"/>
        <w:gridCol w:w="4324"/>
      </w:tblGrid>
      <w:tr>
        <w:trPr>
          <w:trHeight w:val="227"/>
        </w:trPr>
        <w:tc>
          <w:tcPr>
            <w:tcW w:w="1701" w:type="dxa"/>
            <w:tcBorders>
              <w:top w:val="single" w:sz="8" w:space="0" w:color="auto"/>
              <w:left w:val="nil"/>
              <w:bottom w:val="single" w:sz="8" w:space="0" w:color="000000"/>
              <w:right w:val="nil"/>
            </w:tcBorders>
            <w:shd w:val="clear" w:color="auto" w:fill="FFFFFF"/>
            <w:hideMark/>
          </w:tcPr>
          <w:p>
            <w:pPr>
              <w:spacing w:before="60" w:after="60"/>
              <w:rPr>
                <w:noProof/>
              </w:rPr>
            </w:pPr>
            <w:r>
              <w:rPr>
                <w:noProof/>
              </w:rPr>
              <w:t>Espèce:</w:t>
            </w:r>
          </w:p>
        </w:tc>
        <w:tc>
          <w:tcPr>
            <w:tcW w:w="2694" w:type="dxa"/>
            <w:gridSpan w:val="3"/>
            <w:tcBorders>
              <w:top w:val="single" w:sz="8" w:space="0" w:color="auto"/>
              <w:left w:val="nil"/>
              <w:bottom w:val="single" w:sz="8" w:space="0" w:color="000000"/>
              <w:right w:val="single" w:sz="8" w:space="0" w:color="auto"/>
            </w:tcBorders>
            <w:shd w:val="clear" w:color="auto" w:fill="FFFFFF"/>
            <w:hideMark/>
          </w:tcPr>
          <w:p>
            <w:pPr>
              <w:spacing w:before="60" w:after="60"/>
              <w:rPr>
                <w:noProof/>
              </w:rPr>
            </w:pPr>
            <w:r>
              <w:rPr>
                <w:noProof/>
              </w:rPr>
              <w:t>Légines</w:t>
            </w:r>
          </w:p>
          <w:p>
            <w:pPr>
              <w:spacing w:before="60" w:after="60"/>
              <w:rPr>
                <w:i/>
                <w:iCs/>
                <w:noProof/>
              </w:rPr>
            </w:pPr>
            <w:r>
              <w:rPr>
                <w:i/>
                <w:iCs/>
                <w:noProof/>
              </w:rPr>
              <w:t xml:space="preserve">Dissostichus </w:t>
            </w:r>
            <w:r>
              <w:rPr>
                <w:noProof/>
              </w:rPr>
              <w:t>spp.</w:t>
            </w:r>
          </w:p>
        </w:tc>
        <w:tc>
          <w:tcPr>
            <w:tcW w:w="992" w:type="dxa"/>
            <w:tcBorders>
              <w:top w:val="single" w:sz="8" w:space="0" w:color="auto"/>
              <w:left w:val="single" w:sz="8" w:space="0" w:color="auto"/>
              <w:bottom w:val="single" w:sz="8" w:space="0" w:color="000000"/>
              <w:right w:val="nil"/>
            </w:tcBorders>
            <w:shd w:val="clear" w:color="auto" w:fill="FFFFFF"/>
            <w:hideMark/>
          </w:tcPr>
          <w:p>
            <w:pPr>
              <w:spacing w:before="60" w:after="60"/>
              <w:rPr>
                <w:noProof/>
              </w:rPr>
            </w:pPr>
            <w:r>
              <w:rPr>
                <w:noProof/>
              </w:rPr>
              <w:t>Zone:</w:t>
            </w:r>
          </w:p>
        </w:tc>
        <w:tc>
          <w:tcPr>
            <w:tcW w:w="4324" w:type="dxa"/>
            <w:tcBorders>
              <w:top w:val="single" w:sz="8" w:space="0" w:color="auto"/>
              <w:left w:val="nil"/>
              <w:bottom w:val="single" w:sz="8" w:space="0" w:color="000000"/>
              <w:right w:val="nil"/>
            </w:tcBorders>
            <w:shd w:val="clear" w:color="auto" w:fill="FFFFFF"/>
            <w:hideMark/>
          </w:tcPr>
          <w:p>
            <w:pPr>
              <w:spacing w:before="60" w:after="60"/>
              <w:rPr>
                <w:noProof/>
                <w:lang w:val="es-ES_tradnl"/>
              </w:rPr>
            </w:pPr>
            <w:r>
              <w:rPr>
                <w:noProof/>
                <w:lang w:val="es-ES_tradnl"/>
              </w:rPr>
              <w:t>Zone Del Cano</w:t>
            </w:r>
            <w:r>
              <w:rPr>
                <w:b/>
                <w:bCs/>
                <w:noProof/>
                <w:vertAlign w:val="superscript"/>
                <w:lang w:val="es-ES_tradnl"/>
              </w:rPr>
              <w:t>(1)</w:t>
            </w:r>
          </w:p>
          <w:p>
            <w:pPr>
              <w:spacing w:before="60" w:after="60"/>
              <w:rPr>
                <w:noProof/>
                <w:lang w:val="es-ES_tradnl"/>
              </w:rPr>
            </w:pPr>
            <w:r>
              <w:rPr>
                <w:noProof/>
                <w:lang w:val="es-ES_tradnl"/>
              </w:rPr>
              <w:t>(TOT/F517DC)</w:t>
            </w:r>
          </w:p>
        </w:tc>
      </w:tr>
      <w:tr>
        <w:trPr>
          <w:trHeight w:val="227"/>
        </w:trPr>
        <w:tc>
          <w:tcPr>
            <w:tcW w:w="1701" w:type="dxa"/>
            <w:hideMark/>
          </w:tcPr>
          <w:p>
            <w:pPr>
              <w:spacing w:before="60" w:after="60"/>
              <w:rPr>
                <w:noProof/>
              </w:rPr>
            </w:pPr>
            <w:r>
              <w:rPr>
                <w:noProof/>
              </w:rPr>
              <w:t>Union</w:t>
            </w:r>
          </w:p>
        </w:tc>
        <w:tc>
          <w:tcPr>
            <w:tcW w:w="1897" w:type="dxa"/>
            <w:gridSpan w:val="2"/>
            <w:hideMark/>
          </w:tcPr>
          <w:p>
            <w:pPr>
              <w:spacing w:before="60" w:after="60"/>
              <w:jc w:val="right"/>
              <w:rPr>
                <w:noProof/>
              </w:rPr>
            </w:pPr>
            <w:r>
              <w:rPr>
                <w:rFonts w:asciiTheme="majorBidi" w:hAnsiTheme="majorBidi"/>
                <w:noProof/>
                <w:color w:val="000000"/>
              </w:rPr>
              <w:t>p.m.</w:t>
            </w:r>
          </w:p>
        </w:tc>
        <w:tc>
          <w:tcPr>
            <w:tcW w:w="797" w:type="dxa"/>
            <w:hideMark/>
          </w:tcPr>
          <w:p>
            <w:pPr>
              <w:spacing w:before="60" w:after="60"/>
              <w:rPr>
                <w:b/>
                <w:bCs/>
                <w:noProof/>
                <w:vertAlign w:val="superscript"/>
              </w:rPr>
            </w:pPr>
            <w:r>
              <w:rPr>
                <w:b/>
                <w:bCs/>
                <w:noProof/>
                <w:vertAlign w:val="superscript"/>
              </w:rPr>
              <w:t>(2)</w:t>
            </w:r>
          </w:p>
        </w:tc>
        <w:tc>
          <w:tcPr>
            <w:tcW w:w="5316" w:type="dxa"/>
            <w:gridSpan w:val="2"/>
            <w:vMerge w:val="restart"/>
            <w:tcBorders>
              <w:top w:val="single" w:sz="8" w:space="0" w:color="000000"/>
              <w:left w:val="nil"/>
              <w:bottom w:val="nil"/>
              <w:right w:val="nil"/>
            </w:tcBorders>
            <w:hideMark/>
          </w:tcPr>
          <w:p>
            <w:pPr>
              <w:spacing w:before="60" w:after="60"/>
              <w:rPr>
                <w:noProof/>
              </w:rPr>
            </w:pPr>
            <w:r>
              <w:rPr>
                <w:noProof/>
              </w:rPr>
              <w:t>TAC de précaution</w:t>
            </w:r>
          </w:p>
        </w:tc>
      </w:tr>
      <w:tr>
        <w:trPr>
          <w:trHeight w:val="227"/>
        </w:trPr>
        <w:tc>
          <w:tcPr>
            <w:tcW w:w="1701" w:type="dxa"/>
            <w:hideMark/>
          </w:tcPr>
          <w:p>
            <w:pPr>
              <w:spacing w:before="60" w:after="60"/>
              <w:rPr>
                <w:noProof/>
              </w:rPr>
            </w:pPr>
            <w:r>
              <w:rPr>
                <w:noProof/>
              </w:rPr>
              <w:t>TAC</w:t>
            </w:r>
          </w:p>
        </w:tc>
        <w:tc>
          <w:tcPr>
            <w:tcW w:w="1897" w:type="dxa"/>
            <w:gridSpan w:val="2"/>
            <w:hideMark/>
          </w:tcPr>
          <w:p>
            <w:pPr>
              <w:spacing w:before="60" w:after="60"/>
              <w:jc w:val="right"/>
              <w:rPr>
                <w:noProof/>
              </w:rPr>
            </w:pPr>
            <w:r>
              <w:rPr>
                <w:rFonts w:asciiTheme="majorBidi" w:hAnsiTheme="majorBidi"/>
                <w:noProof/>
                <w:color w:val="000000"/>
              </w:rPr>
              <w:t>p.m.</w:t>
            </w:r>
          </w:p>
        </w:tc>
        <w:tc>
          <w:tcPr>
            <w:tcW w:w="797" w:type="dxa"/>
            <w:hideMark/>
          </w:tcPr>
          <w:p>
            <w:pPr>
              <w:spacing w:before="60" w:after="60"/>
              <w:rPr>
                <w:b/>
                <w:bCs/>
                <w:noProof/>
                <w:vertAlign w:val="superscript"/>
              </w:rPr>
            </w:pPr>
            <w:r>
              <w:rPr>
                <w:b/>
                <w:bCs/>
                <w:noProof/>
                <w:vertAlign w:val="superscript"/>
              </w:rPr>
              <w:t>(2)</w:t>
            </w:r>
          </w:p>
        </w:tc>
        <w:tc>
          <w:tcPr>
            <w:tcW w:w="5316" w:type="dxa"/>
            <w:gridSpan w:val="2"/>
            <w:vMerge/>
            <w:tcBorders>
              <w:top w:val="single" w:sz="8" w:space="0" w:color="000000"/>
              <w:left w:val="nil"/>
              <w:bottom w:val="nil"/>
              <w:right w:val="nil"/>
            </w:tcBorders>
            <w:vAlign w:val="center"/>
            <w:hideMark/>
          </w:tcPr>
          <w:p>
            <w:pPr>
              <w:spacing w:before="0" w:after="0"/>
              <w:rPr>
                <w:noProof/>
                <w:szCs w:val="24"/>
              </w:rPr>
            </w:pPr>
          </w:p>
        </w:tc>
      </w:tr>
      <w:tr>
        <w:trPr>
          <w:trHeight w:val="227"/>
        </w:trPr>
        <w:tc>
          <w:tcPr>
            <w:tcW w:w="1701" w:type="dxa"/>
            <w:hideMark/>
          </w:tcPr>
          <w:p>
            <w:pPr>
              <w:spacing w:before="60" w:after="60"/>
              <w:jc w:val="right"/>
              <w:rPr>
                <w:b/>
                <w:bCs/>
                <w:noProof/>
                <w:vertAlign w:val="superscript"/>
              </w:rPr>
            </w:pPr>
            <w:r>
              <w:rPr>
                <w:b/>
                <w:bCs/>
                <w:noProof/>
                <w:vertAlign w:val="superscript"/>
              </w:rPr>
              <w:t>(1)</w:t>
            </w:r>
          </w:p>
        </w:tc>
        <w:tc>
          <w:tcPr>
            <w:tcW w:w="8010" w:type="dxa"/>
            <w:gridSpan w:val="5"/>
            <w:hideMark/>
          </w:tcPr>
          <w:p>
            <w:pPr>
              <w:spacing w:before="60" w:after="60"/>
              <w:rPr>
                <w:noProof/>
              </w:rPr>
            </w:pPr>
            <w:r>
              <w:rPr>
                <w:noProof/>
              </w:rPr>
              <w:t xml:space="preserve">Eaux internationales dans la sous-zone FAO 51.7 délimitée entre -44° S et -45° S de latitude, et les zones économiques exclusives adjacentes à l’est et à l’ouest. </w:t>
            </w:r>
          </w:p>
        </w:tc>
      </w:tr>
      <w:tr>
        <w:trPr>
          <w:trHeight w:val="227"/>
        </w:trPr>
        <w:tc>
          <w:tcPr>
            <w:tcW w:w="1701" w:type="dxa"/>
            <w:tcBorders>
              <w:top w:val="nil"/>
              <w:left w:val="nil"/>
              <w:bottom w:val="single" w:sz="8" w:space="0" w:color="auto"/>
              <w:right w:val="nil"/>
            </w:tcBorders>
            <w:hideMark/>
          </w:tcPr>
          <w:p>
            <w:pPr>
              <w:spacing w:before="60" w:after="60"/>
              <w:jc w:val="right"/>
              <w:rPr>
                <w:b/>
                <w:bCs/>
                <w:noProof/>
                <w:vertAlign w:val="superscript"/>
              </w:rPr>
            </w:pPr>
            <w:r>
              <w:rPr>
                <w:b/>
                <w:bCs/>
                <w:noProof/>
                <w:vertAlign w:val="superscript"/>
              </w:rPr>
              <w:t>(2)</w:t>
            </w:r>
          </w:p>
        </w:tc>
        <w:tc>
          <w:tcPr>
            <w:tcW w:w="8010" w:type="dxa"/>
            <w:gridSpan w:val="5"/>
            <w:tcBorders>
              <w:top w:val="nil"/>
              <w:left w:val="nil"/>
              <w:bottom w:val="single" w:sz="8" w:space="0" w:color="auto"/>
              <w:right w:val="nil"/>
            </w:tcBorders>
            <w:hideMark/>
          </w:tcPr>
          <w:p>
            <w:pPr>
              <w:spacing w:before="60" w:after="60"/>
              <w:rPr>
                <w:noProof/>
              </w:rPr>
            </w:pPr>
            <w:r>
              <w:rPr>
                <w:noProof/>
              </w:rPr>
              <w:t>Ce quota peut être pêché uniquement par des navires transportant à leur bord des observateurs et utilisant des palangres durant la campagne de pêche allant du 1</w:t>
            </w:r>
            <w:r>
              <w:rPr>
                <w:noProof/>
                <w:vertAlign w:val="superscript"/>
              </w:rPr>
              <w:t>er</w:t>
            </w:r>
            <w:r>
              <w:rPr>
                <w:noProof/>
              </w:rPr>
              <w:t xml:space="preserve"> décembre 2020 au 30 novembre 2021. Les palangres ne doivent pas compter plus de 3 000 hameçons par ligne et doivent être éloignées d’au moins 3 milles marins les unes des autres.</w:t>
            </w:r>
          </w:p>
          <w:p>
            <w:pPr>
              <w:spacing w:before="60" w:after="60"/>
              <w:rPr>
                <w:noProof/>
              </w:rPr>
            </w:pPr>
            <w:r>
              <w:rPr>
                <w:noProof/>
              </w:rPr>
              <w:t>Les captures des navires ne ciblant pas cette espèce ne peuvent excéder 0,5 tonne par campagne de pêche. Lorsqu’un navire atteint cette limite, il ne peut plus pêcher dans la zone Del Cano.</w:t>
            </w:r>
          </w:p>
        </w:tc>
      </w:tr>
      <w:tr>
        <w:trPr>
          <w:trHeight w:val="227"/>
        </w:trPr>
        <w:tc>
          <w:tcPr>
            <w:tcW w:w="1701" w:type="dxa"/>
            <w:tcBorders>
              <w:top w:val="single" w:sz="8" w:space="0" w:color="auto"/>
              <w:left w:val="nil"/>
              <w:bottom w:val="single" w:sz="8" w:space="0" w:color="000000"/>
              <w:right w:val="nil"/>
            </w:tcBorders>
            <w:shd w:val="clear" w:color="auto" w:fill="FFFFFF"/>
          </w:tcPr>
          <w:p>
            <w:pPr>
              <w:spacing w:before="60" w:after="60"/>
              <w:rPr>
                <w:noProof/>
              </w:rPr>
            </w:pPr>
          </w:p>
        </w:tc>
        <w:tc>
          <w:tcPr>
            <w:tcW w:w="2694" w:type="dxa"/>
            <w:gridSpan w:val="3"/>
            <w:tcBorders>
              <w:top w:val="single" w:sz="8" w:space="0" w:color="auto"/>
              <w:left w:val="nil"/>
              <w:bottom w:val="single" w:sz="8" w:space="0" w:color="000000"/>
              <w:right w:val="nil"/>
            </w:tcBorders>
            <w:shd w:val="clear" w:color="auto" w:fill="FFFFFF"/>
          </w:tcPr>
          <w:p>
            <w:pPr>
              <w:spacing w:before="60" w:after="60"/>
              <w:rPr>
                <w:noProof/>
              </w:rPr>
            </w:pPr>
          </w:p>
        </w:tc>
        <w:tc>
          <w:tcPr>
            <w:tcW w:w="992" w:type="dxa"/>
            <w:tcBorders>
              <w:top w:val="single" w:sz="8" w:space="0" w:color="auto"/>
              <w:left w:val="nil"/>
              <w:bottom w:val="single" w:sz="8" w:space="0" w:color="000000"/>
              <w:right w:val="nil"/>
            </w:tcBorders>
            <w:shd w:val="clear" w:color="auto" w:fill="FFFFFF"/>
          </w:tcPr>
          <w:p>
            <w:pPr>
              <w:spacing w:before="60" w:after="60"/>
              <w:rPr>
                <w:noProof/>
              </w:rPr>
            </w:pPr>
          </w:p>
        </w:tc>
        <w:tc>
          <w:tcPr>
            <w:tcW w:w="4324" w:type="dxa"/>
            <w:tcBorders>
              <w:top w:val="single" w:sz="8" w:space="0" w:color="auto"/>
              <w:left w:val="nil"/>
              <w:bottom w:val="single" w:sz="8" w:space="0" w:color="000000"/>
              <w:right w:val="nil"/>
            </w:tcBorders>
            <w:shd w:val="clear" w:color="auto" w:fill="FFFFFF"/>
          </w:tcPr>
          <w:p>
            <w:pPr>
              <w:spacing w:before="60" w:after="60"/>
              <w:rPr>
                <w:noProof/>
              </w:rPr>
            </w:pPr>
          </w:p>
        </w:tc>
      </w:tr>
      <w:tr>
        <w:trPr>
          <w:trHeight w:val="227"/>
        </w:trPr>
        <w:tc>
          <w:tcPr>
            <w:tcW w:w="1701" w:type="dxa"/>
            <w:tcBorders>
              <w:top w:val="single" w:sz="8" w:space="0" w:color="auto"/>
              <w:left w:val="nil"/>
              <w:bottom w:val="single" w:sz="8" w:space="0" w:color="000000"/>
              <w:right w:val="nil"/>
            </w:tcBorders>
            <w:shd w:val="clear" w:color="auto" w:fill="FFFFFF"/>
            <w:hideMark/>
          </w:tcPr>
          <w:p>
            <w:pPr>
              <w:pageBreakBefore/>
              <w:spacing w:before="60" w:after="60"/>
              <w:rPr>
                <w:noProof/>
              </w:rPr>
            </w:pPr>
            <w:r>
              <w:rPr>
                <w:noProof/>
              </w:rPr>
              <w:t>Espèce:</w:t>
            </w:r>
          </w:p>
        </w:tc>
        <w:tc>
          <w:tcPr>
            <w:tcW w:w="2694" w:type="dxa"/>
            <w:gridSpan w:val="3"/>
            <w:tcBorders>
              <w:top w:val="single" w:sz="8" w:space="0" w:color="auto"/>
              <w:left w:val="nil"/>
              <w:bottom w:val="single" w:sz="8" w:space="0" w:color="000000"/>
              <w:right w:val="single" w:sz="8" w:space="0" w:color="auto"/>
            </w:tcBorders>
            <w:shd w:val="clear" w:color="auto" w:fill="FFFFFF"/>
            <w:hideMark/>
          </w:tcPr>
          <w:p>
            <w:pPr>
              <w:spacing w:before="60" w:after="60"/>
              <w:rPr>
                <w:noProof/>
              </w:rPr>
            </w:pPr>
            <w:r>
              <w:rPr>
                <w:noProof/>
              </w:rPr>
              <w:t>Légines</w:t>
            </w:r>
          </w:p>
          <w:p>
            <w:pPr>
              <w:spacing w:before="60" w:after="60"/>
              <w:rPr>
                <w:i/>
                <w:iCs/>
                <w:noProof/>
              </w:rPr>
            </w:pPr>
            <w:r>
              <w:rPr>
                <w:i/>
                <w:iCs/>
                <w:noProof/>
              </w:rPr>
              <w:t xml:space="preserve">Dissostichus </w:t>
            </w:r>
            <w:r>
              <w:rPr>
                <w:noProof/>
              </w:rPr>
              <w:t>spp.</w:t>
            </w:r>
          </w:p>
        </w:tc>
        <w:tc>
          <w:tcPr>
            <w:tcW w:w="992" w:type="dxa"/>
            <w:tcBorders>
              <w:top w:val="single" w:sz="8" w:space="0" w:color="auto"/>
              <w:left w:val="single" w:sz="8" w:space="0" w:color="auto"/>
              <w:bottom w:val="single" w:sz="8" w:space="0" w:color="000000"/>
              <w:right w:val="nil"/>
            </w:tcBorders>
            <w:shd w:val="clear" w:color="auto" w:fill="FFFFFF"/>
            <w:hideMark/>
          </w:tcPr>
          <w:p>
            <w:pPr>
              <w:spacing w:before="60" w:after="60"/>
              <w:rPr>
                <w:noProof/>
              </w:rPr>
            </w:pPr>
            <w:r>
              <w:rPr>
                <w:noProof/>
              </w:rPr>
              <w:t>Zone:</w:t>
            </w:r>
          </w:p>
        </w:tc>
        <w:tc>
          <w:tcPr>
            <w:tcW w:w="4324" w:type="dxa"/>
            <w:tcBorders>
              <w:top w:val="single" w:sz="8" w:space="0" w:color="auto"/>
              <w:left w:val="nil"/>
              <w:bottom w:val="single" w:sz="8" w:space="0" w:color="000000"/>
              <w:right w:val="nil"/>
            </w:tcBorders>
            <w:shd w:val="clear" w:color="auto" w:fill="FFFFFF"/>
            <w:hideMark/>
          </w:tcPr>
          <w:p>
            <w:pPr>
              <w:spacing w:before="60" w:after="60"/>
              <w:rPr>
                <w:noProof/>
              </w:rPr>
            </w:pPr>
            <w:r>
              <w:rPr>
                <w:noProof/>
              </w:rPr>
              <w:t>Williams Ridge</w:t>
            </w:r>
            <w:r>
              <w:rPr>
                <w:b/>
                <w:bCs/>
                <w:noProof/>
                <w:vertAlign w:val="superscript"/>
              </w:rPr>
              <w:t>(1)</w:t>
            </w:r>
          </w:p>
          <w:p>
            <w:pPr>
              <w:spacing w:before="60" w:after="60"/>
              <w:rPr>
                <w:noProof/>
              </w:rPr>
            </w:pPr>
            <w:r>
              <w:rPr>
                <w:noProof/>
              </w:rPr>
              <w:t>(TOT/F574WR)</w:t>
            </w:r>
          </w:p>
        </w:tc>
      </w:tr>
      <w:tr>
        <w:trPr>
          <w:trHeight w:val="227"/>
        </w:trPr>
        <w:tc>
          <w:tcPr>
            <w:tcW w:w="1701" w:type="dxa"/>
            <w:hideMark/>
          </w:tcPr>
          <w:p>
            <w:pPr>
              <w:spacing w:before="60" w:after="60"/>
              <w:rPr>
                <w:noProof/>
              </w:rPr>
            </w:pPr>
            <w:r>
              <w:rPr>
                <w:noProof/>
              </w:rPr>
              <w:t>Union</w:t>
            </w:r>
          </w:p>
        </w:tc>
        <w:tc>
          <w:tcPr>
            <w:tcW w:w="1897" w:type="dxa"/>
            <w:gridSpan w:val="2"/>
            <w:hideMark/>
          </w:tcPr>
          <w:p>
            <w:pPr>
              <w:spacing w:before="60" w:after="60"/>
              <w:jc w:val="right"/>
              <w:rPr>
                <w:noProof/>
              </w:rPr>
            </w:pPr>
            <w:r>
              <w:rPr>
                <w:noProof/>
              </w:rPr>
              <w:t>À fixer</w:t>
            </w:r>
          </w:p>
        </w:tc>
        <w:tc>
          <w:tcPr>
            <w:tcW w:w="797" w:type="dxa"/>
            <w:hideMark/>
          </w:tcPr>
          <w:p>
            <w:pPr>
              <w:spacing w:before="60" w:after="60"/>
              <w:rPr>
                <w:b/>
                <w:bCs/>
                <w:noProof/>
              </w:rPr>
            </w:pPr>
            <w:r>
              <w:rPr>
                <w:b/>
                <w:bCs/>
                <w:noProof/>
                <w:vertAlign w:val="superscript"/>
              </w:rPr>
              <w:t>(2)</w:t>
            </w:r>
          </w:p>
        </w:tc>
        <w:tc>
          <w:tcPr>
            <w:tcW w:w="5316" w:type="dxa"/>
            <w:gridSpan w:val="2"/>
            <w:vMerge w:val="restart"/>
            <w:tcBorders>
              <w:top w:val="single" w:sz="8" w:space="0" w:color="000000"/>
              <w:left w:val="nil"/>
              <w:bottom w:val="nil"/>
              <w:right w:val="nil"/>
            </w:tcBorders>
            <w:hideMark/>
          </w:tcPr>
          <w:p>
            <w:pPr>
              <w:spacing w:before="60" w:after="60"/>
              <w:rPr>
                <w:noProof/>
              </w:rPr>
            </w:pPr>
            <w:r>
              <w:rPr>
                <w:noProof/>
              </w:rPr>
              <w:t>TAC de précaution</w:t>
            </w:r>
          </w:p>
        </w:tc>
      </w:tr>
      <w:tr>
        <w:trPr>
          <w:trHeight w:val="227"/>
        </w:trPr>
        <w:tc>
          <w:tcPr>
            <w:tcW w:w="1701" w:type="dxa"/>
            <w:hideMark/>
          </w:tcPr>
          <w:p>
            <w:pPr>
              <w:spacing w:before="60" w:after="60"/>
              <w:rPr>
                <w:noProof/>
              </w:rPr>
            </w:pPr>
            <w:r>
              <w:rPr>
                <w:noProof/>
              </w:rPr>
              <w:t>TAC</w:t>
            </w:r>
          </w:p>
        </w:tc>
        <w:tc>
          <w:tcPr>
            <w:tcW w:w="1897" w:type="dxa"/>
            <w:gridSpan w:val="2"/>
            <w:hideMark/>
          </w:tcPr>
          <w:p>
            <w:pPr>
              <w:spacing w:before="60" w:after="60"/>
              <w:jc w:val="right"/>
              <w:rPr>
                <w:noProof/>
              </w:rPr>
            </w:pPr>
            <w:r>
              <w:rPr>
                <w:rFonts w:asciiTheme="majorBidi" w:hAnsiTheme="majorBidi"/>
                <w:noProof/>
                <w:color w:val="000000"/>
              </w:rPr>
              <w:t>p.m.</w:t>
            </w:r>
          </w:p>
        </w:tc>
        <w:tc>
          <w:tcPr>
            <w:tcW w:w="797" w:type="dxa"/>
            <w:hideMark/>
          </w:tcPr>
          <w:p>
            <w:pPr>
              <w:spacing w:before="60" w:after="60"/>
              <w:rPr>
                <w:b/>
                <w:bCs/>
                <w:noProof/>
                <w:vertAlign w:val="superscript"/>
              </w:rPr>
            </w:pPr>
            <w:r>
              <w:rPr>
                <w:b/>
                <w:bCs/>
                <w:noProof/>
                <w:vertAlign w:val="superscript"/>
              </w:rPr>
              <w:t>(2)</w:t>
            </w:r>
          </w:p>
        </w:tc>
        <w:tc>
          <w:tcPr>
            <w:tcW w:w="5316" w:type="dxa"/>
            <w:gridSpan w:val="2"/>
            <w:vMerge/>
            <w:tcBorders>
              <w:top w:val="single" w:sz="8" w:space="0" w:color="000000"/>
              <w:left w:val="nil"/>
              <w:bottom w:val="nil"/>
              <w:right w:val="nil"/>
            </w:tcBorders>
            <w:vAlign w:val="center"/>
            <w:hideMark/>
          </w:tcPr>
          <w:p>
            <w:pPr>
              <w:spacing w:before="0" w:after="0"/>
              <w:rPr>
                <w:noProof/>
                <w:szCs w:val="24"/>
              </w:rPr>
            </w:pPr>
          </w:p>
        </w:tc>
      </w:tr>
      <w:tr>
        <w:trPr>
          <w:trHeight w:val="227"/>
        </w:trPr>
        <w:tc>
          <w:tcPr>
            <w:tcW w:w="1701" w:type="dxa"/>
            <w:vMerge w:val="restart"/>
            <w:hideMark/>
          </w:tcPr>
          <w:p>
            <w:pPr>
              <w:spacing w:before="60" w:after="60"/>
              <w:rPr>
                <w:b/>
                <w:bCs/>
                <w:noProof/>
                <w:vertAlign w:val="superscript"/>
              </w:rPr>
            </w:pPr>
            <w:r>
              <w:rPr>
                <w:b/>
                <w:bCs/>
                <w:noProof/>
                <w:vertAlign w:val="superscript"/>
              </w:rPr>
              <w:t>(1)</w:t>
            </w:r>
          </w:p>
        </w:tc>
        <w:tc>
          <w:tcPr>
            <w:tcW w:w="8010" w:type="dxa"/>
            <w:gridSpan w:val="5"/>
            <w:hideMark/>
          </w:tcPr>
          <w:p>
            <w:pPr>
              <w:spacing w:before="60" w:after="60"/>
              <w:rPr>
                <w:noProof/>
              </w:rPr>
            </w:pPr>
            <w:r>
              <w:rPr>
                <w:noProof/>
              </w:rPr>
              <w:t>Zone de la sous-zone FAO 57.4 délimitée par les coordonnées suivantes:</w:t>
            </w:r>
          </w:p>
        </w:tc>
      </w:tr>
      <w:tr>
        <w:trPr>
          <w:trHeight w:val="227"/>
        </w:trPr>
        <w:tc>
          <w:tcPr>
            <w:tcW w:w="1701" w:type="dxa"/>
            <w:vMerge/>
            <w:vAlign w:val="center"/>
            <w:hideMark/>
          </w:tcPr>
          <w:p>
            <w:pPr>
              <w:spacing w:before="0" w:after="0"/>
              <w:rPr>
                <w:b/>
                <w:bCs/>
                <w:noProof/>
                <w:szCs w:val="24"/>
                <w:vertAlign w:val="superscript"/>
              </w:rPr>
            </w:pPr>
          </w:p>
        </w:tc>
        <w:tc>
          <w:tcPr>
            <w:tcW w:w="1701" w:type="dxa"/>
            <w:hideMark/>
          </w:tcPr>
          <w:p>
            <w:pPr>
              <w:spacing w:before="60" w:after="60"/>
              <w:rPr>
                <w:noProof/>
              </w:rPr>
            </w:pPr>
            <w:r>
              <w:rPr>
                <w:noProof/>
              </w:rPr>
              <w:t>Point</w:t>
            </w:r>
          </w:p>
        </w:tc>
        <w:tc>
          <w:tcPr>
            <w:tcW w:w="1985" w:type="dxa"/>
            <w:gridSpan w:val="3"/>
            <w:hideMark/>
          </w:tcPr>
          <w:p>
            <w:pPr>
              <w:spacing w:before="60" w:after="60"/>
              <w:rPr>
                <w:noProof/>
              </w:rPr>
            </w:pPr>
            <w:r>
              <w:rPr>
                <w:noProof/>
              </w:rPr>
              <w:t>Latitude</w:t>
            </w:r>
          </w:p>
        </w:tc>
        <w:tc>
          <w:tcPr>
            <w:tcW w:w="4324" w:type="dxa"/>
            <w:hideMark/>
          </w:tcPr>
          <w:p>
            <w:pPr>
              <w:spacing w:before="60" w:after="60"/>
              <w:rPr>
                <w:noProof/>
              </w:rPr>
            </w:pPr>
            <w:r>
              <w:rPr>
                <w:noProof/>
              </w:rPr>
              <w:t>Longitude</w:t>
            </w:r>
          </w:p>
        </w:tc>
      </w:tr>
      <w:tr>
        <w:trPr>
          <w:trHeight w:val="227"/>
        </w:trPr>
        <w:tc>
          <w:tcPr>
            <w:tcW w:w="1701" w:type="dxa"/>
            <w:vMerge/>
            <w:vAlign w:val="center"/>
            <w:hideMark/>
          </w:tcPr>
          <w:p>
            <w:pPr>
              <w:spacing w:before="0" w:after="0"/>
              <w:rPr>
                <w:b/>
                <w:bCs/>
                <w:noProof/>
                <w:szCs w:val="24"/>
                <w:vertAlign w:val="superscript"/>
              </w:rPr>
            </w:pPr>
          </w:p>
        </w:tc>
        <w:tc>
          <w:tcPr>
            <w:tcW w:w="1701" w:type="dxa"/>
            <w:hideMark/>
          </w:tcPr>
          <w:p>
            <w:pPr>
              <w:spacing w:before="60" w:after="60"/>
              <w:rPr>
                <w:noProof/>
              </w:rPr>
            </w:pPr>
            <w:r>
              <w:rPr>
                <w:noProof/>
              </w:rPr>
              <w:t>1</w:t>
            </w:r>
          </w:p>
        </w:tc>
        <w:tc>
          <w:tcPr>
            <w:tcW w:w="1985" w:type="dxa"/>
            <w:gridSpan w:val="3"/>
            <w:hideMark/>
          </w:tcPr>
          <w:p>
            <w:pPr>
              <w:spacing w:before="60" w:after="60"/>
              <w:rPr>
                <w:noProof/>
              </w:rPr>
            </w:pPr>
            <w:r>
              <w:rPr>
                <w:noProof/>
              </w:rPr>
              <w:t>52° 30' 00" S</w:t>
            </w:r>
          </w:p>
        </w:tc>
        <w:tc>
          <w:tcPr>
            <w:tcW w:w="4324" w:type="dxa"/>
            <w:hideMark/>
          </w:tcPr>
          <w:p>
            <w:pPr>
              <w:spacing w:before="60" w:after="60"/>
              <w:rPr>
                <w:noProof/>
              </w:rPr>
            </w:pPr>
            <w:r>
              <w:rPr>
                <w:noProof/>
              </w:rPr>
              <w:t>80° 00' 00" E</w:t>
            </w:r>
          </w:p>
        </w:tc>
      </w:tr>
      <w:tr>
        <w:trPr>
          <w:trHeight w:val="227"/>
        </w:trPr>
        <w:tc>
          <w:tcPr>
            <w:tcW w:w="1701" w:type="dxa"/>
            <w:vMerge/>
            <w:vAlign w:val="center"/>
            <w:hideMark/>
          </w:tcPr>
          <w:p>
            <w:pPr>
              <w:spacing w:before="0" w:after="0"/>
              <w:rPr>
                <w:b/>
                <w:bCs/>
                <w:noProof/>
                <w:szCs w:val="24"/>
                <w:vertAlign w:val="superscript"/>
              </w:rPr>
            </w:pPr>
          </w:p>
        </w:tc>
        <w:tc>
          <w:tcPr>
            <w:tcW w:w="1701" w:type="dxa"/>
            <w:hideMark/>
          </w:tcPr>
          <w:p>
            <w:pPr>
              <w:spacing w:before="60" w:after="60"/>
              <w:rPr>
                <w:noProof/>
              </w:rPr>
            </w:pPr>
            <w:r>
              <w:rPr>
                <w:noProof/>
              </w:rPr>
              <w:t>2</w:t>
            </w:r>
          </w:p>
        </w:tc>
        <w:tc>
          <w:tcPr>
            <w:tcW w:w="1985" w:type="dxa"/>
            <w:gridSpan w:val="3"/>
            <w:hideMark/>
          </w:tcPr>
          <w:p>
            <w:pPr>
              <w:spacing w:before="60" w:after="60"/>
              <w:rPr>
                <w:noProof/>
              </w:rPr>
            </w:pPr>
            <w:r>
              <w:rPr>
                <w:noProof/>
              </w:rPr>
              <w:t>55° 00' 00" S</w:t>
            </w:r>
          </w:p>
        </w:tc>
        <w:tc>
          <w:tcPr>
            <w:tcW w:w="4324" w:type="dxa"/>
            <w:hideMark/>
          </w:tcPr>
          <w:p>
            <w:pPr>
              <w:spacing w:before="60" w:after="60"/>
              <w:rPr>
                <w:noProof/>
              </w:rPr>
            </w:pPr>
            <w:r>
              <w:rPr>
                <w:noProof/>
              </w:rPr>
              <w:t>80° 00' 00" E</w:t>
            </w:r>
          </w:p>
        </w:tc>
      </w:tr>
      <w:tr>
        <w:trPr>
          <w:trHeight w:val="227"/>
        </w:trPr>
        <w:tc>
          <w:tcPr>
            <w:tcW w:w="1701" w:type="dxa"/>
            <w:vMerge/>
            <w:vAlign w:val="center"/>
            <w:hideMark/>
          </w:tcPr>
          <w:p>
            <w:pPr>
              <w:spacing w:before="0" w:after="0"/>
              <w:rPr>
                <w:b/>
                <w:bCs/>
                <w:noProof/>
                <w:szCs w:val="24"/>
                <w:vertAlign w:val="superscript"/>
              </w:rPr>
            </w:pPr>
          </w:p>
        </w:tc>
        <w:tc>
          <w:tcPr>
            <w:tcW w:w="1701" w:type="dxa"/>
            <w:hideMark/>
          </w:tcPr>
          <w:p>
            <w:pPr>
              <w:spacing w:before="60" w:after="60"/>
              <w:rPr>
                <w:noProof/>
              </w:rPr>
            </w:pPr>
            <w:r>
              <w:rPr>
                <w:noProof/>
              </w:rPr>
              <w:t>3</w:t>
            </w:r>
          </w:p>
        </w:tc>
        <w:tc>
          <w:tcPr>
            <w:tcW w:w="1985" w:type="dxa"/>
            <w:gridSpan w:val="3"/>
            <w:hideMark/>
          </w:tcPr>
          <w:p>
            <w:pPr>
              <w:spacing w:before="60" w:after="60"/>
              <w:rPr>
                <w:noProof/>
              </w:rPr>
            </w:pPr>
            <w:r>
              <w:rPr>
                <w:noProof/>
              </w:rPr>
              <w:t>55° 00' 00" S</w:t>
            </w:r>
          </w:p>
        </w:tc>
        <w:tc>
          <w:tcPr>
            <w:tcW w:w="4324" w:type="dxa"/>
            <w:hideMark/>
          </w:tcPr>
          <w:p>
            <w:pPr>
              <w:spacing w:before="60" w:after="60"/>
              <w:rPr>
                <w:noProof/>
              </w:rPr>
            </w:pPr>
            <w:r>
              <w:rPr>
                <w:noProof/>
              </w:rPr>
              <w:t>85° 00' 00" E</w:t>
            </w:r>
          </w:p>
        </w:tc>
      </w:tr>
      <w:tr>
        <w:trPr>
          <w:trHeight w:val="227"/>
        </w:trPr>
        <w:tc>
          <w:tcPr>
            <w:tcW w:w="1701" w:type="dxa"/>
            <w:vMerge/>
            <w:vAlign w:val="center"/>
            <w:hideMark/>
          </w:tcPr>
          <w:p>
            <w:pPr>
              <w:spacing w:before="0" w:after="0"/>
              <w:rPr>
                <w:b/>
                <w:bCs/>
                <w:noProof/>
                <w:szCs w:val="24"/>
                <w:vertAlign w:val="superscript"/>
              </w:rPr>
            </w:pPr>
          </w:p>
        </w:tc>
        <w:tc>
          <w:tcPr>
            <w:tcW w:w="1701" w:type="dxa"/>
            <w:hideMark/>
          </w:tcPr>
          <w:p>
            <w:pPr>
              <w:spacing w:before="60" w:after="60"/>
              <w:rPr>
                <w:noProof/>
              </w:rPr>
            </w:pPr>
            <w:r>
              <w:rPr>
                <w:noProof/>
              </w:rPr>
              <w:t>4</w:t>
            </w:r>
          </w:p>
        </w:tc>
        <w:tc>
          <w:tcPr>
            <w:tcW w:w="1985" w:type="dxa"/>
            <w:gridSpan w:val="3"/>
            <w:hideMark/>
          </w:tcPr>
          <w:p>
            <w:pPr>
              <w:spacing w:before="60" w:after="60"/>
              <w:rPr>
                <w:noProof/>
              </w:rPr>
            </w:pPr>
            <w:r>
              <w:rPr>
                <w:noProof/>
              </w:rPr>
              <w:t>52° 30' 00" S</w:t>
            </w:r>
          </w:p>
        </w:tc>
        <w:tc>
          <w:tcPr>
            <w:tcW w:w="4324" w:type="dxa"/>
            <w:hideMark/>
          </w:tcPr>
          <w:p>
            <w:pPr>
              <w:spacing w:before="60" w:after="60"/>
              <w:rPr>
                <w:noProof/>
              </w:rPr>
            </w:pPr>
            <w:r>
              <w:rPr>
                <w:noProof/>
              </w:rPr>
              <w:t>85° 00' 00" E</w:t>
            </w:r>
          </w:p>
        </w:tc>
      </w:tr>
      <w:tr>
        <w:trPr>
          <w:trHeight w:val="227"/>
        </w:trPr>
        <w:tc>
          <w:tcPr>
            <w:tcW w:w="1701" w:type="dxa"/>
            <w:tcBorders>
              <w:top w:val="nil"/>
              <w:left w:val="nil"/>
              <w:bottom w:val="single" w:sz="8" w:space="0" w:color="auto"/>
              <w:right w:val="nil"/>
            </w:tcBorders>
            <w:hideMark/>
          </w:tcPr>
          <w:p>
            <w:pPr>
              <w:spacing w:before="60" w:after="60"/>
              <w:rPr>
                <w:b/>
                <w:bCs/>
                <w:noProof/>
                <w:vertAlign w:val="superscript"/>
              </w:rPr>
            </w:pPr>
            <w:r>
              <w:rPr>
                <w:b/>
                <w:bCs/>
                <w:noProof/>
                <w:vertAlign w:val="superscript"/>
              </w:rPr>
              <w:t>(2)</w:t>
            </w:r>
          </w:p>
        </w:tc>
        <w:tc>
          <w:tcPr>
            <w:tcW w:w="8010" w:type="dxa"/>
            <w:gridSpan w:val="5"/>
            <w:tcBorders>
              <w:top w:val="nil"/>
              <w:left w:val="nil"/>
              <w:bottom w:val="single" w:sz="8" w:space="0" w:color="auto"/>
              <w:right w:val="nil"/>
            </w:tcBorders>
            <w:hideMark/>
          </w:tcPr>
          <w:p>
            <w:pPr>
              <w:spacing w:before="60" w:after="60"/>
              <w:rPr>
                <w:noProof/>
              </w:rPr>
            </w:pPr>
            <w:r>
              <w:rPr>
                <w:noProof/>
              </w:rPr>
              <w:t>Ce quota peut être pêché uniquement par des navires transportant à leur bord des observateurs durant la campagne de pêche allant du 1</w:t>
            </w:r>
            <w:r>
              <w:rPr>
                <w:noProof/>
                <w:vertAlign w:val="superscript"/>
              </w:rPr>
              <w:t>er</w:t>
            </w:r>
            <w:r>
              <w:rPr>
                <w:noProof/>
              </w:rPr>
              <w:t xml:space="preserve"> décembre 2019 au 30 novembre 2020. Au maximum deux palangres ne comptant pas plus de 6 250 hameçons sont installées par cellule établie par le SIOFA/APSOI et les sorties de pêche sont espacées d’au moins 30 jours conformément aux conditions d’accès fixées par le SIOFA/APSOI.</w:t>
            </w:r>
          </w:p>
          <w:p>
            <w:pPr>
              <w:spacing w:before="60" w:after="60"/>
              <w:rPr>
                <w:noProof/>
              </w:rPr>
            </w:pPr>
            <w:r>
              <w:rPr>
                <w:noProof/>
              </w:rPr>
              <w:t>Les captures des navires ne ciblant pas cette espèce ne peuvent excéder 0,5 tonne par campagne de pêche. Lorsqu’un navire atteint cette limite, il ne peut plus pêcher dans la zone Williams Ridge.</w:t>
            </w:r>
          </w:p>
        </w:tc>
      </w:tr>
    </w:tbl>
    <w:p>
      <w:pPr>
        <w:shd w:val="clear" w:color="auto" w:fill="FFFFFF"/>
        <w:spacing w:after="0" w:line="312" w:lineRule="atLeast"/>
        <w:rPr>
          <w:rFonts w:eastAsia="Times New Roman"/>
          <w:noProof/>
          <w:color w:val="444444"/>
          <w:szCs w:val="24"/>
        </w:rPr>
      </w:pPr>
      <w:r>
        <w:rPr>
          <w:noProof/>
          <w:color w:val="444444"/>
          <w:szCs w:val="24"/>
        </w:rPr>
        <w:t>Zones protégées provisoires</w:t>
      </w:r>
    </w:p>
    <w:p>
      <w:pPr>
        <w:shd w:val="clear" w:color="auto" w:fill="FFFFFF"/>
        <w:spacing w:after="0" w:line="312" w:lineRule="atLeast"/>
        <w:rPr>
          <w:rFonts w:eastAsia="Times New Roman"/>
          <w:noProof/>
          <w:color w:val="444444"/>
          <w:szCs w:val="24"/>
        </w:rPr>
      </w:pPr>
      <w:r>
        <w:rPr>
          <w:noProof/>
          <w:color w:val="444444"/>
          <w:szCs w:val="24"/>
        </w:rPr>
        <w:t>Atlantis Bank</w:t>
      </w:r>
    </w:p>
    <w:p>
      <w:pPr>
        <w:shd w:val="clear" w:color="auto" w:fill="FFFFFF"/>
        <w:spacing w:before="0" w:after="0" w:line="312" w:lineRule="atLeast"/>
        <w:jc w:val="left"/>
        <w:rPr>
          <w:rFonts w:eastAsia="Times New Roman"/>
          <w:noProof/>
          <w:color w:val="444444"/>
          <w:szCs w:val="24"/>
          <w:lang w:eastAsia="fr-BE"/>
        </w:rPr>
      </w:pPr>
    </w:p>
    <w:p>
      <w:pPr>
        <w:shd w:val="clear" w:color="auto" w:fill="FFFFFF"/>
        <w:spacing w:before="0" w:after="0" w:line="312" w:lineRule="atLeast"/>
        <w:jc w:val="center"/>
        <w:rPr>
          <w:rFonts w:eastAsia="Times New Roman"/>
          <w:noProof/>
          <w:color w:val="444444"/>
          <w:szCs w:val="24"/>
          <w:lang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567"/>
        <w:gridCol w:w="1214"/>
        <w:gridCol w:w="1413"/>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Point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Latitude (S)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Longitude (E)</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32°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57°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32° 50'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57°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32° 50'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58°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32°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58° 00'</w:t>
            </w:r>
          </w:p>
        </w:tc>
      </w:tr>
    </w:tbl>
    <w:p>
      <w:pPr>
        <w:shd w:val="clear" w:color="auto" w:fill="FFFFFF"/>
        <w:spacing w:after="0" w:line="312" w:lineRule="atLeast"/>
        <w:rPr>
          <w:rFonts w:eastAsia="Times New Roman"/>
          <w:noProof/>
          <w:color w:val="444444"/>
          <w:szCs w:val="24"/>
        </w:rPr>
      </w:pPr>
      <w:r>
        <w:rPr>
          <w:noProof/>
          <w:color w:val="444444"/>
          <w:szCs w:val="24"/>
        </w:rPr>
        <w:t>Coral</w:t>
      </w:r>
    </w:p>
    <w:p>
      <w:pPr>
        <w:shd w:val="clear" w:color="auto" w:fill="FFFFFF"/>
        <w:spacing w:before="0" w:after="0" w:line="312" w:lineRule="atLeast"/>
        <w:jc w:val="left"/>
        <w:rPr>
          <w:rFonts w:eastAsia="Times New Roman"/>
          <w:noProof/>
          <w:color w:val="444444"/>
          <w:szCs w:val="24"/>
          <w:lang w:eastAsia="fr-BE"/>
        </w:rPr>
      </w:pPr>
    </w:p>
    <w:p>
      <w:pPr>
        <w:shd w:val="clear" w:color="auto" w:fill="FFFFFF"/>
        <w:spacing w:before="0" w:after="0" w:line="312" w:lineRule="atLeast"/>
        <w:jc w:val="center"/>
        <w:rPr>
          <w:rFonts w:eastAsia="Times New Roman"/>
          <w:noProof/>
          <w:color w:val="444444"/>
          <w:szCs w:val="24"/>
          <w:lang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567"/>
        <w:gridCol w:w="1214"/>
        <w:gridCol w:w="1413"/>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Point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Latitude (S)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Longitude (E)</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41°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42°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42°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44°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41°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44° 00'</w:t>
            </w:r>
          </w:p>
        </w:tc>
      </w:tr>
    </w:tbl>
    <w:p>
      <w:pPr>
        <w:shd w:val="clear" w:color="auto" w:fill="FFFFFF"/>
        <w:spacing w:after="0" w:line="312" w:lineRule="atLeast"/>
        <w:rPr>
          <w:rFonts w:eastAsia="Times New Roman"/>
          <w:noProof/>
          <w:color w:val="444444"/>
          <w:szCs w:val="24"/>
        </w:rPr>
      </w:pPr>
      <w:r>
        <w:rPr>
          <w:noProof/>
          <w:color w:val="444444"/>
          <w:szCs w:val="24"/>
        </w:rPr>
        <w:t>Fools Flat</w:t>
      </w:r>
    </w:p>
    <w:p>
      <w:pPr>
        <w:shd w:val="clear" w:color="auto" w:fill="FFFFFF"/>
        <w:spacing w:before="0" w:after="0" w:line="312" w:lineRule="atLeast"/>
        <w:jc w:val="left"/>
        <w:rPr>
          <w:rFonts w:eastAsia="Times New Roman"/>
          <w:noProof/>
          <w:color w:val="444444"/>
          <w:szCs w:val="24"/>
          <w:lang w:eastAsia="fr-BE"/>
        </w:rPr>
      </w:pPr>
    </w:p>
    <w:p>
      <w:pPr>
        <w:shd w:val="clear" w:color="auto" w:fill="FFFFFF"/>
        <w:spacing w:before="0" w:after="0" w:line="312" w:lineRule="atLeast"/>
        <w:jc w:val="center"/>
        <w:rPr>
          <w:rFonts w:eastAsia="Times New Roman"/>
          <w:noProof/>
          <w:color w:val="444444"/>
          <w:szCs w:val="24"/>
          <w:lang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567"/>
        <w:gridCol w:w="1214"/>
        <w:gridCol w:w="1413"/>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Point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Latitude (S)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Longitude (E)</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31° 30'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94° 40'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94° 40'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95°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31° 30'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95° 00'</w:t>
            </w:r>
          </w:p>
        </w:tc>
      </w:tr>
    </w:tbl>
    <w:p>
      <w:pPr>
        <w:shd w:val="clear" w:color="auto" w:fill="FFFFFF"/>
        <w:spacing w:after="0" w:line="312" w:lineRule="atLeast"/>
        <w:rPr>
          <w:rFonts w:eastAsia="Times New Roman"/>
          <w:noProof/>
          <w:color w:val="444444"/>
          <w:szCs w:val="24"/>
        </w:rPr>
      </w:pPr>
      <w:r>
        <w:rPr>
          <w:noProof/>
          <w:color w:val="444444"/>
          <w:szCs w:val="24"/>
        </w:rPr>
        <w:t>Middle of What</w:t>
      </w:r>
    </w:p>
    <w:p>
      <w:pPr>
        <w:shd w:val="clear" w:color="auto" w:fill="FFFFFF"/>
        <w:spacing w:before="0" w:after="0" w:line="312" w:lineRule="atLeast"/>
        <w:jc w:val="left"/>
        <w:rPr>
          <w:rFonts w:eastAsia="Times New Roman"/>
          <w:noProof/>
          <w:color w:val="444444"/>
          <w:szCs w:val="24"/>
          <w:lang w:eastAsia="fr-BE"/>
        </w:rPr>
      </w:pPr>
    </w:p>
    <w:p>
      <w:pPr>
        <w:shd w:val="clear" w:color="auto" w:fill="FFFFFF"/>
        <w:spacing w:before="0" w:after="0" w:line="312" w:lineRule="atLeast"/>
        <w:jc w:val="center"/>
        <w:rPr>
          <w:rFonts w:eastAsia="Times New Roman"/>
          <w:noProof/>
          <w:color w:val="444444"/>
          <w:szCs w:val="24"/>
          <w:lang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567"/>
        <w:gridCol w:w="1214"/>
        <w:gridCol w:w="1413"/>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Point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Latitude (S)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Longitude (E)</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37° 54'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50° 23'</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37° 56.5'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50° 23'</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37° 56.5'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50° 27'</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37° 54'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50° 27'</w:t>
            </w:r>
          </w:p>
        </w:tc>
      </w:tr>
    </w:tbl>
    <w:p>
      <w:pPr>
        <w:shd w:val="clear" w:color="auto" w:fill="FFFFFF"/>
        <w:spacing w:after="0" w:line="312" w:lineRule="atLeast"/>
        <w:rPr>
          <w:rFonts w:eastAsia="Times New Roman"/>
          <w:noProof/>
          <w:color w:val="444444"/>
          <w:szCs w:val="24"/>
        </w:rPr>
      </w:pPr>
      <w:r>
        <w:rPr>
          <w:noProof/>
          <w:color w:val="444444"/>
          <w:szCs w:val="24"/>
        </w:rPr>
        <w:t>Walter’s Shoal</w:t>
      </w:r>
    </w:p>
    <w:p>
      <w:pPr>
        <w:shd w:val="clear" w:color="auto" w:fill="FFFFFF"/>
        <w:spacing w:before="0" w:after="0" w:line="312" w:lineRule="atLeast"/>
        <w:jc w:val="left"/>
        <w:rPr>
          <w:rFonts w:eastAsia="Times New Roman"/>
          <w:noProof/>
          <w:color w:val="444444"/>
          <w:szCs w:val="24"/>
          <w:lang w:eastAsia="fr-BE"/>
        </w:rPr>
      </w:pPr>
    </w:p>
    <w:p>
      <w:pPr>
        <w:shd w:val="clear" w:color="auto" w:fill="FFFFFF"/>
        <w:spacing w:before="0" w:after="0" w:line="312" w:lineRule="atLeast"/>
        <w:jc w:val="center"/>
        <w:rPr>
          <w:rFonts w:eastAsia="Times New Roman"/>
          <w:noProof/>
          <w:color w:val="444444"/>
          <w:szCs w:val="24"/>
          <w:lang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567"/>
        <w:gridCol w:w="1214"/>
        <w:gridCol w:w="1413"/>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Point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Latitude (S)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Longitude (E)</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33°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43° 10'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33° 20'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43° 10'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33° 20'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44° 10'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33°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44° 10'</w:t>
            </w:r>
          </w:p>
        </w:tc>
      </w:tr>
    </w:tbl>
    <w:p>
      <w:pPr>
        <w:pStyle w:val="Lignefinal"/>
        <w:rPr>
          <w:noProof/>
        </w:rPr>
      </w:pPr>
    </w:p>
    <w:p>
      <w:pPr>
        <w:spacing w:before="0" w:after="0"/>
        <w:rPr>
          <w:noProof/>
        </w:rPr>
        <w:sectPr>
          <w:pgSz w:w="11907" w:h="16839"/>
          <w:pgMar w:top="1134" w:right="1134" w:bottom="1134" w:left="1134" w:header="567" w:footer="567" w:gutter="0"/>
          <w:pgNumType w:start="113"/>
          <w:cols w:space="720"/>
          <w:docGrid w:linePitch="326"/>
        </w:sectPr>
      </w:pPr>
    </w:p>
    <w:p>
      <w:pPr>
        <w:jc w:val="center"/>
        <w:rPr>
          <w:b/>
          <w:noProof/>
        </w:rPr>
      </w:pPr>
      <w:r>
        <w:rPr>
          <w:b/>
          <w:noProof/>
        </w:rPr>
        <w:t>ANNEXE IL</w:t>
      </w:r>
    </w:p>
    <w:p>
      <w:pPr>
        <w:pStyle w:val="NormalCentered"/>
        <w:rPr>
          <w:noProof/>
        </w:rPr>
      </w:pPr>
      <w:r>
        <w:rPr>
          <w:noProof/>
        </w:rPr>
        <w:t>ZONE DE LA CONVENTION CITT</w:t>
      </w:r>
    </w:p>
    <w:tbl>
      <w:tblPr>
        <w:tblW w:w="5000" w:type="pct"/>
        <w:tblCellMar>
          <w:left w:w="0" w:type="dxa"/>
          <w:right w:w="0" w:type="dxa"/>
        </w:tblCellMar>
        <w:tblLook w:val="04A0" w:firstRow="1" w:lastRow="0" w:firstColumn="1" w:lastColumn="0" w:noHBand="0" w:noVBand="1"/>
      </w:tblPr>
      <w:tblGrid>
        <w:gridCol w:w="1809"/>
        <w:gridCol w:w="1985"/>
        <w:gridCol w:w="708"/>
        <w:gridCol w:w="1133"/>
        <w:gridCol w:w="4220"/>
      </w:tblGrid>
      <w:tr>
        <w:trPr>
          <w:trHeight w:val="227"/>
        </w:trPr>
        <w:tc>
          <w:tcPr>
            <w:tcW w:w="918" w:type="pct"/>
            <w:tcBorders>
              <w:top w:val="single" w:sz="8" w:space="0" w:color="auto"/>
              <w:left w:val="nil"/>
              <w:bottom w:val="single" w:sz="8" w:space="0" w:color="000000"/>
              <w:right w:val="nil"/>
            </w:tcBorders>
            <w:shd w:val="clear" w:color="auto" w:fill="FFFFFF"/>
            <w:tcMar>
              <w:top w:w="0" w:type="dxa"/>
              <w:left w:w="108" w:type="dxa"/>
              <w:bottom w:w="0" w:type="dxa"/>
              <w:right w:w="108" w:type="dxa"/>
            </w:tcMar>
            <w:hideMark/>
          </w:tcPr>
          <w:p>
            <w:pPr>
              <w:spacing w:before="60" w:after="60"/>
              <w:rPr>
                <w:noProof/>
              </w:rPr>
            </w:pPr>
            <w:r>
              <w:rPr>
                <w:noProof/>
              </w:rPr>
              <w:t>Espèce:</w:t>
            </w:r>
          </w:p>
        </w:tc>
        <w:tc>
          <w:tcPr>
            <w:tcW w:w="1366" w:type="pct"/>
            <w:gridSpan w:val="2"/>
            <w:tcBorders>
              <w:top w:val="single" w:sz="8" w:space="0" w:color="auto"/>
              <w:left w:val="nil"/>
              <w:bottom w:val="single" w:sz="8" w:space="0" w:color="000000"/>
              <w:right w:val="single" w:sz="8" w:space="0" w:color="auto"/>
            </w:tcBorders>
            <w:shd w:val="clear" w:color="auto" w:fill="FFFFFF"/>
            <w:tcMar>
              <w:top w:w="0" w:type="dxa"/>
              <w:left w:w="108" w:type="dxa"/>
              <w:bottom w:w="0" w:type="dxa"/>
              <w:right w:w="108" w:type="dxa"/>
            </w:tcMar>
            <w:hideMark/>
          </w:tcPr>
          <w:p>
            <w:pPr>
              <w:spacing w:before="60" w:after="60"/>
              <w:rPr>
                <w:noProof/>
              </w:rPr>
            </w:pPr>
            <w:r>
              <w:rPr>
                <w:noProof/>
              </w:rPr>
              <w:t>Thon obèse</w:t>
            </w:r>
          </w:p>
          <w:p>
            <w:pPr>
              <w:spacing w:before="60" w:after="60"/>
              <w:rPr>
                <w:i/>
                <w:iCs/>
                <w:noProof/>
              </w:rPr>
            </w:pPr>
            <w:r>
              <w:rPr>
                <w:i/>
                <w:iCs/>
                <w:noProof/>
              </w:rPr>
              <w:t>Thunnus obesus</w:t>
            </w:r>
          </w:p>
        </w:tc>
        <w:tc>
          <w:tcPr>
            <w:tcW w:w="575" w:type="pct"/>
            <w:tcBorders>
              <w:top w:val="single" w:sz="8" w:space="0" w:color="auto"/>
              <w:left w:val="nil"/>
              <w:bottom w:val="single" w:sz="8" w:space="0" w:color="000000"/>
              <w:right w:val="nil"/>
            </w:tcBorders>
            <w:shd w:val="clear" w:color="auto" w:fill="FFFFFF"/>
            <w:tcMar>
              <w:top w:w="0" w:type="dxa"/>
              <w:left w:w="108" w:type="dxa"/>
              <w:bottom w:w="0" w:type="dxa"/>
              <w:right w:w="108" w:type="dxa"/>
            </w:tcMar>
            <w:hideMark/>
          </w:tcPr>
          <w:p>
            <w:pPr>
              <w:spacing w:before="60" w:after="60"/>
              <w:rPr>
                <w:noProof/>
              </w:rPr>
            </w:pPr>
            <w:r>
              <w:rPr>
                <w:noProof/>
              </w:rPr>
              <w:t>Zone:</w:t>
            </w:r>
          </w:p>
        </w:tc>
        <w:tc>
          <w:tcPr>
            <w:tcW w:w="2141" w:type="pct"/>
            <w:tcBorders>
              <w:top w:val="single" w:sz="8" w:space="0" w:color="auto"/>
              <w:left w:val="nil"/>
              <w:bottom w:val="single" w:sz="8" w:space="0" w:color="000000"/>
              <w:right w:val="nil"/>
            </w:tcBorders>
            <w:shd w:val="clear" w:color="auto" w:fill="FFFFFF"/>
            <w:tcMar>
              <w:top w:w="0" w:type="dxa"/>
              <w:left w:w="108" w:type="dxa"/>
              <w:bottom w:w="0" w:type="dxa"/>
              <w:right w:w="108" w:type="dxa"/>
            </w:tcMar>
            <w:hideMark/>
          </w:tcPr>
          <w:p>
            <w:pPr>
              <w:spacing w:before="60" w:after="60"/>
              <w:rPr>
                <w:noProof/>
              </w:rPr>
            </w:pPr>
            <w:r>
              <w:rPr>
                <w:noProof/>
              </w:rPr>
              <w:t>Zone de la convention CITT</w:t>
            </w:r>
          </w:p>
          <w:p>
            <w:pPr>
              <w:spacing w:before="60" w:after="60"/>
              <w:rPr>
                <w:noProof/>
              </w:rPr>
            </w:pPr>
            <w:r>
              <w:rPr>
                <w:noProof/>
              </w:rPr>
              <w:t>(BET/IATTC)</w:t>
            </w:r>
          </w:p>
        </w:tc>
      </w:tr>
      <w:tr>
        <w:trPr>
          <w:trHeight w:val="227"/>
        </w:trPr>
        <w:tc>
          <w:tcPr>
            <w:tcW w:w="918" w:type="pct"/>
            <w:tcMar>
              <w:top w:w="0" w:type="dxa"/>
              <w:left w:w="108" w:type="dxa"/>
              <w:bottom w:w="0" w:type="dxa"/>
              <w:right w:w="108" w:type="dxa"/>
            </w:tcMar>
            <w:hideMark/>
          </w:tcPr>
          <w:p>
            <w:pPr>
              <w:spacing w:before="60" w:after="60"/>
              <w:rPr>
                <w:noProof/>
              </w:rPr>
            </w:pPr>
            <w:r>
              <w:rPr>
                <w:noProof/>
              </w:rPr>
              <w:t>Union</w:t>
            </w:r>
          </w:p>
        </w:tc>
        <w:tc>
          <w:tcPr>
            <w:tcW w:w="1007" w:type="pct"/>
            <w:tcMar>
              <w:top w:w="0" w:type="dxa"/>
              <w:left w:w="108" w:type="dxa"/>
              <w:bottom w:w="0" w:type="dxa"/>
              <w:right w:w="108" w:type="dxa"/>
            </w:tcMar>
            <w:hideMark/>
          </w:tcPr>
          <w:p>
            <w:pPr>
              <w:spacing w:before="60" w:after="60"/>
              <w:rPr>
                <w:noProof/>
              </w:rPr>
            </w:pPr>
            <w:r>
              <w:rPr>
                <w:rFonts w:asciiTheme="majorBidi" w:hAnsiTheme="majorBidi"/>
                <w:noProof/>
                <w:color w:val="000000"/>
              </w:rPr>
              <w:t>p.m.</w:t>
            </w:r>
          </w:p>
        </w:tc>
        <w:tc>
          <w:tcPr>
            <w:tcW w:w="359" w:type="pct"/>
            <w:tcMar>
              <w:top w:w="0" w:type="dxa"/>
              <w:left w:w="108" w:type="dxa"/>
              <w:bottom w:w="0" w:type="dxa"/>
              <w:right w:w="108" w:type="dxa"/>
            </w:tcMar>
            <w:hideMark/>
          </w:tcPr>
          <w:p>
            <w:pPr>
              <w:spacing w:before="60" w:after="60"/>
              <w:rPr>
                <w:b/>
                <w:bCs/>
                <w:noProof/>
                <w:vertAlign w:val="superscript"/>
              </w:rPr>
            </w:pPr>
            <w:r>
              <w:rPr>
                <w:b/>
                <w:bCs/>
                <w:noProof/>
                <w:vertAlign w:val="superscript"/>
              </w:rPr>
              <w:t>(1)</w:t>
            </w:r>
          </w:p>
        </w:tc>
        <w:tc>
          <w:tcPr>
            <w:tcW w:w="2716" w:type="pct"/>
            <w:gridSpan w:val="2"/>
            <w:vMerge w:val="restart"/>
            <w:tcMar>
              <w:top w:w="0" w:type="dxa"/>
              <w:left w:w="108" w:type="dxa"/>
              <w:bottom w:w="0" w:type="dxa"/>
              <w:right w:w="108" w:type="dxa"/>
            </w:tcMar>
            <w:hideMark/>
          </w:tcPr>
          <w:p>
            <w:pPr>
              <w:spacing w:before="60" w:after="60"/>
              <w:rPr>
                <w:noProof/>
              </w:rPr>
            </w:pPr>
            <w:r>
              <w:rPr>
                <w:noProof/>
              </w:rPr>
              <w:t>TAC de précaution</w:t>
            </w:r>
          </w:p>
        </w:tc>
      </w:tr>
      <w:tr>
        <w:trPr>
          <w:trHeight w:val="227"/>
        </w:trPr>
        <w:tc>
          <w:tcPr>
            <w:tcW w:w="918" w:type="pct"/>
            <w:tcMar>
              <w:top w:w="0" w:type="dxa"/>
              <w:left w:w="108" w:type="dxa"/>
              <w:bottom w:w="0" w:type="dxa"/>
              <w:right w:w="108" w:type="dxa"/>
            </w:tcMar>
            <w:hideMark/>
          </w:tcPr>
          <w:p>
            <w:pPr>
              <w:spacing w:before="60" w:after="60"/>
              <w:rPr>
                <w:noProof/>
              </w:rPr>
            </w:pPr>
            <w:r>
              <w:rPr>
                <w:noProof/>
              </w:rPr>
              <w:t>TAC</w:t>
            </w:r>
          </w:p>
        </w:tc>
        <w:tc>
          <w:tcPr>
            <w:tcW w:w="1007" w:type="pct"/>
            <w:tcMar>
              <w:top w:w="0" w:type="dxa"/>
              <w:left w:w="108" w:type="dxa"/>
              <w:bottom w:w="0" w:type="dxa"/>
              <w:right w:w="108" w:type="dxa"/>
            </w:tcMar>
            <w:hideMark/>
          </w:tcPr>
          <w:p>
            <w:pPr>
              <w:spacing w:before="60" w:after="60"/>
              <w:rPr>
                <w:noProof/>
              </w:rPr>
            </w:pPr>
            <w:r>
              <w:rPr>
                <w:noProof/>
              </w:rPr>
              <w:t>Sans objet</w:t>
            </w:r>
          </w:p>
        </w:tc>
        <w:tc>
          <w:tcPr>
            <w:tcW w:w="359" w:type="pct"/>
            <w:tcMar>
              <w:top w:w="0" w:type="dxa"/>
              <w:left w:w="108" w:type="dxa"/>
              <w:bottom w:w="0" w:type="dxa"/>
              <w:right w:w="108" w:type="dxa"/>
            </w:tcMar>
          </w:tcPr>
          <w:p>
            <w:pPr>
              <w:spacing w:before="60" w:after="60"/>
              <w:rPr>
                <w:noProof/>
              </w:rPr>
            </w:pPr>
          </w:p>
        </w:tc>
        <w:tc>
          <w:tcPr>
            <w:tcW w:w="0" w:type="auto"/>
            <w:gridSpan w:val="2"/>
            <w:vMerge/>
            <w:vAlign w:val="center"/>
            <w:hideMark/>
          </w:tcPr>
          <w:p>
            <w:pPr>
              <w:spacing w:before="0" w:after="0"/>
              <w:rPr>
                <w:noProof/>
                <w:szCs w:val="24"/>
              </w:rPr>
            </w:pPr>
          </w:p>
        </w:tc>
      </w:tr>
      <w:tr>
        <w:trPr>
          <w:trHeight w:val="227"/>
        </w:trPr>
        <w:tc>
          <w:tcPr>
            <w:tcW w:w="918" w:type="pct"/>
            <w:tcBorders>
              <w:top w:val="nil"/>
              <w:left w:val="nil"/>
              <w:bottom w:val="single" w:sz="8" w:space="0" w:color="auto"/>
              <w:right w:val="nil"/>
            </w:tcBorders>
            <w:tcMar>
              <w:top w:w="0" w:type="dxa"/>
              <w:left w:w="108" w:type="dxa"/>
              <w:bottom w:w="0" w:type="dxa"/>
              <w:right w:w="108" w:type="dxa"/>
            </w:tcMar>
            <w:hideMark/>
          </w:tcPr>
          <w:p>
            <w:pPr>
              <w:spacing w:before="60" w:after="60"/>
              <w:jc w:val="right"/>
              <w:rPr>
                <w:b/>
                <w:bCs/>
                <w:noProof/>
                <w:vertAlign w:val="superscript"/>
              </w:rPr>
            </w:pPr>
            <w:r>
              <w:rPr>
                <w:b/>
                <w:bCs/>
                <w:noProof/>
                <w:vertAlign w:val="superscript"/>
              </w:rPr>
              <w:t>(1)</w:t>
            </w:r>
          </w:p>
        </w:tc>
        <w:tc>
          <w:tcPr>
            <w:tcW w:w="4082" w:type="pct"/>
            <w:gridSpan w:val="4"/>
            <w:tcBorders>
              <w:top w:val="nil"/>
              <w:left w:val="nil"/>
              <w:bottom w:val="single" w:sz="8" w:space="0" w:color="auto"/>
              <w:right w:val="nil"/>
            </w:tcBorders>
            <w:tcMar>
              <w:top w:w="0" w:type="dxa"/>
              <w:left w:w="108" w:type="dxa"/>
              <w:bottom w:w="0" w:type="dxa"/>
              <w:right w:w="108" w:type="dxa"/>
            </w:tcMar>
            <w:hideMark/>
          </w:tcPr>
          <w:p>
            <w:pPr>
              <w:spacing w:before="60" w:after="60"/>
              <w:rPr>
                <w:noProof/>
              </w:rPr>
            </w:pPr>
            <w:r>
              <w:rPr>
                <w:noProof/>
              </w:rPr>
              <w:t>Ce quota peut être pêché uniquement par des navires utilisant des palangres.</w:t>
            </w:r>
          </w:p>
        </w:tc>
      </w:tr>
    </w:tbl>
    <w:p>
      <w:pPr>
        <w:rPr>
          <w:noProof/>
        </w:rPr>
      </w:pPr>
    </w:p>
    <w:sectPr>
      <w:pgSz w:w="11907" w:h="16840" w:code="9"/>
      <w:pgMar w:top="1134" w:right="1134" w:bottom="1134" w:left="1134" w:header="567" w:footer="56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altName w:val="Yu Gothic"/>
    <w:charset w:val="80"/>
    <w:family w:val="swiss"/>
    <w:pitch w:val="variable"/>
  </w:font>
  <w:font w:name="WenQuanYi Micro Hei">
    <w:charset w:val="80"/>
    <w:family w:val="auto"/>
    <w:pitch w:val="variable"/>
  </w:font>
  <w:font w:name="Lohit Hindi">
    <w:altName w:val="MS Gothic"/>
    <w:charset w:val="80"/>
    <w:family w:val="auto"/>
    <w:pitch w:val="variable"/>
  </w:font>
  <w:font w:name="EUAlbertina">
    <w:altName w:val="EU Albertina"/>
    <w:charset w:val="00"/>
    <w:family w:val="roman"/>
    <w:pitch w:val="default"/>
    <w:sig w:usb0="00000003" w:usb1="08070000" w:usb2="00000010" w:usb3="00000000" w:csb0="0002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rPr>
        <w:rFonts w:ascii="Arial" w:hAnsi="Arial" w:cs="Arial"/>
        <w:b/>
        <w:sz w:val="48"/>
      </w:rPr>
      <w:tab/>
    </w:r>
    <w:r>
      <w:tab/>
    </w:r>
    <w:r>
      <w:rPr>
        <w:rFonts w:ascii="Arial" w:hAnsi="Arial" w:cs="Arial"/>
        <w:b/>
        <w:sz w:val="48"/>
      </w:rPr>
      <w:t>FR</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1</w:t>
    </w:r>
    <w:r>
      <w:fldChar w:fldCharType="end"/>
    </w:r>
    <w:r>
      <w:tab/>
    </w:r>
    <w:r>
      <w:tab/>
    </w:r>
    <w:r>
      <w:rPr>
        <w:rFonts w:ascii="Arial" w:hAnsi="Arial" w:cs="Arial"/>
        <w:b/>
        <w:sz w:val="48"/>
      </w:rPr>
      <w:t>FR</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34921DBA"/>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0D1E7AC2"/>
    <w:lvl w:ilvl="0">
      <w:start w:val="1"/>
      <w:numFmt w:val="decimal"/>
      <w:pStyle w:val="ListNumber3"/>
      <w:lvlText w:val="%1."/>
      <w:lvlJc w:val="left"/>
      <w:pPr>
        <w:tabs>
          <w:tab w:val="num" w:pos="926"/>
        </w:tabs>
        <w:ind w:left="926" w:hanging="360"/>
      </w:pPr>
    </w:lvl>
  </w:abstractNum>
  <w:abstractNum w:abstractNumId="2">
    <w:nsid w:val="FFFFFF7F"/>
    <w:multiLevelType w:val="singleLevel"/>
    <w:tmpl w:val="B3D6BA24"/>
    <w:lvl w:ilvl="0">
      <w:start w:val="1"/>
      <w:numFmt w:val="decimal"/>
      <w:pStyle w:val="ListNumber2"/>
      <w:lvlText w:val="%1."/>
      <w:lvlJc w:val="left"/>
      <w:pPr>
        <w:tabs>
          <w:tab w:val="num" w:pos="643"/>
        </w:tabs>
        <w:ind w:left="643" w:hanging="360"/>
      </w:pPr>
    </w:lvl>
  </w:abstractNum>
  <w:abstractNum w:abstractNumId="3">
    <w:nsid w:val="FFFFFF88"/>
    <w:multiLevelType w:val="singleLevel"/>
    <w:tmpl w:val="7F1A6600"/>
    <w:lvl w:ilvl="0">
      <w:start w:val="1"/>
      <w:numFmt w:val="decimal"/>
      <w:pStyle w:val="ListNumber"/>
      <w:lvlText w:val="%1."/>
      <w:lvlJc w:val="left"/>
      <w:pPr>
        <w:tabs>
          <w:tab w:val="num" w:pos="360"/>
        </w:tabs>
        <w:ind w:left="360" w:hanging="360"/>
      </w:pPr>
    </w:lvl>
  </w:abstractNum>
  <w:abstractNum w:abstractNumId="4">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5">
    <w:nsid w:val="0E020591"/>
    <w:multiLevelType w:val="singleLevel"/>
    <w:tmpl w:val="65A27EB6"/>
    <w:name w:val="Dash Equal 0"/>
    <w:lvl w:ilvl="0">
      <w:start w:val="1"/>
      <w:numFmt w:val="bullet"/>
      <w:lvlRestart w:val="0"/>
      <w:pStyle w:val="DashEqual"/>
      <w:lvlText w:val="="/>
      <w:lvlJc w:val="left"/>
      <w:pPr>
        <w:tabs>
          <w:tab w:val="num" w:pos="567"/>
        </w:tabs>
        <w:ind w:left="567" w:hanging="567"/>
      </w:pPr>
    </w:lvl>
  </w:abstractNum>
  <w:abstractNum w:abstractNumId="6">
    <w:nsid w:val="0E200A09"/>
    <w:multiLevelType w:val="multilevel"/>
    <w:tmpl w:val="C8DEA596"/>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0F212747"/>
    <w:multiLevelType w:val="multilevel"/>
    <w:tmpl w:val="41247EF8"/>
    <w:lvl w:ilvl="0">
      <w:start w:val="4"/>
      <w:numFmt w:val="decimal"/>
      <w:lvlRestart w:val="0"/>
      <w:pStyle w:val="ListBullet"/>
      <w:lvlText w:val="%1."/>
      <w:lvlJc w:val="left"/>
      <w:pPr>
        <w:tabs>
          <w:tab w:val="num" w:pos="850"/>
        </w:tabs>
        <w:ind w:left="850" w:hanging="850"/>
      </w:pPr>
      <w:rPr>
        <w:rFonts w:cs="Times New Roman" w:hint="default"/>
      </w:rPr>
    </w:lvl>
    <w:lvl w:ilvl="1">
      <w:start w:val="1"/>
      <w:numFmt w:val="decimal"/>
      <w:pStyle w:val="ListBullet2"/>
      <w:lvlText w:val="%1.%2."/>
      <w:lvlJc w:val="left"/>
      <w:pPr>
        <w:tabs>
          <w:tab w:val="num" w:pos="850"/>
        </w:tabs>
        <w:ind w:left="850" w:hanging="850"/>
      </w:pPr>
      <w:rPr>
        <w:rFonts w:cs="Times New Roman" w:hint="default"/>
      </w:rPr>
    </w:lvl>
    <w:lvl w:ilvl="2">
      <w:start w:val="1"/>
      <w:numFmt w:val="decimal"/>
      <w:pStyle w:val="ListBullet3"/>
      <w:lvlText w:val="%1.%2.%3."/>
      <w:lvlJc w:val="left"/>
      <w:pPr>
        <w:tabs>
          <w:tab w:val="num" w:pos="850"/>
        </w:tabs>
        <w:ind w:left="850" w:hanging="850"/>
      </w:pPr>
      <w:rPr>
        <w:rFonts w:cs="Times New Roman" w:hint="default"/>
      </w:rPr>
    </w:lvl>
    <w:lvl w:ilvl="3">
      <w:start w:val="1"/>
      <w:numFmt w:val="decimal"/>
      <w:pStyle w:val="ListBullet4"/>
      <w:lvlText w:val="%1.%2.%3.%4."/>
      <w:lvlJc w:val="left"/>
      <w:pPr>
        <w:tabs>
          <w:tab w:val="num" w:pos="850"/>
        </w:tabs>
        <w:ind w:left="850" w:hanging="85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9">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1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nsid w:val="25085576"/>
    <w:multiLevelType w:val="singleLevel"/>
    <w:tmpl w:val="FFD2A502"/>
    <w:name w:val="Dash Equal 3"/>
    <w:lvl w:ilvl="0">
      <w:start w:val="1"/>
      <w:numFmt w:val="bullet"/>
      <w:lvlRestart w:val="0"/>
      <w:pStyle w:val="DashEqual3"/>
      <w:lvlText w:val="="/>
      <w:lvlJc w:val="left"/>
      <w:pPr>
        <w:tabs>
          <w:tab w:val="num" w:pos="2268"/>
        </w:tabs>
        <w:ind w:left="2268" w:hanging="567"/>
      </w:pPr>
    </w:lvl>
  </w:abstractNum>
  <w:abstractNum w:abstractNumId="12">
    <w:nsid w:val="253C316A"/>
    <w:multiLevelType w:val="multilevel"/>
    <w:tmpl w:val="A26EDDF0"/>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BD82C0C"/>
    <w:multiLevelType w:val="singleLevel"/>
    <w:tmpl w:val="7C183DDA"/>
    <w:name w:val="Dash Equal 2"/>
    <w:lvl w:ilvl="0">
      <w:start w:val="1"/>
      <w:numFmt w:val="bullet"/>
      <w:lvlRestart w:val="0"/>
      <w:pStyle w:val="DashEqual2"/>
      <w:lvlText w:val="="/>
      <w:lvlJc w:val="left"/>
      <w:pPr>
        <w:tabs>
          <w:tab w:val="num" w:pos="1701"/>
        </w:tabs>
        <w:ind w:left="1701" w:hanging="567"/>
      </w:pPr>
    </w:lvl>
  </w:abstractNum>
  <w:abstractNum w:abstractNumId="14">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5">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6">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17">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18">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3845653E"/>
    <w:multiLevelType w:val="singleLevel"/>
    <w:tmpl w:val="234EAC60"/>
    <w:name w:val="Dash Equal 1"/>
    <w:lvl w:ilvl="0">
      <w:start w:val="1"/>
      <w:numFmt w:val="bullet"/>
      <w:lvlRestart w:val="0"/>
      <w:pStyle w:val="DashEqual1"/>
      <w:lvlText w:val="="/>
      <w:lvlJc w:val="left"/>
      <w:pPr>
        <w:tabs>
          <w:tab w:val="num" w:pos="1134"/>
        </w:tabs>
        <w:ind w:left="1134" w:hanging="567"/>
      </w:pPr>
    </w:lvl>
  </w:abstractNum>
  <w:abstractNum w:abstractNumId="20">
    <w:nsid w:val="385710C1"/>
    <w:multiLevelType w:val="singleLevel"/>
    <w:tmpl w:val="FF3EB506"/>
    <w:name w:val="Dash 4"/>
    <w:lvl w:ilvl="0">
      <w:start w:val="1"/>
      <w:numFmt w:val="bullet"/>
      <w:lvlRestart w:val="0"/>
      <w:pStyle w:val="Dash4"/>
      <w:lvlText w:val="–"/>
      <w:lvlJc w:val="left"/>
      <w:pPr>
        <w:tabs>
          <w:tab w:val="num" w:pos="2835"/>
        </w:tabs>
        <w:ind w:left="2835" w:hanging="567"/>
      </w:pPr>
    </w:lvl>
  </w:abstractNum>
  <w:abstractNum w:abstractNumId="21">
    <w:nsid w:val="38F424D0"/>
    <w:multiLevelType w:val="multilevel"/>
    <w:tmpl w:val="48741C5E"/>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22">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23">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24">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25">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26">
    <w:nsid w:val="406F317F"/>
    <w:multiLevelType w:val="hybridMultilevel"/>
    <w:tmpl w:val="95AEE0C0"/>
    <w:lvl w:ilvl="0" w:tplc="E0AE324E">
      <w:start w:val="1"/>
      <w:numFmt w:val="decimal"/>
      <w:pStyle w:val="CMMLevel1"/>
      <w:lvlText w:val="%1."/>
      <w:lvlJc w:val="left"/>
      <w:pPr>
        <w:ind w:left="101" w:hanging="485"/>
      </w:pPr>
      <w:rPr>
        <w:rFonts w:ascii="Cambria" w:eastAsia="Cambria" w:hAnsi="Cambria" w:hint="default"/>
        <w:b w:val="0"/>
        <w:bCs/>
        <w:spacing w:val="-3"/>
        <w:w w:val="98"/>
        <w:sz w:val="22"/>
        <w:szCs w:val="22"/>
      </w:rPr>
    </w:lvl>
    <w:lvl w:ilvl="1" w:tplc="42CE450A">
      <w:start w:val="1"/>
      <w:numFmt w:val="lowerLetter"/>
      <w:lvlText w:val="(%2)"/>
      <w:lvlJc w:val="left"/>
      <w:pPr>
        <w:ind w:left="1291" w:hanging="327"/>
      </w:pPr>
      <w:rPr>
        <w:rFonts w:ascii="Cambria" w:eastAsia="Cambria" w:hAnsi="Cambria" w:hint="default"/>
        <w:w w:val="98"/>
        <w:sz w:val="22"/>
        <w:szCs w:val="22"/>
      </w:rPr>
    </w:lvl>
    <w:lvl w:ilvl="2" w:tplc="0C2C5C94">
      <w:start w:val="1"/>
      <w:numFmt w:val="lowerRoman"/>
      <w:lvlText w:val="%3."/>
      <w:lvlJc w:val="left"/>
      <w:pPr>
        <w:ind w:left="2000" w:hanging="359"/>
      </w:pPr>
      <w:rPr>
        <w:rFonts w:ascii="Cambria" w:eastAsia="Cambria" w:hAnsi="Cambria" w:hint="default"/>
        <w:spacing w:val="-3"/>
        <w:w w:val="98"/>
        <w:sz w:val="22"/>
        <w:szCs w:val="22"/>
      </w:rPr>
    </w:lvl>
    <w:lvl w:ilvl="3" w:tplc="22C416D6">
      <w:start w:val="1"/>
      <w:numFmt w:val="bullet"/>
      <w:lvlText w:val="•"/>
      <w:lvlJc w:val="left"/>
      <w:pPr>
        <w:ind w:left="1291" w:hanging="359"/>
      </w:pPr>
      <w:rPr>
        <w:rFonts w:hint="default"/>
      </w:rPr>
    </w:lvl>
    <w:lvl w:ilvl="4" w:tplc="5436EEBC">
      <w:start w:val="1"/>
      <w:numFmt w:val="bullet"/>
      <w:lvlText w:val="•"/>
      <w:lvlJc w:val="left"/>
      <w:pPr>
        <w:ind w:left="1291" w:hanging="359"/>
      </w:pPr>
      <w:rPr>
        <w:rFonts w:hint="default"/>
      </w:rPr>
    </w:lvl>
    <w:lvl w:ilvl="5" w:tplc="5380CE7E">
      <w:start w:val="1"/>
      <w:numFmt w:val="bullet"/>
      <w:lvlText w:val="•"/>
      <w:lvlJc w:val="left"/>
      <w:pPr>
        <w:ind w:left="1291" w:hanging="359"/>
      </w:pPr>
      <w:rPr>
        <w:rFonts w:hint="default"/>
      </w:rPr>
    </w:lvl>
    <w:lvl w:ilvl="6" w:tplc="4246E67A">
      <w:start w:val="1"/>
      <w:numFmt w:val="bullet"/>
      <w:lvlText w:val="•"/>
      <w:lvlJc w:val="left"/>
      <w:pPr>
        <w:ind w:left="1311" w:hanging="359"/>
      </w:pPr>
      <w:rPr>
        <w:rFonts w:hint="default"/>
      </w:rPr>
    </w:lvl>
    <w:lvl w:ilvl="7" w:tplc="5B647F4C">
      <w:start w:val="1"/>
      <w:numFmt w:val="bullet"/>
      <w:lvlText w:val="•"/>
      <w:lvlJc w:val="left"/>
      <w:pPr>
        <w:ind w:left="1311" w:hanging="359"/>
      </w:pPr>
      <w:rPr>
        <w:rFonts w:hint="default"/>
      </w:rPr>
    </w:lvl>
    <w:lvl w:ilvl="8" w:tplc="1B7CD95A">
      <w:start w:val="1"/>
      <w:numFmt w:val="bullet"/>
      <w:lvlText w:val="•"/>
      <w:lvlJc w:val="left"/>
      <w:pPr>
        <w:ind w:left="2000" w:hanging="359"/>
      </w:pPr>
      <w:rPr>
        <w:rFonts w:hint="default"/>
      </w:rPr>
    </w:lvl>
  </w:abstractNum>
  <w:abstractNum w:abstractNumId="2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8">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9">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30">
    <w:nsid w:val="43F67AF0"/>
    <w:multiLevelType w:val="singleLevel"/>
    <w:tmpl w:val="7DB04F0A"/>
    <w:name w:val="Dash 2"/>
    <w:lvl w:ilvl="0">
      <w:start w:val="1"/>
      <w:numFmt w:val="bullet"/>
      <w:lvlRestart w:val="0"/>
      <w:pStyle w:val="Dash2"/>
      <w:lvlText w:val="–"/>
      <w:lvlJc w:val="left"/>
      <w:pPr>
        <w:tabs>
          <w:tab w:val="num" w:pos="1701"/>
        </w:tabs>
        <w:ind w:left="1701" w:hanging="567"/>
      </w:pPr>
    </w:lvl>
  </w:abstractNum>
  <w:abstractNum w:abstractNumId="31">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32">
    <w:nsid w:val="47AB25E5"/>
    <w:multiLevelType w:val="singleLevel"/>
    <w:tmpl w:val="75164398"/>
    <w:name w:val="Dash 1"/>
    <w:lvl w:ilvl="0">
      <w:start w:val="1"/>
      <w:numFmt w:val="bullet"/>
      <w:lvlRestart w:val="0"/>
      <w:pStyle w:val="Dash1"/>
      <w:lvlText w:val="–"/>
      <w:lvlJc w:val="left"/>
      <w:pPr>
        <w:tabs>
          <w:tab w:val="num" w:pos="1134"/>
        </w:tabs>
        <w:ind w:left="1134" w:hanging="567"/>
      </w:pPr>
    </w:lvl>
  </w:abstractNum>
  <w:abstractNum w:abstractNumId="33">
    <w:nsid w:val="47C10D90"/>
    <w:multiLevelType w:val="singleLevel"/>
    <w:tmpl w:val="07C45670"/>
    <w:name w:val="Dash 3"/>
    <w:lvl w:ilvl="0">
      <w:start w:val="1"/>
      <w:numFmt w:val="bullet"/>
      <w:lvlRestart w:val="0"/>
      <w:pStyle w:val="Dash3"/>
      <w:lvlText w:val="–"/>
      <w:lvlJc w:val="left"/>
      <w:pPr>
        <w:tabs>
          <w:tab w:val="num" w:pos="2268"/>
        </w:tabs>
        <w:ind w:left="2268" w:hanging="567"/>
      </w:pPr>
    </w:lvl>
  </w:abstractNum>
  <w:abstractNum w:abstractNumId="34">
    <w:nsid w:val="4B013CF3"/>
    <w:multiLevelType w:val="singleLevel"/>
    <w:tmpl w:val="5D7CB33C"/>
    <w:lvl w:ilvl="0">
      <w:start w:val="1"/>
      <w:numFmt w:val="bullet"/>
      <w:pStyle w:val="Tiret00"/>
      <w:lvlText w:val="–"/>
      <w:lvlJc w:val="left"/>
      <w:pPr>
        <w:tabs>
          <w:tab w:val="num" w:pos="1417"/>
        </w:tabs>
        <w:ind w:left="1417" w:hanging="567"/>
      </w:pPr>
    </w:lvl>
  </w:abstractNum>
  <w:abstractNum w:abstractNumId="35">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36">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37">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8">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9">
    <w:nsid w:val="6278684C"/>
    <w:multiLevelType w:val="multilevel"/>
    <w:tmpl w:val="33AE034E"/>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42">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43">
    <w:nsid w:val="68AA1742"/>
    <w:multiLevelType w:val="singleLevel"/>
    <w:tmpl w:val="4F329520"/>
    <w:name w:val="Dash 0"/>
    <w:lvl w:ilvl="0">
      <w:start w:val="1"/>
      <w:numFmt w:val="bullet"/>
      <w:lvlRestart w:val="0"/>
      <w:pStyle w:val="Dash"/>
      <w:lvlText w:val="–"/>
      <w:lvlJc w:val="left"/>
      <w:pPr>
        <w:tabs>
          <w:tab w:val="num" w:pos="567"/>
        </w:tabs>
        <w:ind w:left="567" w:hanging="567"/>
      </w:pPr>
    </w:lvl>
  </w:abstractNum>
  <w:abstractNum w:abstractNumId="44">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45">
    <w:nsid w:val="7380518A"/>
    <w:multiLevelType w:val="singleLevel"/>
    <w:tmpl w:val="43DEF6E2"/>
    <w:name w:val="Dash Equal 4"/>
    <w:lvl w:ilvl="0">
      <w:start w:val="1"/>
      <w:numFmt w:val="bullet"/>
      <w:lvlRestart w:val="0"/>
      <w:pStyle w:val="DashEqual4"/>
      <w:lvlText w:val="="/>
      <w:lvlJc w:val="left"/>
      <w:pPr>
        <w:tabs>
          <w:tab w:val="num" w:pos="2835"/>
        </w:tabs>
        <w:ind w:left="2835" w:hanging="567"/>
      </w:pPr>
    </w:lvl>
  </w:abstractNum>
  <w:abstractNum w:abstractNumId="46">
    <w:nsid w:val="73EA208D"/>
    <w:multiLevelType w:val="singleLevel"/>
    <w:tmpl w:val="0A7218F6"/>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47">
    <w:nsid w:val="77280071"/>
    <w:multiLevelType w:val="multilevel"/>
    <w:tmpl w:val="39C25228"/>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8">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abstractNum w:abstractNumId="49">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43"/>
  </w:num>
  <w:num w:numId="2">
    <w:abstractNumId w:val="32"/>
  </w:num>
  <w:num w:numId="3">
    <w:abstractNumId w:val="30"/>
  </w:num>
  <w:num w:numId="4">
    <w:abstractNumId w:val="33"/>
  </w:num>
  <w:num w:numId="5">
    <w:abstractNumId w:val="20"/>
  </w:num>
  <w:num w:numId="6">
    <w:abstractNumId w:val="5"/>
  </w:num>
  <w:num w:numId="7">
    <w:abstractNumId w:val="19"/>
  </w:num>
  <w:num w:numId="8">
    <w:abstractNumId w:val="13"/>
  </w:num>
  <w:num w:numId="9">
    <w:abstractNumId w:val="11"/>
  </w:num>
  <w:num w:numId="10">
    <w:abstractNumId w:val="45"/>
  </w:num>
  <w:num w:numId="11">
    <w:abstractNumId w:val="46"/>
  </w:num>
  <w:num w:numId="12">
    <w:abstractNumId w:val="21"/>
  </w:num>
  <w:num w:numId="13">
    <w:abstractNumId w:val="39"/>
  </w:num>
  <w:num w:numId="14">
    <w:abstractNumId w:val="6"/>
  </w:num>
  <w:num w:numId="15">
    <w:abstractNumId w:val="47"/>
  </w:num>
  <w:num w:numId="16">
    <w:abstractNumId w:val="12"/>
  </w:num>
  <w:num w:numId="17">
    <w:abstractNumId w:val="3"/>
  </w:num>
  <w:num w:numId="18">
    <w:abstractNumId w:val="2"/>
  </w:num>
  <w:num w:numId="19">
    <w:abstractNumId w:val="1"/>
  </w:num>
  <w:num w:numId="20">
    <w:abstractNumId w:val="0"/>
  </w:num>
  <w:num w:numId="21">
    <w:abstractNumId w:val="7"/>
  </w:num>
  <w:num w:numId="22">
    <w:abstractNumId w:val="17"/>
  </w:num>
  <w:num w:numId="23">
    <w:abstractNumId w:val="24"/>
  </w:num>
  <w:num w:numId="24">
    <w:abstractNumId w:val="48"/>
  </w:num>
  <w:num w:numId="25">
    <w:abstractNumId w:val="9"/>
  </w:num>
  <w:num w:numId="26">
    <w:abstractNumId w:val="29"/>
  </w:num>
  <w:num w:numId="27">
    <w:abstractNumId w:val="22"/>
  </w:num>
  <w:num w:numId="28">
    <w:abstractNumId w:val="25"/>
  </w:num>
  <w:num w:numId="29">
    <w:abstractNumId w:val="44"/>
  </w:num>
  <w:num w:numId="30">
    <w:abstractNumId w:val="16"/>
  </w:num>
  <w:num w:numId="31">
    <w:abstractNumId w:val="4"/>
  </w:num>
  <w:num w:numId="32">
    <w:abstractNumId w:val="23"/>
  </w:num>
  <w:num w:numId="33">
    <w:abstractNumId w:val="41"/>
  </w:num>
  <w:num w:numId="34">
    <w:abstractNumId w:val="18"/>
  </w:num>
  <w:num w:numId="35">
    <w:abstractNumId w:val="26"/>
  </w:num>
  <w:num w:numId="36">
    <w:abstractNumId w:val="34"/>
  </w:num>
  <w:num w:numId="37">
    <w:abstractNumId w:val="38"/>
  </w:num>
  <w:num w:numId="38">
    <w:abstractNumId w:val="27"/>
  </w:num>
  <w:num w:numId="39">
    <w:abstractNumId w:val="42"/>
  </w:num>
  <w:num w:numId="40">
    <w:abstractNumId w:val="15"/>
  </w:num>
  <w:num w:numId="41">
    <w:abstractNumId w:val="28"/>
  </w:num>
  <w:num w:numId="42">
    <w:abstractNumId w:val="10"/>
  </w:num>
  <w:num w:numId="43">
    <w:abstractNumId w:val="40"/>
  </w:num>
  <w:num w:numId="44">
    <w:abstractNumId w:val="8"/>
  </w:num>
  <w:num w:numId="45">
    <w:abstractNumId w:val="31"/>
  </w:num>
  <w:num w:numId="46">
    <w:abstractNumId w:val="36"/>
  </w:num>
  <w:num w:numId="47">
    <w:abstractNumId w:val="37"/>
  </w:num>
  <w:num w:numId="48">
    <w:abstractNumId w:val="14"/>
  </w:num>
  <w:num w:numId="49">
    <w:abstractNumId w:val="35"/>
  </w:num>
  <w:num w:numId="50">
    <w:abstractNumId w:val="4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40"/>
  <w:displayBackgroundShape/>
  <w:hideSpellingErrors/>
  <w:hideGrammaticalErrors/>
  <w:attachedTemplate r:id="rId1"/>
  <w:revisionView w:markup="0"/>
  <w:defaultTabStop w:val="720"/>
  <w:hyphenationZone w:val="425"/>
  <w:characterSpacingControl w:val="doNotCompress"/>
  <w:hdrShapeDefaults>
    <o:shapedefaults v:ext="edit" spidmax="524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20-10-20 14:18:10"/>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11"/>
    <w:docVar w:name="DQCResult_StructureCheck" w:val="0;0"/>
    <w:docVar w:name="DQCResult_SuperfluousWhitespace" w:val="0;14"/>
    <w:docVar w:name="DQCResult_UnknownFonts" w:val="0;0"/>
    <w:docVar w:name="DQCResult_UnknownStyles" w:val="0;0"/>
    <w:docVar w:name="DQCStatus" w:val="Green"/>
    <w:docVar w:name="DQCVersion" w:val="3"/>
    <w:docVar w:name="DQCWithWarnings" w:val="0"/>
    <w:docVar w:name="LW_ACCOMPAGNANT" w:val="de la proposition de"/>
    <w:docVar w:name="LW_ACCOMPAGNANT.CP" w:val="de la proposition de"/>
    <w:docVar w:name="LW_ANNEX_NBR_FIRST" w:val="1"/>
    <w:docVar w:name="LW_ANNEX_NBR_LAST" w:val="1"/>
    <w:docVar w:name="LW_ANNEX_UNIQUE" w:val="0"/>
    <w:docVar w:name="LW_CORRIGENDUM" w:val="&lt;UNUSED&gt;"/>
    <w:docVar w:name="LW_COVERPAGE_EXISTS" w:val="True"/>
    <w:docVar w:name="LW_COVERPAGE_GUID" w:val="ED25F294-86E0-4A2C-AB03-3E011A3B9A5E"/>
    <w:docVar w:name="LW_COVERPAGE_TYPE" w:val="1"/>
    <w:docVar w:name="LW_CROSSREFERENCE" w:val="&lt;UNUSED&gt;"/>
    <w:docVar w:name="LW_DocType" w:val="ANNEX"/>
    <w:docVar w:name="LW_EMISSION" w:val="27.10.2020"/>
    <w:docVar w:name="LW_EMISSION_ISODATE" w:val="2020-10-27"/>
    <w:docVar w:name="LW_EMISSION_LOCATION" w:val="BRX"/>
    <w:docVar w:name="LW_EMISSION_PREFIX" w:val="Bruxelles, le "/>
    <w:docVar w:name="LW_EMISSION_SUFFIX" w:val=" "/>
    <w:docVar w:name="LW_ID_DOCSTRUCTURE" w:val="COM/ANNEX"/>
    <w:docVar w:name="LW_ID_DOCTYPE" w:val="SG-017"/>
    <w:docVar w:name="LW_LANGUE" w:val="FR"/>
    <w:docVar w:name="LW_LEVEL_OF_SENSITIVITY" w:val="Standard treatment"/>
    <w:docVar w:name="LW_NOM.INST" w:val="COMMISSION EUROPÉENNE"/>
    <w:docVar w:name="LW_NOM.INST_JOINTDOC" w:val="&lt;EMPTY&gt;"/>
    <w:docVar w:name="LW_OBJETACTEPRINCIPAL" w:val="établissant, pour 2021, les possibilités de pêche pour certains stocks halieutiques et groupes de stocks halieutiques, applicables dans les eaux de l\u8217?Union et, pour les navires de pêche de l\u8217?Union, dans certaines eaux n\u8217?appartenant pas à l\u8217?Union_x000b__x000b_"/>
    <w:docVar w:name="LW_OBJETACTEPRINCIPAL.CP" w:val="établissant, pour 2021, les possibilités de pêche pour certains stocks halieutiques et groupes de stocks halieutiques, applicables dans les eaux de l\u8217?Union et, pour les navires de pêche de l\u8217?Union, dans certaines eaux n\u8217?appartenant pas à l\u8217?Union_x000b__x000b_"/>
    <w:docVar w:name="LW_PART_NBR" w:val="1"/>
    <w:docVar w:name="LW_PART_NBR_TOTAL" w:val="1"/>
    <w:docVar w:name="LW_REF.INST.NEW" w:val="COM"/>
    <w:docVar w:name="LW_REF.INST.NEW_ADOPTED" w:val="final"/>
    <w:docVar w:name="LW_REF.INST.NEW_TEXT" w:val="(2020) 668"/>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 w:val="ANNEXE"/>
    <w:docVar w:name="LW_TYPE.DOC.CP" w:val="ANNEXE"/>
    <w:docVar w:name="LW_TYPEACTEPRINCIPAL" w:val="RÈGLEMENT DU CONSEIL"/>
    <w:docVar w:name="LW_TYPEACTEPRINCIPAL.CP" w:val="RÈGLEMENT DU CONSEIL"/>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24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caption"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pPr>
      <w:spacing w:before="120" w:after="120" w:line="240" w:lineRule="auto"/>
      <w:jc w:val="both"/>
    </w:pPr>
    <w:rPr>
      <w:rFonts w:ascii="Times New Roman" w:hAnsi="Times New Roman" w:cs="Times New Roman"/>
      <w:sz w:val="24"/>
      <w:lang w:val="fr-FR"/>
    </w:rPr>
  </w:style>
  <w:style w:type="paragraph" w:styleId="Heading1">
    <w:name w:val="heading 1"/>
    <w:basedOn w:val="Normal"/>
    <w:next w:val="Text1"/>
    <w:link w:val="Heading1Char"/>
    <w:uiPriority w:val="9"/>
    <w:qFormat/>
    <w:pPr>
      <w:keepNext/>
      <w:numPr>
        <w:numId w:val="43"/>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3"/>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3"/>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3"/>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unhideWhenUsed/>
    <w:rPr>
      <w:color w:val="800080"/>
      <w:u w:val="single"/>
    </w:rPr>
  </w:style>
  <w:style w:type="paragraph" w:customStyle="1" w:styleId="xl118">
    <w:name w:val="xl118"/>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19">
    <w:name w:val="xl119"/>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20">
    <w:name w:val="xl12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21">
    <w:name w:val="xl12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22">
    <w:name w:val="xl122"/>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23">
    <w:name w:val="xl123"/>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24">
    <w:name w:val="xl124"/>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125">
    <w:name w:val="xl125"/>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6">
    <w:name w:val="xl126"/>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127">
    <w:name w:val="xl127"/>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8">
    <w:name w:val="xl128"/>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129">
    <w:name w:val="xl129"/>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130">
    <w:name w:val="xl13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131">
    <w:name w:val="xl131"/>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2">
    <w:name w:val="xl13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33">
    <w:name w:val="xl133"/>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34">
    <w:name w:val="xl134"/>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35">
    <w:name w:val="xl135"/>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36">
    <w:name w:val="xl136"/>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137">
    <w:name w:val="xl137"/>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8">
    <w:name w:val="xl138"/>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39">
    <w:name w:val="xl139"/>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40">
    <w:name w:val="xl14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41">
    <w:name w:val="xl14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42">
    <w:name w:val="xl142"/>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3">
    <w:name w:val="xl143"/>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4">
    <w:name w:val="xl144"/>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45">
    <w:name w:val="xl145"/>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146">
    <w:name w:val="xl14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47">
    <w:name w:val="xl147"/>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48">
    <w:name w:val="xl148"/>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49">
    <w:name w:val="xl149"/>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50">
    <w:name w:val="xl150"/>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51">
    <w:name w:val="xl151"/>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52">
    <w:name w:val="xl152"/>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53">
    <w:name w:val="xl153"/>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4">
    <w:name w:val="xl154"/>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5">
    <w:name w:val="xl155"/>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156">
    <w:name w:val="xl15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57">
    <w:name w:val="xl15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4"/>
      <w:szCs w:val="14"/>
      <w:lang w:eastAsia="en-GB"/>
    </w:rPr>
  </w:style>
  <w:style w:type="paragraph" w:customStyle="1" w:styleId="xl158">
    <w:name w:val="xl1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59">
    <w:name w:val="xl15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60">
    <w:name w:val="xl16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1">
    <w:name w:val="xl16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162">
    <w:name w:val="xl16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3">
    <w:name w:val="xl16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64">
    <w:name w:val="xl16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165">
    <w:name w:val="xl16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166">
    <w:name w:val="xl16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67">
    <w:name w:val="xl16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68">
    <w:name w:val="xl16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69">
    <w:name w:val="xl16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70">
    <w:name w:val="xl17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1">
    <w:name w:val="xl17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72">
    <w:name w:val="xl17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73">
    <w:name w:val="xl17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74">
    <w:name w:val="xl17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75">
    <w:name w:val="xl17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76">
    <w:name w:val="xl17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7">
    <w:name w:val="xl17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78">
    <w:name w:val="xl17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79">
    <w:name w:val="xl17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0">
    <w:name w:val="xl18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1">
    <w:name w:val="xl18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82">
    <w:name w:val="xl18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3">
    <w:name w:val="xl18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84">
    <w:name w:val="xl18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85">
    <w:name w:val="xl18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186">
    <w:name w:val="xl18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87">
    <w:name w:val="xl18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88">
    <w:name w:val="xl18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9">
    <w:name w:val="xl18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0">
    <w:name w:val="xl19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1">
    <w:name w:val="xl19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92">
    <w:name w:val="xl19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3">
    <w:name w:val="xl19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94">
    <w:name w:val="xl19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95">
    <w:name w:val="xl1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6">
    <w:name w:val="xl19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7">
    <w:name w:val="xl19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98">
    <w:name w:val="xl19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199">
    <w:name w:val="xl19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00">
    <w:name w:val="xl20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1">
    <w:name w:val="xl20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2">
    <w:name w:val="xl20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3">
    <w:name w:val="xl20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4">
    <w:name w:val="xl20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5">
    <w:name w:val="xl205"/>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6">
    <w:name w:val="xl206"/>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07">
    <w:name w:val="xl207"/>
    <w:basedOn w:val="Normal"/>
    <w:uiPriority w:val="99"/>
    <w:pPr>
      <w:pBdr>
        <w:top w:val="single" w:sz="4" w:space="0" w:color="auto"/>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08">
    <w:name w:val="xl208"/>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9">
    <w:name w:val="xl209"/>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10">
    <w:name w:val="xl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1">
    <w:name w:val="xl211"/>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12">
    <w:name w:val="xl212"/>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13">
    <w:name w:val="xl213"/>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14">
    <w:name w:val="xl214"/>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15">
    <w:name w:val="xl21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6">
    <w:name w:val="xl21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17">
    <w:name w:val="xl217"/>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8">
    <w:name w:val="xl218"/>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19">
    <w:name w:val="xl21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0">
    <w:name w:val="xl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21">
    <w:name w:val="xl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2">
    <w:name w:val="xl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3">
    <w:name w:val="xl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24">
    <w:name w:val="xl224"/>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25">
    <w:name w:val="xl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26">
    <w:name w:val="xl22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27">
    <w:name w:val="xl22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8">
    <w:name w:val="xl22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9">
    <w:name w:val="xl229"/>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0">
    <w:name w:val="xl2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31">
    <w:name w:val="xl231"/>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32">
    <w:name w:val="xl232"/>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33">
    <w:name w:val="xl233"/>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4">
    <w:name w:val="xl234"/>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5">
    <w:name w:val="xl23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6">
    <w:name w:val="xl236"/>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37">
    <w:name w:val="xl237"/>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8">
    <w:name w:val="xl238"/>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9">
    <w:name w:val="xl239"/>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0">
    <w:name w:val="xl240"/>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41">
    <w:name w:val="xl241"/>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42">
    <w:name w:val="xl242"/>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3">
    <w:name w:val="xl243"/>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4">
    <w:name w:val="xl244"/>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5">
    <w:name w:val="xl24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6">
    <w:name w:val="xl246"/>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7">
    <w:name w:val="xl247"/>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8">
    <w:name w:val="xl248"/>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9">
    <w:name w:val="xl2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50">
    <w:name w:val="xl2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1">
    <w:name w:val="xl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2">
    <w:name w:val="xl252"/>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3">
    <w:name w:val="xl253"/>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54">
    <w:name w:val="xl254"/>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55">
    <w:name w:val="xl255"/>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56">
    <w:name w:val="xl25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57">
    <w:name w:val="xl25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8">
    <w:name w:val="xl2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59">
    <w:name w:val="xl259"/>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0">
    <w:name w:val="xl260"/>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1">
    <w:name w:val="xl261"/>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
    <w:name w:val="xl26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
    <w:name w:val="xl263"/>
    <w:basedOn w:val="Normal"/>
    <w:uiPriority w:val="99"/>
    <w:pPr>
      <w:spacing w:before="100" w:beforeAutospacing="1" w:after="100" w:afterAutospacing="1"/>
      <w:jc w:val="left"/>
    </w:pPr>
    <w:rPr>
      <w:rFonts w:eastAsia="Times New Roman"/>
      <w:sz w:val="18"/>
      <w:szCs w:val="18"/>
      <w:lang w:eastAsia="en-GB"/>
    </w:rPr>
  </w:style>
  <w:style w:type="paragraph" w:customStyle="1" w:styleId="xl264">
    <w:name w:val="xl264"/>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5">
    <w:name w:val="xl265"/>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6">
    <w:name w:val="xl266"/>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7">
    <w:name w:val="xl267"/>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8">
    <w:name w:val="xl268"/>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9">
    <w:name w:val="xl269"/>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0">
    <w:name w:val="xl270"/>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1">
    <w:name w:val="xl271"/>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2">
    <w:name w:val="xl2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73">
    <w:name w:val="xl273"/>
    <w:basedOn w:val="Normal"/>
    <w:uiPriority w:val="99"/>
    <w:pPr>
      <w:spacing w:before="100" w:beforeAutospacing="1" w:after="100" w:afterAutospacing="1"/>
      <w:jc w:val="right"/>
    </w:pPr>
    <w:rPr>
      <w:rFonts w:eastAsia="Times New Roman"/>
      <w:sz w:val="18"/>
      <w:szCs w:val="18"/>
      <w:lang w:eastAsia="en-GB"/>
    </w:rPr>
  </w:style>
  <w:style w:type="paragraph" w:customStyle="1" w:styleId="xl274">
    <w:name w:val="xl27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75">
    <w:name w:val="xl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76">
    <w:name w:val="xl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7">
    <w:name w:val="xl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78">
    <w:name w:val="xl27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79">
    <w:name w:val="xl279"/>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0">
    <w:name w:val="xl280"/>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81">
    <w:name w:val="xl281"/>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2">
    <w:name w:val="xl282"/>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3">
    <w:name w:val="xl283"/>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4">
    <w:name w:val="xl284"/>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5">
    <w:name w:val="xl285"/>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86">
    <w:name w:val="xl286"/>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7">
    <w:name w:val="xl287"/>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8">
    <w:name w:val="xl288"/>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89">
    <w:name w:val="xl289"/>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90">
    <w:name w:val="xl290"/>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91">
    <w:name w:val="xl291"/>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92">
    <w:name w:val="xl292"/>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93">
    <w:name w:val="xl29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94">
    <w:name w:val="xl294"/>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5">
    <w:name w:val="xl2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96">
    <w:name w:val="xl296"/>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7">
    <w:name w:val="xl297"/>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98">
    <w:name w:val="xl29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99">
    <w:name w:val="xl299"/>
    <w:basedOn w:val="Normal"/>
    <w:uiPriority w:val="99"/>
    <w:pPr>
      <w:spacing w:before="100" w:beforeAutospacing="1" w:after="100" w:afterAutospacing="1"/>
      <w:jc w:val="left"/>
      <w:textAlignment w:val="top"/>
    </w:pPr>
    <w:rPr>
      <w:rFonts w:eastAsia="Times New Roman"/>
      <w:color w:val="000000"/>
      <w:sz w:val="16"/>
      <w:szCs w:val="16"/>
      <w:lang w:eastAsia="en-GB"/>
    </w:rPr>
  </w:style>
  <w:style w:type="paragraph" w:styleId="BalloonText">
    <w:name w:val="Balloon Text"/>
    <w:basedOn w:val="Normal"/>
    <w:link w:val="BalloonTextChar"/>
    <w:uiPriority w:val="99"/>
    <w:pPr>
      <w:spacing w:before="0" w:after="0"/>
      <w:jc w:val="left"/>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fr-FR" w:eastAsia="en-GB"/>
    </w:rPr>
  </w:style>
  <w:style w:type="paragraph" w:customStyle="1" w:styleId="FooterCouncil">
    <w:name w:val="Footer Council"/>
    <w:basedOn w:val="Normal"/>
    <w:link w:val="FooterCouncilChar"/>
    <w:uiPriority w:val="99"/>
    <w:pPr>
      <w:spacing w:before="0" w:after="0"/>
      <w:jc w:val="left"/>
    </w:pPr>
    <w:rPr>
      <w:rFonts w:eastAsia="Times New Roman"/>
      <w:sz w:val="2"/>
      <w:szCs w:val="24"/>
    </w:rPr>
  </w:style>
  <w:style w:type="paragraph" w:customStyle="1" w:styleId="FooterText">
    <w:name w:val="Footer Text"/>
    <w:basedOn w:val="Normal"/>
    <w:uiPriority w:val="99"/>
    <w:pPr>
      <w:spacing w:before="0" w:after="0"/>
      <w:jc w:val="left"/>
    </w:pPr>
    <w:rPr>
      <w:rFonts w:eastAsia="Times New Roman"/>
      <w:szCs w:val="24"/>
    </w:rPr>
  </w:style>
  <w:style w:type="character" w:customStyle="1" w:styleId="FooterCouncilChar">
    <w:name w:val="Footer Council Char"/>
    <w:link w:val="FooterCouncil"/>
    <w:rPr>
      <w:rFonts w:ascii="Times New Roman" w:eastAsia="Times New Roman" w:hAnsi="Times New Roman" w:cs="Times New Roman"/>
      <w:sz w:val="2"/>
      <w:szCs w:val="24"/>
      <w:lang w:val="fr-FR"/>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uiPriority w:val="99"/>
    <w:pPr>
      <w:spacing w:before="0" w:after="0"/>
      <w:jc w:val="left"/>
    </w:pPr>
    <w:rPr>
      <w:rFonts w:eastAsia="Times New Roman"/>
      <w:sz w:val="20"/>
      <w:szCs w:val="20"/>
      <w:lang w:eastAsia="en-GB"/>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lang w:val="fr-FR" w:eastAsia="en-GB"/>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rFonts w:ascii="Times New Roman" w:eastAsia="Times New Roman" w:hAnsi="Times New Roman" w:cs="Times New Roman"/>
      <w:b/>
      <w:bCs/>
      <w:sz w:val="20"/>
      <w:szCs w:val="20"/>
      <w:lang w:val="fr-FR" w:eastAsia="en-GB"/>
    </w:rPr>
  </w:style>
  <w:style w:type="paragraph" w:customStyle="1" w:styleId="HeaderCouncil">
    <w:name w:val="Header Council"/>
    <w:basedOn w:val="Normal"/>
    <w:link w:val="HeaderCouncilChar"/>
    <w:uiPriority w:val="99"/>
    <w:pPr>
      <w:spacing w:before="0" w:after="0"/>
      <w:jc w:val="left"/>
    </w:pPr>
    <w:rPr>
      <w:rFonts w:eastAsia="Times New Roman"/>
      <w:sz w:val="2"/>
      <w:szCs w:val="24"/>
    </w:rPr>
  </w:style>
  <w:style w:type="paragraph" w:customStyle="1" w:styleId="TechnicalBlock">
    <w:name w:val="Technical Block"/>
    <w:basedOn w:val="Normal"/>
    <w:next w:val="Normal"/>
    <w:link w:val="TechnicalBlockChar"/>
    <w:uiPriority w:val="99"/>
    <w:pPr>
      <w:spacing w:before="0" w:after="240"/>
      <w:jc w:val="center"/>
    </w:pPr>
    <w:rPr>
      <w:rFonts w:eastAsia="Times New Roman"/>
      <w:szCs w:val="24"/>
    </w:rPr>
  </w:style>
  <w:style w:type="paragraph" w:customStyle="1" w:styleId="Annexetitreacte">
    <w:name w:val="Annexe titre (acte)"/>
    <w:basedOn w:val="Normal"/>
    <w:next w:val="Normal"/>
    <w:uiPriority w:val="99"/>
    <w:pPr>
      <w:spacing w:line="360" w:lineRule="auto"/>
      <w:jc w:val="center"/>
    </w:pPr>
    <w:rPr>
      <w:rFonts w:eastAsia="Times New Roman"/>
      <w:b/>
      <w:szCs w:val="24"/>
      <w:u w:val="single"/>
    </w:rPr>
  </w:style>
  <w:style w:type="paragraph" w:customStyle="1" w:styleId="Annexetitreglobale">
    <w:name w:val="Annexe titre (globale)"/>
    <w:basedOn w:val="Normal"/>
    <w:next w:val="Normal"/>
    <w:uiPriority w:val="99"/>
    <w:pPr>
      <w:spacing w:line="360" w:lineRule="auto"/>
      <w:jc w:val="center"/>
    </w:pPr>
    <w:rPr>
      <w:rFonts w:eastAsia="Times New Roman"/>
      <w:b/>
      <w:szCs w:val="24"/>
      <w:u w:val="single"/>
    </w:rPr>
  </w:style>
  <w:style w:type="paragraph" w:customStyle="1" w:styleId="Lignefinal">
    <w:name w:val="Ligne final"/>
    <w:basedOn w:val="Normal"/>
    <w:next w:val="Normal"/>
    <w:link w:val="LignefinalChar"/>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uiPriority w:val="99"/>
    <w:pPr>
      <w:spacing w:before="0" w:after="0" w:line="360" w:lineRule="auto"/>
      <w:ind w:left="5103"/>
      <w:jc w:val="left"/>
    </w:pPr>
    <w:rPr>
      <w:rFonts w:eastAsia="Times New Roman"/>
      <w:szCs w:val="24"/>
    </w:rPr>
  </w:style>
  <w:style w:type="paragraph" w:customStyle="1" w:styleId="EntLogo">
    <w:name w:val="EntLogo"/>
    <w:basedOn w:val="Normal"/>
    <w:uiPriority w:val="99"/>
    <w:pPr>
      <w:tabs>
        <w:tab w:val="right" w:pos="9639"/>
      </w:tabs>
      <w:spacing w:before="0" w:after="0" w:line="360" w:lineRule="auto"/>
      <w:jc w:val="left"/>
    </w:pPr>
    <w:rPr>
      <w:rFonts w:eastAsia="Times New Roman"/>
      <w:b/>
      <w:szCs w:val="24"/>
    </w:rPr>
  </w:style>
  <w:style w:type="paragraph" w:customStyle="1" w:styleId="EntInstit">
    <w:name w:val="EntInstit"/>
    <w:basedOn w:val="Normal"/>
    <w:uiPriority w:val="99"/>
    <w:pPr>
      <w:spacing w:before="0" w:after="0"/>
      <w:jc w:val="right"/>
    </w:pPr>
    <w:rPr>
      <w:rFonts w:eastAsia="Times New Roman"/>
      <w:b/>
      <w:szCs w:val="24"/>
    </w:rPr>
  </w:style>
  <w:style w:type="paragraph" w:customStyle="1" w:styleId="EntRefer">
    <w:name w:val="EntRefer"/>
    <w:basedOn w:val="Normal"/>
    <w:uiPriority w:val="99"/>
    <w:pPr>
      <w:spacing w:before="0" w:after="0"/>
      <w:jc w:val="left"/>
    </w:pPr>
    <w:rPr>
      <w:rFonts w:eastAsia="Times New Roman"/>
      <w:b/>
      <w:szCs w:val="24"/>
    </w:rPr>
  </w:style>
  <w:style w:type="paragraph" w:customStyle="1" w:styleId="EntEmet">
    <w:name w:val="EntEmet"/>
    <w:basedOn w:val="Normal"/>
    <w:uiPriority w:val="99"/>
    <w:pPr>
      <w:spacing w:before="40" w:after="0"/>
      <w:jc w:val="left"/>
    </w:pPr>
    <w:rPr>
      <w:rFonts w:eastAsia="Times New Roman"/>
      <w:szCs w:val="24"/>
    </w:rPr>
  </w:style>
  <w:style w:type="paragraph" w:customStyle="1" w:styleId="EntText">
    <w:name w:val="EntText"/>
    <w:basedOn w:val="Normal"/>
    <w:uiPriority w:val="99"/>
    <w:pPr>
      <w:spacing w:line="360" w:lineRule="auto"/>
      <w:jc w:val="left"/>
    </w:pPr>
    <w:rPr>
      <w:rFonts w:eastAsia="Times New Roman"/>
      <w:szCs w:val="24"/>
    </w:rPr>
  </w:style>
  <w:style w:type="paragraph" w:customStyle="1" w:styleId="EntEU">
    <w:name w:val="EntEU"/>
    <w:basedOn w:val="Normal"/>
    <w:uiPriority w:val="99"/>
    <w:pPr>
      <w:spacing w:before="240" w:after="240"/>
      <w:jc w:val="center"/>
    </w:pPr>
    <w:rPr>
      <w:rFonts w:eastAsia="Times New Roman"/>
      <w:b/>
      <w:sz w:val="36"/>
      <w:szCs w:val="24"/>
    </w:rPr>
  </w:style>
  <w:style w:type="paragraph" w:customStyle="1" w:styleId="EntASSOC">
    <w:name w:val="EntASSOC"/>
    <w:basedOn w:val="Normal"/>
    <w:uiPriority w:val="99"/>
    <w:pPr>
      <w:spacing w:before="0" w:after="0"/>
      <w:jc w:val="center"/>
    </w:pPr>
    <w:rPr>
      <w:rFonts w:eastAsia="Times New Roman"/>
      <w:b/>
      <w:szCs w:val="24"/>
    </w:rPr>
  </w:style>
  <w:style w:type="paragraph" w:customStyle="1" w:styleId="EntACP">
    <w:name w:val="EntACP"/>
    <w:basedOn w:val="Normal"/>
    <w:uiPriority w:val="99"/>
    <w:pPr>
      <w:spacing w:before="0" w:after="180"/>
      <w:jc w:val="center"/>
    </w:pPr>
    <w:rPr>
      <w:rFonts w:eastAsia="Times New Roman"/>
      <w:b/>
      <w:spacing w:val="40"/>
      <w:sz w:val="28"/>
      <w:szCs w:val="24"/>
    </w:rPr>
  </w:style>
  <w:style w:type="paragraph" w:customStyle="1" w:styleId="EntInstitACP">
    <w:name w:val="EntInstitACP"/>
    <w:basedOn w:val="Normal"/>
    <w:uiPriority w:val="99"/>
    <w:pPr>
      <w:spacing w:before="0" w:after="0"/>
      <w:jc w:val="center"/>
    </w:pPr>
    <w:rPr>
      <w:rFonts w:eastAsia="Times New Roman"/>
      <w:b/>
      <w:szCs w:val="24"/>
    </w:rPr>
  </w:style>
  <w:style w:type="paragraph" w:customStyle="1" w:styleId="Genredudocument">
    <w:name w:val="Genre du document"/>
    <w:basedOn w:val="EntRefer"/>
    <w:next w:val="EntRefer"/>
    <w:uiPriority w:val="99"/>
    <w:pPr>
      <w:spacing w:before="240"/>
    </w:pPr>
  </w:style>
  <w:style w:type="paragraph" w:customStyle="1" w:styleId="Accordtitre">
    <w:name w:val="Accord titre"/>
    <w:basedOn w:val="Normal"/>
    <w:uiPriority w:val="99"/>
    <w:pPr>
      <w:spacing w:before="0" w:after="0" w:line="360" w:lineRule="auto"/>
      <w:jc w:val="center"/>
    </w:pPr>
    <w:rPr>
      <w:rFonts w:eastAsia="Times New Roman"/>
      <w:szCs w:val="24"/>
    </w:rPr>
  </w:style>
  <w:style w:type="paragraph" w:customStyle="1" w:styleId="FooterAccord">
    <w:name w:val="Footer Accord"/>
    <w:basedOn w:val="Normal"/>
    <w:uiPriority w:val="99"/>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uiPriority w:val="99"/>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uiPriority w:val="99"/>
    <w:pPr>
      <w:keepNext/>
      <w:spacing w:before="600" w:line="360" w:lineRule="auto"/>
      <w:jc w:val="center"/>
    </w:pPr>
    <w:rPr>
      <w:rFonts w:eastAsia="Times New Roman"/>
      <w:i/>
      <w:szCs w:val="24"/>
    </w:rPr>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4"/>
    </w:rPr>
  </w:style>
  <w:style w:type="character" w:customStyle="1" w:styleId="LignefinalChar">
    <w:name w:val="Ligne final Char"/>
    <w:link w:val="Lignefinal"/>
    <w:rPr>
      <w:rFonts w:ascii="Times New Roman" w:eastAsia="Times New Roman" w:hAnsi="Times New Roman" w:cs="Times New Roman"/>
      <w:b/>
      <w:sz w:val="24"/>
      <w:szCs w:val="24"/>
      <w:lang w:val="fr-FR"/>
    </w:rPr>
  </w:style>
  <w:style w:type="character" w:customStyle="1" w:styleId="HeaderCouncilLargeChar">
    <w:name w:val="Header Council Large Char"/>
    <w:link w:val="HeaderCouncilLarge"/>
    <w:rPr>
      <w:rFonts w:ascii="Times New Roman" w:eastAsia="Times New Roman" w:hAnsi="Times New Roman" w:cs="Times New Roman"/>
      <w:sz w:val="2"/>
      <w:szCs w:val="24"/>
      <w:lang w:val="fr-FR"/>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outlineLvl w:val="4"/>
    </w:pPr>
    <w:rPr>
      <w:rFonts w:eastAsia="Times New Roman"/>
      <w:szCs w:val="24"/>
    </w:rPr>
  </w:style>
  <w:style w:type="paragraph" w:customStyle="1" w:styleId="Text6">
    <w:name w:val="Text 6"/>
    <w:basedOn w:val="Normal"/>
    <w:uiPriority w:val="99"/>
    <w:pPr>
      <w:spacing w:line="360" w:lineRule="auto"/>
      <w:ind w:left="3402"/>
      <w:jc w:val="left"/>
      <w:outlineLvl w:val="5"/>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outlineLvl w:val="0"/>
    </w:pPr>
    <w:rPr>
      <w:rFonts w:eastAsia="Times New Roman"/>
      <w:szCs w:val="24"/>
    </w:rPr>
  </w:style>
  <w:style w:type="paragraph" w:customStyle="1" w:styleId="PointManual2">
    <w:name w:val="Point Manual (2)"/>
    <w:basedOn w:val="Normal"/>
    <w:uiPriority w:val="99"/>
    <w:pPr>
      <w:spacing w:line="360" w:lineRule="auto"/>
      <w:ind w:left="1701" w:hanging="567"/>
      <w:jc w:val="left"/>
      <w:outlineLvl w:val="1"/>
    </w:pPr>
    <w:rPr>
      <w:rFonts w:eastAsia="Times New Roman"/>
      <w:szCs w:val="24"/>
    </w:rPr>
  </w:style>
  <w:style w:type="paragraph" w:customStyle="1" w:styleId="PointManual3">
    <w:name w:val="Point Manual (3)"/>
    <w:basedOn w:val="Normal"/>
    <w:uiPriority w:val="99"/>
    <w:pPr>
      <w:spacing w:line="360" w:lineRule="auto"/>
      <w:ind w:left="2268" w:hanging="567"/>
      <w:jc w:val="left"/>
      <w:outlineLvl w:val="2"/>
    </w:pPr>
    <w:rPr>
      <w:rFonts w:eastAsia="Times New Roman"/>
      <w:szCs w:val="24"/>
    </w:rPr>
  </w:style>
  <w:style w:type="paragraph" w:customStyle="1" w:styleId="PointManual4">
    <w:name w:val="Point Manual (4)"/>
    <w:basedOn w:val="Normal"/>
    <w:uiPriority w:val="99"/>
    <w:pPr>
      <w:spacing w:line="360" w:lineRule="auto"/>
      <w:ind w:left="2835" w:hanging="567"/>
      <w:jc w:val="left"/>
      <w:outlineLvl w:val="3"/>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outlineLvl w:val="0"/>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outlineLvl w:val="1"/>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outlineLvl w:val="2"/>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outlineLvl w:val="3"/>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outlineLvl w:val="0"/>
    </w:pPr>
    <w:rPr>
      <w:rFonts w:eastAsia="Times New Roman"/>
      <w:szCs w:val="24"/>
    </w:rPr>
  </w:style>
  <w:style w:type="paragraph" w:customStyle="1" w:styleId="Pointabc2">
    <w:name w:val="Point abc (2)"/>
    <w:basedOn w:val="Normal"/>
    <w:uiPriority w:val="99"/>
    <w:pPr>
      <w:numPr>
        <w:ilvl w:val="5"/>
        <w:numId w:val="12"/>
      </w:numPr>
      <w:spacing w:line="360" w:lineRule="auto"/>
      <w:jc w:val="left"/>
      <w:outlineLvl w:val="1"/>
    </w:pPr>
    <w:rPr>
      <w:rFonts w:eastAsia="Times New Roman"/>
      <w:szCs w:val="24"/>
    </w:rPr>
  </w:style>
  <w:style w:type="paragraph" w:customStyle="1" w:styleId="Pointabc3">
    <w:name w:val="Point abc (3)"/>
    <w:basedOn w:val="Normal"/>
    <w:uiPriority w:val="99"/>
    <w:pPr>
      <w:numPr>
        <w:ilvl w:val="7"/>
        <w:numId w:val="12"/>
      </w:numPr>
      <w:spacing w:line="360" w:lineRule="auto"/>
      <w:jc w:val="left"/>
      <w:outlineLvl w:val="2"/>
    </w:pPr>
    <w:rPr>
      <w:rFonts w:eastAsia="Times New Roman"/>
      <w:szCs w:val="24"/>
    </w:rPr>
  </w:style>
  <w:style w:type="paragraph" w:customStyle="1" w:styleId="Pointabc4">
    <w:name w:val="Point abc (4)"/>
    <w:basedOn w:val="Normal"/>
    <w:uiPriority w:val="99"/>
    <w:pPr>
      <w:numPr>
        <w:ilvl w:val="8"/>
        <w:numId w:val="12"/>
      </w:numPr>
      <w:spacing w:line="360" w:lineRule="auto"/>
      <w:jc w:val="left"/>
      <w:outlineLvl w:val="3"/>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outlineLvl w:val="0"/>
    </w:pPr>
    <w:rPr>
      <w:rFonts w:eastAsia="Times New Roman"/>
      <w:szCs w:val="24"/>
    </w:rPr>
  </w:style>
  <w:style w:type="paragraph" w:customStyle="1" w:styleId="Point1232">
    <w:name w:val="Point 123 (2)"/>
    <w:basedOn w:val="Normal"/>
    <w:uiPriority w:val="99"/>
    <w:pPr>
      <w:numPr>
        <w:ilvl w:val="4"/>
        <w:numId w:val="12"/>
      </w:numPr>
      <w:spacing w:line="360" w:lineRule="auto"/>
      <w:jc w:val="left"/>
      <w:outlineLvl w:val="1"/>
    </w:pPr>
    <w:rPr>
      <w:rFonts w:eastAsia="Times New Roman"/>
      <w:szCs w:val="24"/>
    </w:rPr>
  </w:style>
  <w:style w:type="paragraph" w:customStyle="1" w:styleId="Point1233">
    <w:name w:val="Point 123 (3)"/>
    <w:basedOn w:val="Normal"/>
    <w:uiPriority w:val="99"/>
    <w:pPr>
      <w:numPr>
        <w:ilvl w:val="6"/>
        <w:numId w:val="12"/>
      </w:numPr>
      <w:spacing w:line="360" w:lineRule="auto"/>
      <w:jc w:val="left"/>
      <w:outlineLvl w:val="2"/>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outlineLvl w:val="0"/>
    </w:pPr>
    <w:rPr>
      <w:rFonts w:eastAsia="Times New Roman"/>
      <w:szCs w:val="24"/>
    </w:rPr>
  </w:style>
  <w:style w:type="paragraph" w:customStyle="1" w:styleId="Pointivx2">
    <w:name w:val="Point ivx (2)"/>
    <w:basedOn w:val="Normal"/>
    <w:uiPriority w:val="99"/>
    <w:pPr>
      <w:numPr>
        <w:ilvl w:val="2"/>
        <w:numId w:val="13"/>
      </w:numPr>
      <w:spacing w:line="360" w:lineRule="auto"/>
      <w:jc w:val="left"/>
      <w:outlineLvl w:val="1"/>
    </w:pPr>
    <w:rPr>
      <w:rFonts w:eastAsia="Times New Roman"/>
      <w:szCs w:val="24"/>
    </w:rPr>
  </w:style>
  <w:style w:type="paragraph" w:customStyle="1" w:styleId="Pointivx3">
    <w:name w:val="Point ivx (3)"/>
    <w:basedOn w:val="Normal"/>
    <w:uiPriority w:val="99"/>
    <w:pPr>
      <w:numPr>
        <w:ilvl w:val="3"/>
        <w:numId w:val="13"/>
      </w:numPr>
      <w:spacing w:line="360" w:lineRule="auto"/>
      <w:jc w:val="left"/>
      <w:outlineLvl w:val="2"/>
    </w:pPr>
    <w:rPr>
      <w:rFonts w:eastAsia="Times New Roman"/>
      <w:szCs w:val="24"/>
    </w:rPr>
  </w:style>
  <w:style w:type="paragraph" w:customStyle="1" w:styleId="Pointivx4">
    <w:name w:val="Point ivx (4)"/>
    <w:basedOn w:val="Normal"/>
    <w:uiPriority w:val="99"/>
    <w:pPr>
      <w:numPr>
        <w:ilvl w:val="4"/>
        <w:numId w:val="13"/>
      </w:numPr>
      <w:spacing w:line="360" w:lineRule="auto"/>
      <w:jc w:val="left"/>
      <w:outlineLvl w:val="3"/>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outlineLvl w:val="0"/>
    </w:pPr>
    <w:rPr>
      <w:rFonts w:eastAsia="Times New Roman"/>
      <w:szCs w:val="24"/>
    </w:rPr>
  </w:style>
  <w:style w:type="paragraph" w:customStyle="1" w:styleId="Dash2">
    <w:name w:val="Dash 2"/>
    <w:basedOn w:val="Normal"/>
    <w:uiPriority w:val="99"/>
    <w:pPr>
      <w:numPr>
        <w:numId w:val="3"/>
      </w:numPr>
      <w:spacing w:line="360" w:lineRule="auto"/>
      <w:jc w:val="left"/>
      <w:outlineLvl w:val="1"/>
    </w:pPr>
    <w:rPr>
      <w:rFonts w:eastAsia="Times New Roman"/>
      <w:szCs w:val="24"/>
    </w:rPr>
  </w:style>
  <w:style w:type="paragraph" w:customStyle="1" w:styleId="Dash3">
    <w:name w:val="Dash 3"/>
    <w:basedOn w:val="Normal"/>
    <w:uiPriority w:val="99"/>
    <w:pPr>
      <w:numPr>
        <w:numId w:val="4"/>
      </w:numPr>
      <w:spacing w:line="360" w:lineRule="auto"/>
      <w:jc w:val="left"/>
      <w:outlineLvl w:val="2"/>
    </w:pPr>
    <w:rPr>
      <w:rFonts w:eastAsia="Times New Roman"/>
      <w:szCs w:val="24"/>
    </w:rPr>
  </w:style>
  <w:style w:type="paragraph" w:customStyle="1" w:styleId="Dash4">
    <w:name w:val="Dash 4"/>
    <w:basedOn w:val="Normal"/>
    <w:uiPriority w:val="99"/>
    <w:pPr>
      <w:numPr>
        <w:numId w:val="5"/>
      </w:numPr>
      <w:spacing w:line="360" w:lineRule="auto"/>
      <w:jc w:val="left"/>
      <w:outlineLvl w:val="3"/>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jc w:val="left"/>
    </w:pPr>
    <w:rPr>
      <w:rFonts w:eastAsia="Times New Roman"/>
      <w:szCs w:val="24"/>
    </w:rPr>
  </w:style>
  <w:style w:type="paragraph" w:customStyle="1" w:styleId="NotDeclassified">
    <w:name w:val="Not Declassified"/>
    <w:basedOn w:val="Normal"/>
    <w:uiPriority w:val="99"/>
    <w:qFormat/>
    <w:pPr>
      <w:spacing w:line="360" w:lineRule="auto"/>
      <w:jc w:val="left"/>
    </w:pPr>
    <w:rPr>
      <w:rFonts w:eastAsia="Times New Roman"/>
      <w:b/>
      <w:bCs/>
      <w:szCs w:val="24"/>
      <w:bdr w:val="single" w:sz="4" w:space="0" w:color="auto"/>
      <w:shd w:val="solid" w:color="CCCCCC" w:fill="CCCCCC"/>
    </w:rPr>
  </w:style>
  <w:style w:type="character" w:customStyle="1" w:styleId="TechnicalBlockChar">
    <w:name w:val="Technical Block Char"/>
    <w:link w:val="TechnicalBlock"/>
    <w:rPr>
      <w:rFonts w:ascii="Times New Roman" w:eastAsia="Times New Roman" w:hAnsi="Times New Roman" w:cs="Times New Roman"/>
      <w:sz w:val="24"/>
      <w:szCs w:val="24"/>
      <w:lang w:val="fr-FR"/>
    </w:rPr>
  </w:style>
  <w:style w:type="numbering" w:customStyle="1" w:styleId="NoList1">
    <w:name w:val="No List1"/>
    <w:next w:val="NoList"/>
    <w:uiPriority w:val="99"/>
    <w:semiHidden/>
    <w:unhideWhenUsed/>
  </w:style>
  <w:style w:type="paragraph" w:styleId="ListBullet">
    <w:name w:val="List Bullet"/>
    <w:basedOn w:val="Normal"/>
    <w:uiPriority w:val="99"/>
    <w:unhideWhenUsed/>
    <w:pPr>
      <w:numPr>
        <w:numId w:val="21"/>
      </w:numPr>
      <w:tabs>
        <w:tab w:val="clear" w:pos="850"/>
        <w:tab w:val="num" w:pos="360"/>
      </w:tabs>
      <w:ind w:left="360" w:hanging="360"/>
      <w:contextualSpacing/>
    </w:pPr>
    <w:rPr>
      <w:rFonts w:eastAsia="Calibri"/>
      <w:lang w:eastAsia="en-GB"/>
    </w:rPr>
  </w:style>
  <w:style w:type="paragraph" w:styleId="ListBullet2">
    <w:name w:val="List Bullet 2"/>
    <w:basedOn w:val="Normal"/>
    <w:uiPriority w:val="99"/>
    <w:unhideWhenUsed/>
    <w:pPr>
      <w:numPr>
        <w:ilvl w:val="1"/>
        <w:numId w:val="21"/>
      </w:numPr>
      <w:tabs>
        <w:tab w:val="clear" w:pos="850"/>
        <w:tab w:val="num" w:pos="360"/>
      </w:tabs>
      <w:ind w:left="0" w:firstLine="0"/>
      <w:contextualSpacing/>
    </w:pPr>
    <w:rPr>
      <w:rFonts w:eastAsia="Calibri"/>
      <w:lang w:eastAsia="en-GB"/>
    </w:rPr>
  </w:style>
  <w:style w:type="paragraph" w:styleId="ListBullet3">
    <w:name w:val="List Bullet 3"/>
    <w:basedOn w:val="Normal"/>
    <w:uiPriority w:val="99"/>
    <w:unhideWhenUsed/>
    <w:pPr>
      <w:numPr>
        <w:ilvl w:val="2"/>
        <w:numId w:val="21"/>
      </w:numPr>
      <w:tabs>
        <w:tab w:val="clear" w:pos="850"/>
        <w:tab w:val="num" w:pos="926"/>
      </w:tabs>
      <w:ind w:left="926" w:hanging="360"/>
      <w:contextualSpacing/>
    </w:pPr>
    <w:rPr>
      <w:rFonts w:eastAsia="Calibri"/>
      <w:lang w:eastAsia="en-GB"/>
    </w:rPr>
  </w:style>
  <w:style w:type="paragraph" w:styleId="ListBullet4">
    <w:name w:val="List Bullet 4"/>
    <w:basedOn w:val="Normal"/>
    <w:uiPriority w:val="99"/>
    <w:unhideWhenUsed/>
    <w:pPr>
      <w:numPr>
        <w:ilvl w:val="3"/>
        <w:numId w:val="21"/>
      </w:numPr>
      <w:tabs>
        <w:tab w:val="clear" w:pos="850"/>
        <w:tab w:val="num" w:pos="360"/>
      </w:tabs>
      <w:ind w:left="0" w:firstLine="0"/>
      <w:contextualSpacing/>
    </w:pPr>
    <w:rPr>
      <w:rFonts w:eastAsia="Calibri"/>
      <w:lang w:eastAsia="en-GB"/>
    </w:rPr>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fr-FR"/>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lang w:eastAsia="en-GB"/>
    </w:rPr>
  </w:style>
  <w:style w:type="paragraph" w:styleId="ListNumber">
    <w:name w:val="List Number"/>
    <w:basedOn w:val="Normal"/>
    <w:uiPriority w:val="99"/>
    <w:unhideWhenUsed/>
    <w:pPr>
      <w:numPr>
        <w:numId w:val="17"/>
      </w:numPr>
      <w:contextualSpacing/>
    </w:pPr>
    <w:rPr>
      <w:rFonts w:eastAsia="Calibri"/>
      <w:lang w:eastAsia="en-GB"/>
    </w:rPr>
  </w:style>
  <w:style w:type="paragraph" w:styleId="ListNumber2">
    <w:name w:val="List Number 2"/>
    <w:basedOn w:val="Normal"/>
    <w:uiPriority w:val="99"/>
    <w:unhideWhenUsed/>
    <w:pPr>
      <w:numPr>
        <w:numId w:val="18"/>
      </w:numPr>
      <w:contextualSpacing/>
    </w:pPr>
    <w:rPr>
      <w:rFonts w:eastAsia="Calibri"/>
      <w:lang w:eastAsia="en-GB"/>
    </w:rPr>
  </w:style>
  <w:style w:type="paragraph" w:styleId="ListNumber3">
    <w:name w:val="List Number 3"/>
    <w:basedOn w:val="Normal"/>
    <w:uiPriority w:val="99"/>
    <w:unhideWhenUsed/>
    <w:pPr>
      <w:numPr>
        <w:numId w:val="19"/>
      </w:numPr>
      <w:contextualSpacing/>
    </w:pPr>
    <w:rPr>
      <w:rFonts w:eastAsia="Calibri"/>
      <w:lang w:eastAsia="en-GB"/>
    </w:rPr>
  </w:style>
  <w:style w:type="paragraph" w:styleId="ListNumber4">
    <w:name w:val="List Number 4"/>
    <w:basedOn w:val="Normal"/>
    <w:uiPriority w:val="99"/>
    <w:unhideWhenUsed/>
    <w:pPr>
      <w:numPr>
        <w:numId w:val="20"/>
      </w:numPr>
      <w:contextualSpacing/>
    </w:pPr>
    <w:rPr>
      <w:rFonts w:eastAsia="Calibri"/>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lang w:eastAsia="en-GB"/>
    </w:rPr>
  </w:style>
  <w:style w:type="paragraph" w:styleId="Revision">
    <w:name w:val="Revision"/>
    <w:hidden/>
    <w:uiPriority w:val="99"/>
    <w:rPr>
      <w:rFonts w:ascii="Times New Roman" w:eastAsia="Calibri" w:hAnsi="Times New Roman" w:cs="Times New Roman"/>
      <w:sz w:val="24"/>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lang w:eastAsia="en-GB"/>
    </w:rPr>
  </w:style>
  <w:style w:type="paragraph" w:customStyle="1" w:styleId="Notmsl">
    <w:name w:val="Notmsl"/>
    <w:basedOn w:val="DatedadoptionPagedecouverture"/>
    <w:uiPriority w:val="99"/>
    <w:rPr>
      <w:rFonts w:eastAsia="Calibri"/>
      <w:noProof/>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EndnoteReference">
    <w:name w:val="endnote reference"/>
    <w:uiPriority w:val="99"/>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lang w:val="fr-FR"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lang w:eastAsia="zh-CN"/>
    </w:rPr>
  </w:style>
  <w:style w:type="character" w:customStyle="1" w:styleId="CommentSubjectChar1">
    <w:name w:val="Comment Subject Char1"/>
    <w:rPr>
      <w:rFonts w:ascii="Times New Roman" w:eastAsia="Times New Roman" w:hAnsi="Times New Roman" w:cs="Times New Roman"/>
      <w:b/>
      <w:bCs/>
      <w:sz w:val="20"/>
      <w:szCs w:val="20"/>
      <w:lang w:val="fr-FR" w:eastAsia="zh-CN"/>
    </w:rPr>
  </w:style>
  <w:style w:type="character" w:customStyle="1" w:styleId="BalloonTextChar1">
    <w:name w:val="Balloon Text Char1"/>
    <w:rPr>
      <w:rFonts w:ascii="Tahoma" w:eastAsia="Times New Roman" w:hAnsi="Tahoma" w:cs="Tahoma"/>
      <w:sz w:val="16"/>
      <w:szCs w:val="16"/>
      <w:lang w:val="fr-FR" w:eastAsia="zh-CN"/>
    </w:rPr>
  </w:style>
  <w:style w:type="paragraph" w:customStyle="1" w:styleId="WW-Default">
    <w:name w:val="WW-Default"/>
    <w:uiPriority w:val="99"/>
    <w:pPr>
      <w:suppressAutoHyphens/>
      <w:autoSpaceDE w:val="0"/>
    </w:pPr>
    <w:rPr>
      <w:rFonts w:ascii="EUAlbertina" w:eastAsia="Calibri" w:hAnsi="EUAlbertina" w:cs="EUAlbertina"/>
      <w:color w:val="000000"/>
      <w:sz w:val="24"/>
      <w:szCs w:val="24"/>
      <w:lang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u w:val="single"/>
      <w:lang w:eastAsia="zh-CN"/>
    </w:rPr>
  </w:style>
  <w:style w:type="paragraph" w:customStyle="1" w:styleId="TableContents">
    <w:name w:val="Table Contents"/>
    <w:basedOn w:val="Normal"/>
    <w:uiPriority w:val="99"/>
    <w:pPr>
      <w:suppressLineNumbers/>
      <w:suppressAutoHyphens/>
    </w:pPr>
    <w:rPr>
      <w:rFonts w:eastAsia="Calibri"/>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pPr>
    <w:rPr>
      <w:rFonts w:ascii="EUAlbertina" w:eastAsia="Calibri" w:hAnsi="EUAlbertina" w:cs="EUAlbertina"/>
      <w:color w:val="000000"/>
      <w:sz w:val="24"/>
      <w:szCs w:val="24"/>
    </w:rPr>
  </w:style>
  <w:style w:type="paragraph" w:customStyle="1" w:styleId="font5">
    <w:name w:val="font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
    <w:name w:val="xl64"/>
    <w:basedOn w:val="Normal"/>
    <w:uiPriority w:val="99"/>
    <w:pPr>
      <w:spacing w:before="100" w:beforeAutospacing="1" w:after="100" w:afterAutospacing="1"/>
      <w:jc w:val="left"/>
    </w:pPr>
    <w:rPr>
      <w:rFonts w:eastAsia="Times New Roman"/>
      <w:sz w:val="18"/>
      <w:szCs w:val="18"/>
      <w:lang w:eastAsia="en-GB"/>
    </w:rPr>
  </w:style>
  <w:style w:type="paragraph" w:customStyle="1" w:styleId="xl65">
    <w:name w:val="xl65"/>
    <w:basedOn w:val="Normal"/>
    <w:uiPriority w:val="99"/>
    <w:pPr>
      <w:spacing w:before="100" w:beforeAutospacing="1" w:after="100" w:afterAutospacing="1"/>
      <w:jc w:val="left"/>
    </w:pPr>
    <w:rPr>
      <w:rFonts w:eastAsia="Times New Roman"/>
      <w:sz w:val="18"/>
      <w:szCs w:val="18"/>
      <w:lang w:eastAsia="en-GB"/>
    </w:rPr>
  </w:style>
  <w:style w:type="paragraph" w:customStyle="1" w:styleId="xl66">
    <w:name w:val="xl66"/>
    <w:basedOn w:val="Normal"/>
    <w:uiPriority w:val="99"/>
    <w:pPr>
      <w:spacing w:before="100" w:beforeAutospacing="1" w:after="100" w:afterAutospacing="1"/>
      <w:jc w:val="left"/>
    </w:pPr>
    <w:rPr>
      <w:rFonts w:eastAsia="Times New Roman"/>
      <w:sz w:val="18"/>
      <w:szCs w:val="18"/>
      <w:lang w:eastAsia="en-GB"/>
    </w:rPr>
  </w:style>
  <w:style w:type="paragraph" w:customStyle="1" w:styleId="xl67">
    <w:name w:val="xl67"/>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8">
    <w:name w:val="xl68"/>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9">
    <w:name w:val="xl69"/>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70">
    <w:name w:val="xl70"/>
    <w:basedOn w:val="Normal"/>
    <w:uiPriority w:val="99"/>
    <w:pPr>
      <w:pBdr>
        <w:top w:val="single" w:sz="8" w:space="0" w:color="auto"/>
        <w:left w:val="single" w:sz="8" w:space="0" w:color="auto"/>
      </w:pBdr>
      <w:spacing w:before="100" w:beforeAutospacing="1" w:after="100" w:afterAutospacing="1"/>
      <w:jc w:val="left"/>
    </w:pPr>
    <w:rPr>
      <w:rFonts w:eastAsia="Times New Roman"/>
      <w:sz w:val="18"/>
      <w:szCs w:val="18"/>
      <w:lang w:eastAsia="en-GB"/>
    </w:rPr>
  </w:style>
  <w:style w:type="paragraph" w:customStyle="1" w:styleId="xl71">
    <w:name w:val="xl7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2">
    <w:name w:val="xl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3">
    <w:name w:val="xl7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4">
    <w:name w:val="xl74"/>
    <w:basedOn w:val="Normal"/>
    <w:uiPriority w:val="99"/>
    <w:pPr>
      <w:pBdr>
        <w:left w:val="single" w:sz="8" w:space="0" w:color="auto"/>
        <w:bottom w:val="single" w:sz="8" w:space="0" w:color="auto"/>
      </w:pBdr>
      <w:spacing w:before="100" w:beforeAutospacing="1" w:after="100" w:afterAutospacing="1"/>
      <w:jc w:val="left"/>
    </w:pPr>
    <w:rPr>
      <w:rFonts w:eastAsia="Times New Roman"/>
      <w:sz w:val="18"/>
      <w:szCs w:val="18"/>
      <w:lang w:eastAsia="en-GB"/>
    </w:rPr>
  </w:style>
  <w:style w:type="paragraph" w:customStyle="1" w:styleId="xl75">
    <w:name w:val="xl75"/>
    <w:basedOn w:val="Normal"/>
    <w:uiPriority w:val="99"/>
    <w:pPr>
      <w:pBdr>
        <w:top w:val="single" w:sz="8" w:space="0" w:color="000000"/>
      </w:pBdr>
      <w:spacing w:before="100" w:beforeAutospacing="1" w:after="100" w:afterAutospacing="1"/>
      <w:jc w:val="right"/>
      <w:textAlignment w:val="center"/>
    </w:pPr>
    <w:rPr>
      <w:rFonts w:eastAsia="Times New Roman"/>
      <w:sz w:val="18"/>
      <w:szCs w:val="18"/>
      <w:lang w:eastAsia="en-GB"/>
    </w:rPr>
  </w:style>
  <w:style w:type="paragraph" w:customStyle="1" w:styleId="xl76">
    <w:name w:val="xl76"/>
    <w:basedOn w:val="Normal"/>
    <w:uiPriority w:val="99"/>
    <w:pPr>
      <w:spacing w:before="100" w:beforeAutospacing="1" w:after="100" w:afterAutospacing="1"/>
      <w:jc w:val="left"/>
      <w:textAlignment w:val="center"/>
    </w:pPr>
    <w:rPr>
      <w:rFonts w:eastAsia="Times New Roman"/>
      <w:sz w:val="18"/>
      <w:szCs w:val="18"/>
      <w:lang w:eastAsia="en-GB"/>
    </w:rPr>
  </w:style>
  <w:style w:type="paragraph" w:customStyle="1" w:styleId="xl77">
    <w:name w:val="xl77"/>
    <w:basedOn w:val="Normal"/>
    <w:uiPriority w:val="99"/>
    <w:pPr>
      <w:spacing w:before="100" w:beforeAutospacing="1" w:after="100" w:afterAutospacing="1"/>
      <w:jc w:val="right"/>
      <w:textAlignment w:val="center"/>
    </w:pPr>
    <w:rPr>
      <w:rFonts w:eastAsia="Times New Roman"/>
      <w:sz w:val="18"/>
      <w:szCs w:val="18"/>
      <w:lang w:eastAsia="en-GB"/>
    </w:rPr>
  </w:style>
  <w:style w:type="paragraph" w:customStyle="1" w:styleId="xl78">
    <w:name w:val="xl7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79">
    <w:name w:val="xl79"/>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0">
    <w:name w:val="xl8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81">
    <w:name w:val="xl8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2">
    <w:name w:val="xl8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3">
    <w:name w:val="xl83"/>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4">
    <w:name w:val="xl84"/>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5">
    <w:name w:val="xl8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6">
    <w:name w:val="xl86"/>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7">
    <w:name w:val="xl8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88">
    <w:name w:val="xl8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89">
    <w:name w:val="xl89"/>
    <w:basedOn w:val="Normal"/>
    <w:uiPriority w:val="99"/>
    <w:pPr>
      <w:pBdr>
        <w:bottom w:val="single" w:sz="8" w:space="0" w:color="auto"/>
      </w:pBdr>
      <w:spacing w:before="100" w:beforeAutospacing="1" w:after="100" w:afterAutospacing="1"/>
      <w:jc w:val="right"/>
      <w:textAlignment w:val="center"/>
    </w:pPr>
    <w:rPr>
      <w:rFonts w:eastAsia="Times New Roman"/>
      <w:sz w:val="18"/>
      <w:szCs w:val="18"/>
      <w:lang w:eastAsia="en-GB"/>
    </w:rPr>
  </w:style>
  <w:style w:type="paragraph" w:customStyle="1" w:styleId="xl90">
    <w:name w:val="xl90"/>
    <w:basedOn w:val="Normal"/>
    <w:uiPriority w:val="99"/>
    <w:pPr>
      <w:pBdr>
        <w:bottom w:val="single" w:sz="8" w:space="0" w:color="auto"/>
      </w:pBdr>
      <w:spacing w:before="100" w:beforeAutospacing="1" w:after="100" w:afterAutospacing="1"/>
      <w:jc w:val="right"/>
      <w:textAlignment w:val="top"/>
    </w:pPr>
    <w:rPr>
      <w:rFonts w:eastAsia="Times New Roman"/>
      <w:color w:val="FF0000"/>
      <w:sz w:val="18"/>
      <w:szCs w:val="18"/>
      <w:lang w:eastAsia="en-GB"/>
    </w:rPr>
  </w:style>
  <w:style w:type="paragraph" w:customStyle="1" w:styleId="xl91">
    <w:name w:val="xl91"/>
    <w:basedOn w:val="Normal"/>
    <w:uiPriority w:val="99"/>
    <w:pPr>
      <w:spacing w:before="100" w:beforeAutospacing="1" w:after="100" w:afterAutospacing="1"/>
      <w:jc w:val="left"/>
    </w:pPr>
    <w:rPr>
      <w:rFonts w:eastAsia="Times New Roman"/>
      <w:sz w:val="18"/>
      <w:szCs w:val="18"/>
      <w:lang w:eastAsia="en-GB"/>
    </w:rPr>
  </w:style>
  <w:style w:type="paragraph" w:customStyle="1" w:styleId="xl92">
    <w:name w:val="xl92"/>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93">
    <w:name w:val="xl9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character" w:customStyle="1" w:styleId="HeaderCouncilChar">
    <w:name w:val="Header Council Char"/>
    <w:link w:val="HeaderCouncil"/>
    <w:rPr>
      <w:rFonts w:ascii="Times New Roman" w:eastAsia="Times New Roman" w:hAnsi="Times New Roman" w:cs="Times New Roman"/>
      <w:sz w:val="2"/>
      <w:szCs w:val="24"/>
      <w:lang w:val="fr-FR"/>
    </w:rPr>
  </w:style>
  <w:style w:type="paragraph" w:customStyle="1" w:styleId="xl300">
    <w:name w:val="xl30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301">
    <w:name w:val="xl30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302">
    <w:name w:val="xl302"/>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303">
    <w:name w:val="xl303"/>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4">
    <w:name w:val="xl304"/>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305">
    <w:name w:val="xl305"/>
    <w:basedOn w:val="Normal"/>
    <w:uiPriority w:val="99"/>
    <w:pPr>
      <w:shd w:val="clear" w:color="000000" w:fill="FFFFFF"/>
      <w:spacing w:before="100" w:beforeAutospacing="1" w:after="100" w:afterAutospacing="1"/>
      <w:jc w:val="left"/>
      <w:textAlignment w:val="top"/>
    </w:pPr>
    <w:rPr>
      <w:rFonts w:eastAsia="Times New Roman"/>
      <w:sz w:val="18"/>
      <w:szCs w:val="18"/>
      <w:lang w:eastAsia="en-GB"/>
    </w:rPr>
  </w:style>
  <w:style w:type="paragraph" w:customStyle="1" w:styleId="xl306">
    <w:name w:val="xl306"/>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7">
    <w:name w:val="xl307"/>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308">
    <w:name w:val="xl308"/>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09">
    <w:name w:val="xl309"/>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10">
    <w:name w:val="xl310"/>
    <w:basedOn w:val="Normal"/>
    <w:uiPriority w:val="99"/>
    <w:pPr>
      <w:pBdr>
        <w:top w:val="single" w:sz="8" w:space="0" w:color="000000"/>
      </w:pBd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11">
    <w:name w:val="xl311"/>
    <w:basedOn w:val="Normal"/>
    <w:uiPriority w:val="99"/>
    <w:pPr>
      <w:pBdr>
        <w:top w:val="single" w:sz="8" w:space="0" w:color="000000"/>
        <w:left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2">
    <w:name w:val="xl312"/>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3">
    <w:name w:val="xl313"/>
    <w:basedOn w:val="Normal"/>
    <w:uiPriority w:val="99"/>
    <w:pPr>
      <w:shd w:val="clear" w:color="000000" w:fill="A6A6A6"/>
      <w:spacing w:before="100" w:beforeAutospacing="1" w:after="100" w:afterAutospacing="1"/>
      <w:jc w:val="left"/>
      <w:textAlignment w:val="top"/>
    </w:pPr>
    <w:rPr>
      <w:rFonts w:eastAsia="Times New Roman"/>
      <w:i/>
      <w:iCs/>
      <w:sz w:val="18"/>
      <w:szCs w:val="18"/>
      <w:lang w:eastAsia="en-GB"/>
    </w:rPr>
  </w:style>
  <w:style w:type="paragraph" w:customStyle="1" w:styleId="xl314">
    <w:name w:val="xl314"/>
    <w:basedOn w:val="Normal"/>
    <w:uiPriority w:val="99"/>
    <w:pPr>
      <w:pBdr>
        <w:bottom w:val="single" w:sz="8" w:space="0" w:color="000000"/>
      </w:pBdr>
      <w:shd w:val="clear" w:color="000000" w:fill="A6A6A6"/>
      <w:spacing w:before="100" w:beforeAutospacing="1" w:after="100" w:afterAutospacing="1"/>
      <w:jc w:val="right"/>
      <w:textAlignment w:val="top"/>
    </w:pPr>
    <w:rPr>
      <w:rFonts w:eastAsia="Times New Roman"/>
      <w:i/>
      <w:iCs/>
      <w:color w:val="000000"/>
      <w:sz w:val="18"/>
      <w:szCs w:val="18"/>
      <w:lang w:eastAsia="en-GB"/>
    </w:rPr>
  </w:style>
  <w:style w:type="paragraph" w:customStyle="1" w:styleId="xl315">
    <w:name w:val="xl315"/>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i/>
      <w:iCs/>
      <w:color w:val="000000"/>
      <w:sz w:val="18"/>
      <w:szCs w:val="18"/>
      <w:lang w:eastAsia="en-GB"/>
    </w:rPr>
  </w:style>
  <w:style w:type="paragraph" w:customStyle="1" w:styleId="xl316">
    <w:name w:val="xl316"/>
    <w:basedOn w:val="Normal"/>
    <w:uiPriority w:val="99"/>
    <w:pPr>
      <w:pBdr>
        <w:left w:val="single" w:sz="8" w:space="0" w:color="000000"/>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7">
    <w:name w:val="xl317"/>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8">
    <w:name w:val="xl318"/>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9">
    <w:name w:val="xl319"/>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0">
    <w:name w:val="xl320"/>
    <w:basedOn w:val="Normal"/>
    <w:uiPriority w:val="99"/>
    <w:pP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21">
    <w:name w:val="xl321"/>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2">
    <w:name w:val="xl32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323">
    <w:name w:val="xl32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324">
    <w:name w:val="xl324"/>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font6">
    <w:name w:val="font6"/>
    <w:basedOn w:val="Normal"/>
    <w:uiPriority w:val="99"/>
    <w:pPr>
      <w:spacing w:before="100" w:beforeAutospacing="1" w:after="100" w:afterAutospacing="1"/>
      <w:jc w:val="left"/>
    </w:pPr>
    <w:rPr>
      <w:rFonts w:ascii="Tahoma" w:eastAsia="Times New Roman" w:hAnsi="Tahoma" w:cs="Tahoma"/>
      <w:b/>
      <w:bCs/>
      <w:color w:val="000000"/>
      <w:sz w:val="16"/>
      <w:szCs w:val="16"/>
      <w:lang w:eastAsia="en-GB"/>
    </w:rPr>
  </w:style>
  <w:style w:type="paragraph" w:customStyle="1" w:styleId="font7">
    <w:name w:val="font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8">
    <w:name w:val="font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9">
    <w:name w:val="font9"/>
    <w:basedOn w:val="Normal"/>
    <w:uiPriority w:val="99"/>
    <w:pPr>
      <w:spacing w:before="100" w:beforeAutospacing="1" w:after="100" w:afterAutospacing="1"/>
      <w:jc w:val="left"/>
    </w:pPr>
    <w:rPr>
      <w:rFonts w:eastAsia="Times New Roman"/>
      <w:sz w:val="18"/>
      <w:szCs w:val="18"/>
      <w:lang w:eastAsia="en-GB"/>
    </w:rPr>
  </w:style>
  <w:style w:type="paragraph" w:customStyle="1" w:styleId="xl26182">
    <w:name w:val="xl26182"/>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3">
    <w:name w:val="xl26183"/>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184">
    <w:name w:val="xl2618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185">
    <w:name w:val="xl26185"/>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186">
    <w:name w:val="xl26186"/>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7">
    <w:name w:val="xl26187"/>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188">
    <w:name w:val="xl26188"/>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189">
    <w:name w:val="xl26189"/>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0">
    <w:name w:val="xl26190"/>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26191">
    <w:name w:val="xl26191"/>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2">
    <w:name w:val="xl26192"/>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6193">
    <w:name w:val="xl26193"/>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26194">
    <w:name w:val="xl2619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195">
    <w:name w:val="xl26195"/>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96">
    <w:name w:val="xl2619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197">
    <w:name w:val="xl26197"/>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198">
    <w:name w:val="xl26198"/>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199">
    <w:name w:val="xl2619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00">
    <w:name w:val="xl26200"/>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26201">
    <w:name w:val="xl26201"/>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2">
    <w:name w:val="xl2620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03">
    <w:name w:val="xl26203"/>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4">
    <w:name w:val="xl2620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05">
    <w:name w:val="xl2620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206">
    <w:name w:val="xl26206"/>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7">
    <w:name w:val="xl26207"/>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8">
    <w:name w:val="xl26208"/>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09">
    <w:name w:val="xl26209"/>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26210">
    <w:name w:val="xl26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11">
    <w:name w:val="xl26211"/>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12">
    <w:name w:val="xl26212"/>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3">
    <w:name w:val="xl26213"/>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14">
    <w:name w:val="xl26214"/>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15">
    <w:name w:val="xl26215"/>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16">
    <w:name w:val="xl26216"/>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7">
    <w:name w:val="xl26217"/>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8">
    <w:name w:val="xl26218"/>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9">
    <w:name w:val="xl26219"/>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26220">
    <w:name w:val="xl26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1">
    <w:name w:val="xl26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222">
    <w:name w:val="xl26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26223">
    <w:name w:val="xl26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4">
    <w:name w:val="xl2622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26225">
    <w:name w:val="xl26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26226">
    <w:name w:val="xl2622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27">
    <w:name w:val="xl2622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28">
    <w:name w:val="xl2622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29">
    <w:name w:val="xl2622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30">
    <w:name w:val="xl2623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1">
    <w:name w:val="xl2623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32">
    <w:name w:val="xl2623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33">
    <w:name w:val="xl2623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234">
    <w:name w:val="xl2623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35">
    <w:name w:val="xl2623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36">
    <w:name w:val="xl2623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7">
    <w:name w:val="xl2623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38">
    <w:name w:val="xl2623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39">
    <w:name w:val="xl2623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0">
    <w:name w:val="xl2624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1">
    <w:name w:val="xl2624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42">
    <w:name w:val="xl2624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3">
    <w:name w:val="xl2624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44">
    <w:name w:val="xl2624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45">
    <w:name w:val="xl2624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26246">
    <w:name w:val="xl2624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47">
    <w:name w:val="xl2624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48">
    <w:name w:val="xl2624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9">
    <w:name w:val="xl2624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0">
    <w:name w:val="xl2625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1">
    <w:name w:val="xl26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252">
    <w:name w:val="xl2625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3">
    <w:name w:val="xl2625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54">
    <w:name w:val="xl2625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55">
    <w:name w:val="xl2625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6">
    <w:name w:val="xl2625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7">
    <w:name w:val="xl2625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58">
    <w:name w:val="xl2625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59">
    <w:name w:val="xl2625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0">
    <w:name w:val="xl2626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1">
    <w:name w:val="xl2626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2">
    <w:name w:val="xl2626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3">
    <w:name w:val="xl2626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4">
    <w:name w:val="xl2626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5">
    <w:name w:val="xl26265"/>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66">
    <w:name w:val="xl2626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67">
    <w:name w:val="xl26267"/>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68">
    <w:name w:val="xl26268"/>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9">
    <w:name w:val="xl26269"/>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6270">
    <w:name w:val="xl26270"/>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271">
    <w:name w:val="xl26271"/>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2">
    <w:name w:val="xl26272"/>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73">
    <w:name w:val="xl26273"/>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4">
    <w:name w:val="xl26274"/>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6275">
    <w:name w:val="xl26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76">
    <w:name w:val="xl26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6277">
    <w:name w:val="xl26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8">
    <w:name w:val="xl2627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9">
    <w:name w:val="xl262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0">
    <w:name w:val="xl26280"/>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1">
    <w:name w:val="xl2628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282">
    <w:name w:val="xl262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83">
    <w:name w:val="xl262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4">
    <w:name w:val="xl262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5">
    <w:name w:val="xl2628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6">
    <w:name w:val="xl262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7">
    <w:name w:val="xl26287"/>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8">
    <w:name w:val="xl26288"/>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6289">
    <w:name w:val="xl26289"/>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0">
    <w:name w:val="xl26290"/>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1">
    <w:name w:val="xl26291"/>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92">
    <w:name w:val="xl26292"/>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6293">
    <w:name w:val="xl26293"/>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4">
    <w:name w:val="xl26294"/>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5">
    <w:name w:val="xl2629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96">
    <w:name w:val="xl26296"/>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6297">
    <w:name w:val="xl26297"/>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98">
    <w:name w:val="xl26298"/>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99">
    <w:name w:val="xl26299"/>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0">
    <w:name w:val="xl26300"/>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1">
    <w:name w:val="xl26301"/>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02">
    <w:name w:val="xl26302"/>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3">
    <w:name w:val="xl26303"/>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4">
    <w:name w:val="xl26304"/>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5">
    <w:name w:val="xl2630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06">
    <w:name w:val="xl2630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07">
    <w:name w:val="xl26307"/>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8">
    <w:name w:val="xl2630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9">
    <w:name w:val="xl2630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10">
    <w:name w:val="xl26310"/>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6311">
    <w:name w:val="xl26311"/>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312">
    <w:name w:val="xl2631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3">
    <w:name w:val="xl2631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4">
    <w:name w:val="xl2631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6315">
    <w:name w:val="xl26315"/>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6">
    <w:name w:val="xl26316"/>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17">
    <w:name w:val="xl2631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8">
    <w:name w:val="xl2631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19">
    <w:name w:val="xl26319"/>
    <w:basedOn w:val="Normal"/>
    <w:uiPriority w:val="99"/>
    <w:pPr>
      <w:spacing w:before="100" w:beforeAutospacing="1" w:after="100" w:afterAutospacing="1"/>
      <w:jc w:val="left"/>
    </w:pPr>
    <w:rPr>
      <w:rFonts w:eastAsia="Times New Roman"/>
      <w:sz w:val="18"/>
      <w:szCs w:val="18"/>
      <w:lang w:eastAsia="en-GB"/>
    </w:rPr>
  </w:style>
  <w:style w:type="paragraph" w:customStyle="1" w:styleId="xl26320">
    <w:name w:val="xl2632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321">
    <w:name w:val="xl26321"/>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322">
    <w:name w:val="xl26322"/>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3">
    <w:name w:val="xl26323"/>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4">
    <w:name w:val="xl26324"/>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325">
    <w:name w:val="xl26325"/>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6">
    <w:name w:val="xl26326"/>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7">
    <w:name w:val="xl26327"/>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8">
    <w:name w:val="xl26328"/>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6329">
    <w:name w:val="xl26329"/>
    <w:basedOn w:val="Normal"/>
    <w:uiPriority w:val="99"/>
    <w:pPr>
      <w:spacing w:before="100" w:beforeAutospacing="1" w:after="100" w:afterAutospacing="1"/>
      <w:jc w:val="right"/>
    </w:pPr>
    <w:rPr>
      <w:rFonts w:eastAsia="Times New Roman"/>
      <w:sz w:val="18"/>
      <w:szCs w:val="18"/>
      <w:lang w:eastAsia="en-GB"/>
    </w:rPr>
  </w:style>
  <w:style w:type="paragraph" w:customStyle="1" w:styleId="xl26330">
    <w:name w:val="xl263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6331">
    <w:name w:val="xl2633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6332">
    <w:name w:val="xl2633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33">
    <w:name w:val="xl2633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34">
    <w:name w:val="xl26334"/>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35">
    <w:name w:val="xl26335"/>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6336">
    <w:name w:val="xl26336"/>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37">
    <w:name w:val="xl26337"/>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8">
    <w:name w:val="xl26338"/>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9">
    <w:name w:val="xl26339"/>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40">
    <w:name w:val="xl26340"/>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41">
    <w:name w:val="xl26341"/>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42">
    <w:name w:val="xl26342"/>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43">
    <w:name w:val="xl26343"/>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4">
    <w:name w:val="xl26344"/>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5">
    <w:name w:val="xl26345"/>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6346">
    <w:name w:val="xl26346"/>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47">
    <w:name w:val="xl26347"/>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348">
    <w:name w:val="xl2634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49">
    <w:name w:val="xl26349"/>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0">
    <w:name w:val="xl2635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1">
    <w:name w:val="xl26351"/>
    <w:basedOn w:val="Normal"/>
    <w:uiPriority w:val="99"/>
    <w:pPr>
      <w:pBdr>
        <w:bottom w:val="single" w:sz="8" w:space="0" w:color="auto"/>
      </w:pBdr>
      <w:spacing w:before="100" w:beforeAutospacing="1" w:after="100" w:afterAutospacing="1"/>
      <w:jc w:val="left"/>
      <w:textAlignment w:val="top"/>
    </w:pPr>
    <w:rPr>
      <w:rFonts w:eastAsia="Times New Roman"/>
      <w:color w:val="000000"/>
      <w:sz w:val="16"/>
      <w:szCs w:val="16"/>
      <w:lang w:eastAsia="en-GB"/>
    </w:rPr>
  </w:style>
  <w:style w:type="paragraph" w:customStyle="1" w:styleId="xl26352">
    <w:name w:val="xl26352"/>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3">
    <w:name w:val="xl2635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4">
    <w:name w:val="xl26354"/>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26355">
    <w:name w:val="xl26355"/>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6">
    <w:name w:val="xl26356"/>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26357">
    <w:name w:val="xl26357"/>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58">
    <w:name w:val="xl26358"/>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9">
    <w:name w:val="xl26359"/>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0">
    <w:name w:val="xl26360"/>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1">
    <w:name w:val="xl2636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362">
    <w:name w:val="xl26362"/>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63">
    <w:name w:val="xl26363"/>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64">
    <w:name w:val="xl2636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65">
    <w:name w:val="xl2636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6">
    <w:name w:val="xl2636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7">
    <w:name w:val="xl26367"/>
    <w:basedOn w:val="Normal"/>
    <w:uiPriority w:val="99"/>
    <w:pPr>
      <w:pBdr>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68">
    <w:name w:val="xl26368"/>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9">
    <w:name w:val="xl26369"/>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0">
    <w:name w:val="xl26370"/>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71">
    <w:name w:val="xl26371"/>
    <w:basedOn w:val="Normal"/>
    <w:uiPriority w:val="99"/>
    <w:pPr>
      <w:pBdr>
        <w:top w:val="single" w:sz="8" w:space="0" w:color="auto"/>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72">
    <w:name w:val="xl26372"/>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3">
    <w:name w:val="xl26373"/>
    <w:basedOn w:val="Normal"/>
    <w:uiPriority w:val="99"/>
    <w:pPr>
      <w:pBdr>
        <w:top w:val="single" w:sz="8" w:space="0" w:color="auto"/>
        <w:right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74">
    <w:name w:val="xl26374"/>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75">
    <w:name w:val="xl263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sz w:val="14"/>
      <w:szCs w:val="14"/>
      <w:lang w:eastAsia="en-GB"/>
    </w:rPr>
  </w:style>
  <w:style w:type="paragraph" w:customStyle="1" w:styleId="xl26376">
    <w:name w:val="xl263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7">
    <w:name w:val="xl263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8">
    <w:name w:val="xl26378"/>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379">
    <w:name w:val="xl263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380">
    <w:name w:val="xl26380"/>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1">
    <w:name w:val="xl26381"/>
    <w:basedOn w:val="Normal"/>
    <w:uiPriority w:val="99"/>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82">
    <w:name w:val="xl26382"/>
    <w:basedOn w:val="Normal"/>
    <w:uiPriority w:val="99"/>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3">
    <w:name w:val="xl26383"/>
    <w:basedOn w:val="Normal"/>
    <w:uiPriority w:val="99"/>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4">
    <w:name w:val="xl26384"/>
    <w:basedOn w:val="Normal"/>
    <w:uiPriority w:val="99"/>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26385">
    <w:name w:val="xl26385"/>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6">
    <w:name w:val="xl26386"/>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87">
    <w:name w:val="xl26387"/>
    <w:basedOn w:val="Normal"/>
    <w:uiPriority w:val="99"/>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88">
    <w:name w:val="xl26388"/>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9">
    <w:name w:val="xl2638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0">
    <w:name w:val="xl26390"/>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1">
    <w:name w:val="xl26391"/>
    <w:basedOn w:val="Normal"/>
    <w:uiPriority w:val="99"/>
    <w:pPr>
      <w:pBdr>
        <w:bottom w:val="single" w:sz="4" w:space="0" w:color="auto"/>
      </w:pBdr>
      <w:spacing w:before="100" w:beforeAutospacing="1" w:after="100" w:afterAutospacing="1"/>
      <w:jc w:val="left"/>
      <w:textAlignment w:val="top"/>
    </w:pPr>
    <w:rPr>
      <w:rFonts w:eastAsia="Times New Roman"/>
      <w:sz w:val="18"/>
      <w:szCs w:val="18"/>
      <w:lang w:eastAsia="en-GB"/>
    </w:rPr>
  </w:style>
  <w:style w:type="character" w:customStyle="1" w:styleId="Heading5Char">
    <w:name w:val="Heading 5 Char"/>
    <w:basedOn w:val="DefaultParagraphFont"/>
    <w:link w:val="Heading5"/>
    <w:rPr>
      <w:rFonts w:ascii="Arial" w:eastAsia="Times New Roman" w:hAnsi="Arial" w:cs="Times New Roman"/>
      <w:szCs w:val="20"/>
      <w:lang w:val="fr-FR" w:eastAsia="fr-BE"/>
    </w:rPr>
  </w:style>
  <w:style w:type="character" w:customStyle="1" w:styleId="Heading6Char">
    <w:name w:val="Heading 6 Char"/>
    <w:basedOn w:val="DefaultParagraphFont"/>
    <w:link w:val="Heading6"/>
    <w:rPr>
      <w:rFonts w:ascii="Arial" w:eastAsia="Times New Roman" w:hAnsi="Arial" w:cs="Times New Roman"/>
      <w:i/>
      <w:szCs w:val="20"/>
      <w:lang w:val="fr-FR"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fr-FR"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fr-FR"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fr-FR" w:eastAsia="fr-BE"/>
    </w:rPr>
  </w:style>
  <w:style w:type="character" w:customStyle="1" w:styleId="NotDeclassifiedCharacter">
    <w:name w:val="Not Declassified Character"/>
    <w:basedOn w:val="DefaultParagraphFont"/>
    <w:rPr>
      <w:rFonts w:ascii="Times New Roman" w:hAnsi="Times New Roman" w:cs="Times New Roman"/>
      <w:b/>
      <w:sz w:val="24"/>
      <w:bdr w:val="single" w:sz="4" w:space="0" w:color="000000"/>
      <w:shd w:val="clear" w:color="auto" w:fill="CCCCCC"/>
    </w:rPr>
  </w:style>
  <w:style w:type="character" w:customStyle="1" w:styleId="ApplicationdirecteChar">
    <w:name w:val="Application directe Char"/>
    <w:rPr>
      <w:rFonts w:ascii="Times New Roman" w:hAnsi="Times New Roman" w:cs="Times New Roman"/>
      <w:sz w:val="24"/>
      <w:lang w:val="fr-FR"/>
    </w:rPr>
  </w:style>
  <w:style w:type="paragraph" w:customStyle="1" w:styleId="pj">
    <w:name w:val="p.j."/>
    <w:basedOn w:val="Normal"/>
    <w:link w:val="pjChar"/>
    <w:pPr>
      <w:spacing w:before="1200"/>
      <w:ind w:left="1440" w:hanging="1440"/>
      <w:jc w:val="left"/>
    </w:pPr>
    <w:rPr>
      <w:rFonts w:eastAsia="Calibri"/>
      <w:lang w:eastAsia="en-GB"/>
    </w:rPr>
  </w:style>
  <w:style w:type="character" w:customStyle="1" w:styleId="pjChar">
    <w:name w:val="p.j. Char"/>
    <w:link w:val="pj"/>
    <w:rPr>
      <w:rFonts w:ascii="Times New Roman" w:eastAsia="Calibri" w:hAnsi="Times New Roman" w:cs="Times New Roman"/>
      <w:sz w:val="24"/>
      <w:lang w:val="fr-FR" w:eastAsia="en-GB"/>
    </w:rPr>
  </w:style>
  <w:style w:type="paragraph" w:customStyle="1" w:styleId="ListNumber2Level2">
    <w:name w:val="List Number 2 (Level 2)"/>
    <w:basedOn w:val="Text2"/>
    <w:uiPriority w:val="99"/>
    <w:pPr>
      <w:tabs>
        <w:tab w:val="num" w:pos="2619"/>
      </w:tabs>
      <w:spacing w:before="0" w:after="240"/>
      <w:ind w:left="2619" w:hanging="708"/>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4"/>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26"/>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5"/>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fr-FR"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2"/>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3"/>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fr-FR"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fr-FR"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fr-FR"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fr-FR"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2"/>
      </w:numPr>
      <w:spacing w:before="0" w:after="24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fr-FR"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fr-FR" w:eastAsia="fr-BE"/>
    </w:rPr>
  </w:style>
  <w:style w:type="paragraph" w:customStyle="1" w:styleId="ListDash1">
    <w:name w:val="List Dash 1"/>
    <w:basedOn w:val="Text1"/>
    <w:uiPriority w:val="99"/>
    <w:pPr>
      <w:numPr>
        <w:numId w:val="33"/>
      </w:numPr>
      <w:spacing w:before="0" w:after="24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rPr>
  </w:style>
  <w:style w:type="character" w:customStyle="1" w:styleId="TitrearticleChar">
    <w:name w:val="Titre article Char"/>
    <w:rPr>
      <w:rFonts w:ascii="Times New Roman" w:hAnsi="Times New Roman" w:cs="Times New Roman"/>
      <w:i/>
      <w:sz w:val="24"/>
      <w:lang w:val="fr-FR"/>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4"/>
      </w:numPr>
      <w:spacing w:before="0" w:after="240"/>
    </w:pPr>
    <w:rPr>
      <w:rFonts w:eastAsia="Times New Roman"/>
      <w:szCs w:val="20"/>
    </w:rPr>
  </w:style>
  <w:style w:type="paragraph" w:customStyle="1" w:styleId="ListNumber1Level2">
    <w:name w:val="List Number 1 (Level 2)"/>
    <w:basedOn w:val="Text1"/>
    <w:uiPriority w:val="99"/>
    <w:pPr>
      <w:numPr>
        <w:ilvl w:val="1"/>
        <w:numId w:val="34"/>
      </w:numPr>
      <w:spacing w:before="0" w:after="240"/>
    </w:pPr>
    <w:rPr>
      <w:rFonts w:eastAsia="Times New Roman"/>
      <w:szCs w:val="20"/>
    </w:rPr>
  </w:style>
  <w:style w:type="paragraph" w:customStyle="1" w:styleId="ListNumber1Level3">
    <w:name w:val="List Number 1 (Level 3)"/>
    <w:basedOn w:val="Text1"/>
    <w:uiPriority w:val="99"/>
    <w:pPr>
      <w:numPr>
        <w:ilvl w:val="2"/>
        <w:numId w:val="34"/>
      </w:numPr>
      <w:spacing w:before="0" w:after="240"/>
    </w:pPr>
    <w:rPr>
      <w:rFonts w:eastAsia="Times New Roman"/>
      <w:szCs w:val="20"/>
    </w:rPr>
  </w:style>
  <w:style w:type="paragraph" w:customStyle="1" w:styleId="ListNumber1Level4">
    <w:name w:val="List Number 1 (Level 4)"/>
    <w:basedOn w:val="Text1"/>
    <w:uiPriority w:val="99"/>
    <w:pPr>
      <w:numPr>
        <w:ilvl w:val="3"/>
        <w:numId w:val="34"/>
      </w:numPr>
      <w:spacing w:before="0" w:after="240"/>
    </w:pPr>
    <w:rPr>
      <w:rFonts w:eastAsia="Times New Roman"/>
      <w:szCs w:val="20"/>
    </w:rPr>
  </w:style>
  <w:style w:type="numbering" w:customStyle="1" w:styleId="NoList11">
    <w:name w:val="No List11"/>
    <w:next w:val="NoList"/>
    <w:uiPriority w:val="99"/>
    <w:semiHidden/>
    <w:unhideWhenUsed/>
  </w:style>
  <w:style w:type="numbering" w:customStyle="1" w:styleId="NoList2">
    <w:name w:val="No List2"/>
    <w:next w:val="NoList"/>
    <w:uiPriority w:val="99"/>
    <w:semiHidden/>
    <w:unhideWhenUsed/>
  </w:style>
  <w:style w:type="numbering" w:customStyle="1" w:styleId="NoList111">
    <w:name w:val="No List111"/>
    <w:next w:val="NoList"/>
    <w:uiPriority w:val="99"/>
    <w:semiHidden/>
    <w:unhideWhenUsed/>
  </w:style>
  <w:style w:type="paragraph" w:customStyle="1" w:styleId="xl444">
    <w:name w:val="xl444"/>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5">
    <w:name w:val="xl445"/>
    <w:basedOn w:val="Normal"/>
    <w:uiPriority w:val="99"/>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46">
    <w:name w:val="xl44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47">
    <w:name w:val="xl44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448">
    <w:name w:val="xl448"/>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9">
    <w:name w:val="xl449"/>
    <w:basedOn w:val="Normal"/>
    <w:uiPriority w:val="99"/>
    <w:pPr>
      <w:pBdr>
        <w:bottom w:val="single" w:sz="8" w:space="0" w:color="000000"/>
      </w:pBdr>
      <w:spacing w:before="100" w:beforeAutospacing="1" w:after="100" w:afterAutospacing="1"/>
      <w:jc w:val="right"/>
    </w:pPr>
    <w:rPr>
      <w:rFonts w:eastAsia="Times New Roman"/>
      <w:i/>
      <w:iCs/>
      <w:color w:val="000000"/>
      <w:sz w:val="18"/>
      <w:szCs w:val="18"/>
      <w:lang w:eastAsia="en-GB"/>
    </w:rPr>
  </w:style>
  <w:style w:type="paragraph" w:customStyle="1" w:styleId="xl450">
    <w:name w:val="xl450"/>
    <w:basedOn w:val="Normal"/>
    <w:uiPriority w:val="99"/>
    <w:pPr>
      <w:pBdr>
        <w:bottom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451">
    <w:name w:val="xl451"/>
    <w:basedOn w:val="Normal"/>
    <w:uiPriority w:val="99"/>
    <w:pPr>
      <w:pBdr>
        <w:top w:val="single" w:sz="8" w:space="0" w:color="000000"/>
      </w:pBdr>
      <w:spacing w:before="100" w:beforeAutospacing="1" w:after="100" w:afterAutospacing="1"/>
      <w:jc w:val="left"/>
    </w:pPr>
    <w:rPr>
      <w:rFonts w:eastAsia="Times New Roman"/>
      <w:sz w:val="18"/>
      <w:szCs w:val="18"/>
      <w:lang w:eastAsia="en-GB"/>
    </w:rPr>
  </w:style>
  <w:style w:type="paragraph" w:customStyle="1" w:styleId="xl452">
    <w:name w:val="xl452"/>
    <w:basedOn w:val="Normal"/>
    <w:uiPriority w:val="99"/>
    <w:pPr>
      <w:pBdr>
        <w:top w:val="single" w:sz="8" w:space="0" w:color="000000"/>
      </w:pBdr>
      <w:spacing w:before="100" w:beforeAutospacing="1" w:after="100" w:afterAutospacing="1"/>
      <w:jc w:val="right"/>
    </w:pPr>
    <w:rPr>
      <w:rFonts w:eastAsia="Times New Roman"/>
      <w:sz w:val="18"/>
      <w:szCs w:val="18"/>
      <w:lang w:eastAsia="en-GB"/>
    </w:rPr>
  </w:style>
  <w:style w:type="paragraph" w:customStyle="1" w:styleId="xl453">
    <w:name w:val="xl453"/>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454">
    <w:name w:val="xl454"/>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455">
    <w:name w:val="xl455"/>
    <w:basedOn w:val="Normal"/>
    <w:uiPriority w:val="99"/>
    <w:pPr>
      <w:pBdr>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456">
    <w:name w:val="xl456"/>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457">
    <w:name w:val="xl457"/>
    <w:basedOn w:val="Normal"/>
    <w:uiPriority w:val="99"/>
    <w:pPr>
      <w:pBdr>
        <w:bottom w:val="single" w:sz="8" w:space="0" w:color="auto"/>
        <w:righ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58">
    <w:name w:val="xl458"/>
    <w:basedOn w:val="Normal"/>
    <w:uiPriority w:val="99"/>
    <w:pPr>
      <w:spacing w:before="100" w:beforeAutospacing="1" w:after="100" w:afterAutospacing="1"/>
      <w:jc w:val="right"/>
    </w:pPr>
    <w:rPr>
      <w:rFonts w:eastAsia="Times New Roman"/>
      <w:sz w:val="18"/>
      <w:szCs w:val="18"/>
      <w:lang w:eastAsia="en-GB"/>
    </w:rPr>
  </w:style>
  <w:style w:type="paragraph" w:customStyle="1" w:styleId="xl459">
    <w:name w:val="xl459"/>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60">
    <w:name w:val="xl460"/>
    <w:basedOn w:val="Normal"/>
    <w:uiPriority w:val="99"/>
    <w:pPr>
      <w:spacing w:before="100" w:beforeAutospacing="1" w:after="100" w:afterAutospacing="1"/>
      <w:jc w:val="left"/>
    </w:pPr>
    <w:rPr>
      <w:rFonts w:eastAsia="Times New Roman"/>
      <w:sz w:val="18"/>
      <w:szCs w:val="18"/>
      <w:lang w:eastAsia="en-GB"/>
    </w:rPr>
  </w:style>
  <w:style w:type="paragraph" w:customStyle="1" w:styleId="xl461">
    <w:name w:val="xl461"/>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462">
    <w:name w:val="xl462"/>
    <w:basedOn w:val="Normal"/>
    <w:uiPriority w:val="99"/>
    <w:pPr>
      <w:spacing w:before="100" w:beforeAutospacing="1" w:after="100" w:afterAutospacing="1"/>
      <w:jc w:val="right"/>
    </w:pPr>
    <w:rPr>
      <w:rFonts w:ascii="Calibri" w:eastAsia="Times New Roman" w:hAnsi="Calibri"/>
      <w:sz w:val="18"/>
      <w:szCs w:val="18"/>
      <w:lang w:eastAsia="en-GB"/>
    </w:rPr>
  </w:style>
  <w:style w:type="paragraph" w:customStyle="1" w:styleId="xl463">
    <w:name w:val="xl463"/>
    <w:basedOn w:val="Normal"/>
    <w:uiPriority w:val="99"/>
    <w:pPr>
      <w:pBdr>
        <w:top w:val="single" w:sz="8" w:space="0" w:color="000000"/>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4">
    <w:name w:val="xl464"/>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65">
    <w:name w:val="xl465"/>
    <w:basedOn w:val="Normal"/>
    <w:uiPriority w:val="99"/>
    <w:pPr>
      <w:pBdr>
        <w:left w:val="single" w:sz="8" w:space="0" w:color="000000"/>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6">
    <w:name w:val="xl46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67">
    <w:name w:val="xl467"/>
    <w:basedOn w:val="Normal"/>
    <w:uiPriority w:val="99"/>
    <w:pPr>
      <w:spacing w:before="100" w:beforeAutospacing="1" w:after="100" w:afterAutospacing="1"/>
      <w:jc w:val="left"/>
    </w:pPr>
    <w:rPr>
      <w:rFonts w:eastAsia="Times New Roman"/>
      <w:sz w:val="18"/>
      <w:szCs w:val="18"/>
      <w:lang w:eastAsia="en-GB"/>
    </w:rPr>
  </w:style>
  <w:style w:type="paragraph" w:customStyle="1" w:styleId="xl468">
    <w:name w:val="xl468"/>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69">
    <w:name w:val="xl469"/>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70">
    <w:name w:val="xl470"/>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71">
    <w:name w:val="xl471"/>
    <w:basedOn w:val="Normal"/>
    <w:uiPriority w:val="99"/>
    <w:pPr>
      <w:spacing w:before="100" w:beforeAutospacing="1" w:after="100" w:afterAutospacing="1"/>
      <w:jc w:val="right"/>
    </w:pPr>
    <w:rPr>
      <w:rFonts w:ascii="Calibri" w:eastAsia="Times New Roman" w:hAnsi="Calibri"/>
      <w:color w:val="000000"/>
      <w:sz w:val="16"/>
      <w:szCs w:val="16"/>
      <w:lang w:eastAsia="en-GB"/>
    </w:rPr>
  </w:style>
  <w:style w:type="paragraph" w:customStyle="1" w:styleId="xl472">
    <w:name w:val="xl47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73">
    <w:name w:val="xl473"/>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74">
    <w:name w:val="xl474"/>
    <w:basedOn w:val="Normal"/>
    <w:uiPriority w:val="99"/>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475">
    <w:name w:val="xl475"/>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76">
    <w:name w:val="xl476"/>
    <w:basedOn w:val="Normal"/>
    <w:uiPriority w:val="99"/>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477">
    <w:name w:val="xl477"/>
    <w:basedOn w:val="Normal"/>
    <w:uiPriority w:val="99"/>
    <w:pPr>
      <w:pBdr>
        <w:top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478">
    <w:name w:val="xl478"/>
    <w:basedOn w:val="Normal"/>
    <w:uiPriority w:val="99"/>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79">
    <w:name w:val="xl479"/>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0">
    <w:name w:val="xl480"/>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1">
    <w:name w:val="xl481"/>
    <w:basedOn w:val="Normal"/>
    <w:uiPriority w:val="99"/>
    <w:pPr>
      <w:spacing w:before="100" w:beforeAutospacing="1" w:after="100" w:afterAutospacing="1"/>
      <w:jc w:val="left"/>
    </w:pPr>
    <w:rPr>
      <w:rFonts w:eastAsia="Times New Roman"/>
      <w:b/>
      <w:bCs/>
      <w:sz w:val="18"/>
      <w:szCs w:val="18"/>
      <w:lang w:eastAsia="en-GB"/>
    </w:rPr>
  </w:style>
  <w:style w:type="paragraph" w:customStyle="1" w:styleId="xl482">
    <w:name w:val="xl4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83">
    <w:name w:val="xl4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4"/>
      <w:szCs w:val="14"/>
      <w:lang w:eastAsia="en-GB"/>
    </w:rPr>
  </w:style>
  <w:style w:type="paragraph" w:customStyle="1" w:styleId="xl484">
    <w:name w:val="xl4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5">
    <w:name w:val="xl48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6">
    <w:name w:val="xl4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7">
    <w:name w:val="xl48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14"/>
      <w:szCs w:val="14"/>
      <w:lang w:eastAsia="en-GB"/>
    </w:rPr>
  </w:style>
  <w:style w:type="paragraph" w:customStyle="1" w:styleId="xl488">
    <w:name w:val="xl48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9">
    <w:name w:val="xl48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90">
    <w:name w:val="xl49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4"/>
      <w:szCs w:val="14"/>
      <w:lang w:eastAsia="en-GB"/>
    </w:rPr>
  </w:style>
  <w:style w:type="paragraph" w:customStyle="1" w:styleId="xl491">
    <w:name w:val="xl49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4"/>
      <w:szCs w:val="14"/>
      <w:lang w:eastAsia="en-GB"/>
    </w:rPr>
  </w:style>
  <w:style w:type="paragraph" w:customStyle="1" w:styleId="xl492">
    <w:name w:val="xl492"/>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3">
    <w:name w:val="xl493"/>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494">
    <w:name w:val="xl494"/>
    <w:basedOn w:val="Normal"/>
    <w:uiPriority w:val="99"/>
    <w:pPr>
      <w:pBdr>
        <w:top w:val="single" w:sz="8" w:space="0" w:color="000000"/>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95">
    <w:name w:val="xl495"/>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6">
    <w:name w:val="xl49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497">
    <w:name w:val="xl497"/>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498">
    <w:name w:val="xl498"/>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99">
    <w:name w:val="xl499"/>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500">
    <w:name w:val="xl500"/>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01">
    <w:name w:val="xl501"/>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02">
    <w:name w:val="xl502"/>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03">
    <w:name w:val="xl503"/>
    <w:basedOn w:val="Normal"/>
    <w:uiPriority w:val="99"/>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04">
    <w:name w:val="xl504"/>
    <w:basedOn w:val="Normal"/>
    <w:uiPriority w:val="99"/>
    <w:pPr>
      <w:pBdr>
        <w:bottom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05">
    <w:name w:val="xl505"/>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06">
    <w:name w:val="xl506"/>
    <w:basedOn w:val="Normal"/>
    <w:uiPriority w:val="99"/>
    <w:pPr>
      <w:spacing w:before="100" w:beforeAutospacing="1" w:after="100" w:afterAutospacing="1"/>
      <w:jc w:val="right"/>
    </w:pPr>
    <w:rPr>
      <w:rFonts w:eastAsia="Times New Roman"/>
      <w:i/>
      <w:iCs/>
      <w:color w:val="000000"/>
      <w:sz w:val="18"/>
      <w:szCs w:val="18"/>
      <w:lang w:eastAsia="en-GB"/>
    </w:rPr>
  </w:style>
  <w:style w:type="paragraph" w:customStyle="1" w:styleId="xl507">
    <w:name w:val="xl507"/>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08">
    <w:name w:val="xl508"/>
    <w:basedOn w:val="Normal"/>
    <w:uiPriority w:val="99"/>
    <w:pPr>
      <w:pBdr>
        <w:bottom w:val="single" w:sz="8" w:space="0" w:color="auto"/>
      </w:pBdr>
      <w:spacing w:before="100" w:beforeAutospacing="1" w:after="100" w:afterAutospacing="1"/>
      <w:jc w:val="right"/>
    </w:pPr>
    <w:rPr>
      <w:rFonts w:eastAsia="Times New Roman"/>
      <w:i/>
      <w:iCs/>
      <w:color w:val="000000"/>
      <w:sz w:val="18"/>
      <w:szCs w:val="18"/>
      <w:lang w:eastAsia="en-GB"/>
    </w:rPr>
  </w:style>
  <w:style w:type="paragraph" w:customStyle="1" w:styleId="xl509">
    <w:name w:val="xl50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0">
    <w:name w:val="xl510"/>
    <w:basedOn w:val="Normal"/>
    <w:uiPriority w:val="99"/>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1">
    <w:name w:val="xl511"/>
    <w:basedOn w:val="Normal"/>
    <w:uiPriority w:val="99"/>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2">
    <w:name w:val="xl512"/>
    <w:basedOn w:val="Normal"/>
    <w:uiPriority w:val="99"/>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3">
    <w:name w:val="xl513"/>
    <w:basedOn w:val="Normal"/>
    <w:uiPriority w:val="99"/>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4">
    <w:name w:val="xl514"/>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5">
    <w:name w:val="xl515"/>
    <w:basedOn w:val="Normal"/>
    <w:uiPriority w:val="99"/>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6">
    <w:name w:val="xl516"/>
    <w:basedOn w:val="Normal"/>
    <w:uiPriority w:val="99"/>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7">
    <w:name w:val="xl5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18">
    <w:name w:val="xl518"/>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
    <w:name w:val="xl519"/>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
    <w:name w:val="xl520"/>
    <w:basedOn w:val="Normal"/>
    <w:uiPriority w:val="99"/>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1">
    <w:name w:val="xl521"/>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2">
    <w:name w:val="xl52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3">
    <w:name w:val="xl523"/>
    <w:basedOn w:val="Normal"/>
    <w:uiPriority w:val="99"/>
    <w:pPr>
      <w:spacing w:before="100" w:beforeAutospacing="1" w:after="100" w:afterAutospacing="1"/>
      <w:jc w:val="right"/>
    </w:pPr>
    <w:rPr>
      <w:rFonts w:eastAsia="Times New Roman"/>
      <w:sz w:val="18"/>
      <w:szCs w:val="18"/>
      <w:lang w:eastAsia="en-GB"/>
    </w:rPr>
  </w:style>
  <w:style w:type="paragraph" w:customStyle="1" w:styleId="xl524">
    <w:name w:val="xl524"/>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5">
    <w:name w:val="xl52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26">
    <w:name w:val="xl526"/>
    <w:basedOn w:val="Normal"/>
    <w:uiPriority w:val="99"/>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7">
    <w:name w:val="xl52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28">
    <w:name w:val="xl528"/>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9">
    <w:name w:val="xl529"/>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30">
    <w:name w:val="xl530"/>
    <w:basedOn w:val="Normal"/>
    <w:uiPriority w:val="99"/>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31">
    <w:name w:val="xl531"/>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32">
    <w:name w:val="xl53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33">
    <w:name w:val="xl533"/>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34">
    <w:name w:val="xl53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35">
    <w:name w:val="xl535"/>
    <w:basedOn w:val="Normal"/>
    <w:uiPriority w:val="99"/>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36">
    <w:name w:val="xl536"/>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37">
    <w:name w:val="xl537"/>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38">
    <w:name w:val="xl538"/>
    <w:basedOn w:val="Normal"/>
    <w:uiPriority w:val="99"/>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39">
    <w:name w:val="xl539"/>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40">
    <w:name w:val="xl540"/>
    <w:basedOn w:val="Normal"/>
    <w:uiPriority w:val="99"/>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41">
    <w:name w:val="xl54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42">
    <w:name w:val="xl54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43">
    <w:name w:val="xl54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4">
    <w:name w:val="xl54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5">
    <w:name w:val="xl54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46">
    <w:name w:val="xl546"/>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47">
    <w:name w:val="xl54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48">
    <w:name w:val="xl54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49">
    <w:name w:val="xl5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0">
    <w:name w:val="xl5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1">
    <w:name w:val="xl551"/>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2">
    <w:name w:val="xl55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53">
    <w:name w:val="xl553"/>
    <w:basedOn w:val="Normal"/>
    <w:uiPriority w:val="99"/>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54">
    <w:name w:val="xl554"/>
    <w:basedOn w:val="Normal"/>
    <w:uiPriority w:val="99"/>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55">
    <w:name w:val="xl555"/>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6">
    <w:name w:val="xl556"/>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7">
    <w:name w:val="xl557"/>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8">
    <w:name w:val="xl558"/>
    <w:basedOn w:val="Normal"/>
    <w:uiPriority w:val="99"/>
    <w:pPr>
      <w:spacing w:before="100" w:beforeAutospacing="1" w:after="100" w:afterAutospacing="1"/>
      <w:jc w:val="left"/>
    </w:pPr>
    <w:rPr>
      <w:rFonts w:ascii="Calibri" w:eastAsia="Times New Roman" w:hAnsi="Calibri"/>
      <w:b/>
      <w:bCs/>
      <w:sz w:val="12"/>
      <w:szCs w:val="12"/>
      <w:lang w:eastAsia="en-GB"/>
    </w:rPr>
  </w:style>
  <w:style w:type="paragraph" w:customStyle="1" w:styleId="xl559">
    <w:name w:val="xl559"/>
    <w:basedOn w:val="Normal"/>
    <w:uiPriority w:val="99"/>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0">
    <w:name w:val="xl560"/>
    <w:basedOn w:val="Normal"/>
    <w:uiPriority w:val="99"/>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1">
    <w:name w:val="xl561"/>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2">
    <w:name w:val="xl562"/>
    <w:basedOn w:val="Normal"/>
    <w:uiPriority w:val="99"/>
    <w:pPr>
      <w:spacing w:before="100" w:beforeAutospacing="1" w:after="100" w:afterAutospacing="1"/>
      <w:jc w:val="center"/>
    </w:pPr>
    <w:rPr>
      <w:rFonts w:eastAsia="Times New Roman"/>
      <w:color w:val="000000"/>
      <w:sz w:val="12"/>
      <w:szCs w:val="12"/>
      <w:lang w:eastAsia="en-GB"/>
    </w:rPr>
  </w:style>
  <w:style w:type="paragraph" w:customStyle="1" w:styleId="xl563">
    <w:name w:val="xl563"/>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64">
    <w:name w:val="xl564"/>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5">
    <w:name w:val="xl565"/>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6">
    <w:name w:val="xl566"/>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7">
    <w:name w:val="xl567"/>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8">
    <w:name w:val="xl568"/>
    <w:basedOn w:val="Normal"/>
    <w:uiPriority w:val="99"/>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69">
    <w:name w:val="xl569"/>
    <w:basedOn w:val="Normal"/>
    <w:uiPriority w:val="99"/>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70">
    <w:name w:val="xl570"/>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71">
    <w:name w:val="xl57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72">
    <w:name w:val="xl57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73">
    <w:name w:val="xl573"/>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4">
    <w:name w:val="xl574"/>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5">
    <w:name w:val="xl575"/>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576">
    <w:name w:val="xl57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77">
    <w:name w:val="xl577"/>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78">
    <w:name w:val="xl578"/>
    <w:basedOn w:val="Normal"/>
    <w:uiPriority w:val="99"/>
    <w:pPr>
      <w:spacing w:before="100" w:beforeAutospacing="1" w:after="100" w:afterAutospacing="1"/>
      <w:jc w:val="right"/>
    </w:pPr>
    <w:rPr>
      <w:rFonts w:eastAsia="Times New Roman"/>
      <w:sz w:val="18"/>
      <w:szCs w:val="18"/>
      <w:lang w:eastAsia="en-GB"/>
    </w:rPr>
  </w:style>
  <w:style w:type="paragraph" w:customStyle="1" w:styleId="xl579">
    <w:name w:val="xl57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80">
    <w:name w:val="xl58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81">
    <w:name w:val="xl581"/>
    <w:basedOn w:val="Normal"/>
    <w:uiPriority w:val="99"/>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82">
    <w:name w:val="xl582"/>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83">
    <w:name w:val="xl583"/>
    <w:basedOn w:val="Normal"/>
    <w:uiPriority w:val="99"/>
    <w:pPr>
      <w:spacing w:before="100" w:beforeAutospacing="1" w:after="100" w:afterAutospacing="1"/>
      <w:jc w:val="right"/>
    </w:pPr>
    <w:rPr>
      <w:rFonts w:eastAsia="Times New Roman"/>
      <w:sz w:val="18"/>
      <w:szCs w:val="18"/>
      <w:lang w:eastAsia="en-GB"/>
    </w:rPr>
  </w:style>
  <w:style w:type="paragraph" w:customStyle="1" w:styleId="xl584">
    <w:name w:val="xl58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85">
    <w:name w:val="xl585"/>
    <w:basedOn w:val="Normal"/>
    <w:uiPriority w:val="99"/>
    <w:pPr>
      <w:spacing w:before="100" w:beforeAutospacing="1" w:after="100" w:afterAutospacing="1"/>
      <w:jc w:val="left"/>
    </w:pPr>
    <w:rPr>
      <w:rFonts w:eastAsia="Times New Roman"/>
      <w:sz w:val="18"/>
      <w:szCs w:val="18"/>
      <w:lang w:eastAsia="en-GB"/>
    </w:rPr>
  </w:style>
  <w:style w:type="paragraph" w:customStyle="1" w:styleId="xl586">
    <w:name w:val="xl58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87">
    <w:name w:val="xl587"/>
    <w:basedOn w:val="Normal"/>
    <w:uiPriority w:val="99"/>
    <w:pPr>
      <w:spacing w:before="100" w:beforeAutospacing="1" w:after="100" w:afterAutospacing="1"/>
      <w:jc w:val="left"/>
    </w:pPr>
    <w:rPr>
      <w:rFonts w:eastAsia="Times New Roman"/>
      <w:i/>
      <w:iCs/>
      <w:color w:val="000000"/>
      <w:sz w:val="18"/>
      <w:szCs w:val="18"/>
      <w:lang w:eastAsia="en-GB"/>
    </w:rPr>
  </w:style>
  <w:style w:type="paragraph" w:customStyle="1" w:styleId="xl588">
    <w:name w:val="xl588"/>
    <w:basedOn w:val="Normal"/>
    <w:uiPriority w:val="99"/>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89">
    <w:name w:val="xl589"/>
    <w:basedOn w:val="Normal"/>
    <w:uiPriority w:val="99"/>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0">
    <w:name w:val="xl590"/>
    <w:basedOn w:val="Normal"/>
    <w:uiPriority w:val="99"/>
    <w:pPr>
      <w:spacing w:before="100" w:beforeAutospacing="1" w:after="100" w:afterAutospacing="1"/>
      <w:jc w:val="right"/>
    </w:pPr>
    <w:rPr>
      <w:rFonts w:eastAsia="Times New Roman"/>
      <w:color w:val="000000"/>
      <w:sz w:val="12"/>
      <w:szCs w:val="12"/>
      <w:lang w:eastAsia="en-GB"/>
    </w:rPr>
  </w:style>
  <w:style w:type="paragraph" w:customStyle="1" w:styleId="xl591">
    <w:name w:val="xl591"/>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2">
    <w:name w:val="xl592"/>
    <w:basedOn w:val="Normal"/>
    <w:uiPriority w:val="99"/>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3">
    <w:name w:val="xl593"/>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4">
    <w:name w:val="xl59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95">
    <w:name w:val="xl595"/>
    <w:basedOn w:val="Normal"/>
    <w:uiPriority w:val="99"/>
    <w:pPr>
      <w:spacing w:before="100" w:beforeAutospacing="1" w:after="100" w:afterAutospacing="1"/>
      <w:jc w:val="right"/>
    </w:pPr>
    <w:rPr>
      <w:rFonts w:eastAsia="Times New Roman"/>
      <w:sz w:val="18"/>
      <w:szCs w:val="18"/>
      <w:lang w:eastAsia="en-GB"/>
    </w:rPr>
  </w:style>
  <w:style w:type="paragraph" w:customStyle="1" w:styleId="xl596">
    <w:name w:val="xl59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97">
    <w:name w:val="xl59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98">
    <w:name w:val="xl59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9">
    <w:name w:val="xl5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600">
    <w:name w:val="xl600"/>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1">
    <w:name w:val="xl601"/>
    <w:basedOn w:val="Normal"/>
    <w:uiPriority w:val="99"/>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602">
    <w:name w:val="xl602"/>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3">
    <w:name w:val="xl603"/>
    <w:basedOn w:val="Normal"/>
    <w:uiPriority w:val="99"/>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4">
    <w:name w:val="xl604"/>
    <w:basedOn w:val="Normal"/>
    <w:uiPriority w:val="99"/>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5">
    <w:name w:val="xl605"/>
    <w:basedOn w:val="Normal"/>
    <w:uiPriority w:val="99"/>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6">
    <w:name w:val="xl606"/>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607">
    <w:name w:val="xl607"/>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8">
    <w:name w:val="xl608"/>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9">
    <w:name w:val="xl609"/>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0">
    <w:name w:val="xl610"/>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1">
    <w:name w:val="xl611"/>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612">
    <w:name w:val="xl612"/>
    <w:basedOn w:val="Normal"/>
    <w:uiPriority w:val="99"/>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613">
    <w:name w:val="xl613"/>
    <w:basedOn w:val="Normal"/>
    <w:uiPriority w:val="99"/>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614">
    <w:name w:val="xl61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15">
    <w:name w:val="xl615"/>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6">
    <w:name w:val="xl61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7">
    <w:name w:val="xl6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18">
    <w:name w:val="xl618"/>
    <w:basedOn w:val="Normal"/>
    <w:uiPriority w:val="99"/>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619">
    <w:name w:val="xl61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0">
    <w:name w:val="xl620"/>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1">
    <w:name w:val="xl62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22">
    <w:name w:val="xl622"/>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23">
    <w:name w:val="xl623"/>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4">
    <w:name w:val="xl624"/>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5">
    <w:name w:val="xl625"/>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6">
    <w:name w:val="xl626"/>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7">
    <w:name w:val="xl627"/>
    <w:basedOn w:val="Normal"/>
    <w:uiPriority w:val="99"/>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628">
    <w:name w:val="xl628"/>
    <w:basedOn w:val="Normal"/>
    <w:uiPriority w:val="99"/>
    <w:pPr>
      <w:spacing w:before="100" w:beforeAutospacing="1" w:after="100" w:afterAutospacing="1"/>
      <w:jc w:val="left"/>
    </w:pPr>
    <w:rPr>
      <w:rFonts w:eastAsia="Times New Roman"/>
      <w:sz w:val="18"/>
      <w:szCs w:val="18"/>
      <w:lang w:eastAsia="en-GB"/>
    </w:rPr>
  </w:style>
  <w:style w:type="paragraph" w:customStyle="1" w:styleId="xl629">
    <w:name w:val="xl62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30">
    <w:name w:val="xl630"/>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631">
    <w:name w:val="xl631"/>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32">
    <w:name w:val="xl63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3">
    <w:name w:val="xl633"/>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4">
    <w:name w:val="xl634"/>
    <w:basedOn w:val="Normal"/>
    <w:uiPriority w:val="99"/>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5">
    <w:name w:val="xl635"/>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6">
    <w:name w:val="xl636"/>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7">
    <w:name w:val="xl637"/>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8">
    <w:name w:val="xl638"/>
    <w:basedOn w:val="Normal"/>
    <w:uiPriority w:val="99"/>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9">
    <w:name w:val="xl639"/>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40">
    <w:name w:val="xl640"/>
    <w:basedOn w:val="Normal"/>
    <w:uiPriority w:val="99"/>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41">
    <w:name w:val="xl641"/>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42">
    <w:name w:val="xl64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3">
    <w:name w:val="xl643"/>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4">
    <w:name w:val="xl644"/>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45">
    <w:name w:val="xl645"/>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46">
    <w:name w:val="xl646"/>
    <w:basedOn w:val="Normal"/>
    <w:uiPriority w:val="99"/>
    <w:pPr>
      <w:pBdr>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7">
    <w:name w:val="xl647"/>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8">
    <w:name w:val="xl648"/>
    <w:basedOn w:val="Normal"/>
    <w:uiPriority w:val="99"/>
    <w:pPr>
      <w:pBdr>
        <w:left w:val="single" w:sz="4" w:space="0" w:color="auto"/>
        <w:right w:val="single" w:sz="4" w:space="0" w:color="auto"/>
      </w:pBdr>
      <w:spacing w:before="100" w:beforeAutospacing="1" w:after="100" w:afterAutospacing="1"/>
      <w:jc w:val="right"/>
    </w:pPr>
    <w:rPr>
      <w:rFonts w:eastAsia="Times New Roman"/>
      <w:szCs w:val="24"/>
      <w:lang w:eastAsia="en-GB"/>
    </w:rPr>
  </w:style>
  <w:style w:type="paragraph" w:customStyle="1" w:styleId="xl649">
    <w:name w:val="xl64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0">
    <w:name w:val="xl650"/>
    <w:basedOn w:val="Normal"/>
    <w:uiPriority w:val="99"/>
    <w:pPr>
      <w:pBdr>
        <w:top w:val="single" w:sz="8" w:space="0" w:color="auto"/>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1">
    <w:name w:val="xl651"/>
    <w:basedOn w:val="Normal"/>
    <w:uiPriority w:val="99"/>
    <w:pPr>
      <w:pBdr>
        <w:left w:val="single" w:sz="4"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52">
    <w:name w:val="xl652"/>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3">
    <w:name w:val="xl653"/>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54">
    <w:name w:val="xl65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55">
    <w:name w:val="xl655"/>
    <w:basedOn w:val="Normal"/>
    <w:uiPriority w:val="99"/>
    <w:pPr>
      <w:pBdr>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6">
    <w:name w:val="xl656"/>
    <w:basedOn w:val="Normal"/>
    <w:uiPriority w:val="99"/>
    <w:pPr>
      <w:pBdr>
        <w:left w:val="single" w:sz="4" w:space="0" w:color="auto"/>
        <w:bottom w:val="single" w:sz="8" w:space="0" w:color="auto"/>
      </w:pBdr>
      <w:shd w:val="clear" w:color="auto" w:fill="FFFF00"/>
      <w:spacing w:before="100" w:beforeAutospacing="1" w:after="100" w:afterAutospacing="1"/>
      <w:jc w:val="left"/>
    </w:pPr>
    <w:rPr>
      <w:rFonts w:eastAsia="Times New Roman"/>
      <w:color w:val="000000"/>
      <w:sz w:val="18"/>
      <w:szCs w:val="18"/>
      <w:lang w:eastAsia="en-GB"/>
    </w:rPr>
  </w:style>
  <w:style w:type="paragraph" w:customStyle="1" w:styleId="xl657">
    <w:name w:val="xl657"/>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8">
    <w:name w:val="xl658"/>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9">
    <w:name w:val="xl659"/>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60">
    <w:name w:val="xl660"/>
    <w:basedOn w:val="Normal"/>
    <w:uiPriority w:val="99"/>
    <w:pPr>
      <w:pBdr>
        <w:top w:val="single" w:sz="8" w:space="0" w:color="000000"/>
        <w:left w:val="single" w:sz="4" w:space="0" w:color="auto"/>
      </w:pBdr>
      <w:spacing w:before="100" w:beforeAutospacing="1" w:after="100" w:afterAutospacing="1"/>
      <w:jc w:val="left"/>
    </w:pPr>
    <w:rPr>
      <w:rFonts w:eastAsia="Times New Roman"/>
      <w:sz w:val="18"/>
      <w:szCs w:val="18"/>
      <w:lang w:eastAsia="en-GB"/>
    </w:rPr>
  </w:style>
  <w:style w:type="paragraph" w:customStyle="1" w:styleId="xl661">
    <w:name w:val="xl661"/>
    <w:basedOn w:val="Normal"/>
    <w:uiPriority w:val="99"/>
    <w:pPr>
      <w:pBdr>
        <w:left w:val="single" w:sz="4" w:space="0" w:color="auto"/>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662">
    <w:name w:val="xl662"/>
    <w:basedOn w:val="Normal"/>
    <w:uiPriority w:val="99"/>
    <w:pPr>
      <w:pBdr>
        <w:top w:val="single" w:sz="8" w:space="0" w:color="000000"/>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3">
    <w:name w:val="xl663"/>
    <w:basedOn w:val="Normal"/>
    <w:uiPriority w:val="99"/>
    <w:pPr>
      <w:pBdr>
        <w:left w:val="single" w:sz="4" w:space="0" w:color="auto"/>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64">
    <w:name w:val="xl664"/>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65">
    <w:name w:val="xl665"/>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66">
    <w:name w:val="xl666"/>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67">
    <w:name w:val="xl667"/>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8">
    <w:name w:val="xl668"/>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9">
    <w:name w:val="xl66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0">
    <w:name w:val="xl670"/>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1">
    <w:name w:val="xl671"/>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72">
    <w:name w:val="xl672"/>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73">
    <w:name w:val="xl673"/>
    <w:basedOn w:val="Normal"/>
    <w:uiPriority w:val="99"/>
    <w:pPr>
      <w:pBdr>
        <w:top w:val="single" w:sz="8"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74">
    <w:name w:val="xl67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75">
    <w:name w:val="xl675"/>
    <w:basedOn w:val="Normal"/>
    <w:uiPriority w:val="99"/>
    <w:pPr>
      <w:pBdr>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DESignature">
    <w:name w:val="DE Signature"/>
    <w:basedOn w:val="Normal"/>
    <w:next w:val="Normal"/>
    <w:uiPriority w:val="99"/>
    <w:pPr>
      <w:tabs>
        <w:tab w:val="center" w:pos="5953"/>
      </w:tabs>
      <w:spacing w:before="720" w:line="360" w:lineRule="auto"/>
      <w:jc w:val="left"/>
    </w:pPr>
  </w:style>
  <w:style w:type="paragraph" w:customStyle="1" w:styleId="xl51867">
    <w:name w:val="xl5186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8">
    <w:name w:val="xl5186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9">
    <w:name w:val="xl5186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0">
    <w:name w:val="xl51870"/>
    <w:basedOn w:val="Normal"/>
    <w:pPr>
      <w:spacing w:before="100" w:beforeAutospacing="1" w:after="100" w:afterAutospacing="1"/>
      <w:jc w:val="left"/>
    </w:pPr>
    <w:rPr>
      <w:rFonts w:eastAsia="Times New Roman"/>
      <w:color w:val="000000"/>
      <w:sz w:val="18"/>
      <w:szCs w:val="18"/>
      <w:lang w:eastAsia="en-GB"/>
    </w:rPr>
  </w:style>
  <w:style w:type="paragraph" w:customStyle="1" w:styleId="xl51871">
    <w:name w:val="xl51871"/>
    <w:basedOn w:val="Normal"/>
    <w:pPr>
      <w:spacing w:before="100" w:beforeAutospacing="1" w:after="100" w:afterAutospacing="1"/>
      <w:jc w:val="left"/>
    </w:pPr>
    <w:rPr>
      <w:rFonts w:eastAsia="Times New Roman"/>
      <w:sz w:val="18"/>
      <w:szCs w:val="18"/>
      <w:lang w:eastAsia="en-GB"/>
    </w:rPr>
  </w:style>
  <w:style w:type="paragraph" w:customStyle="1" w:styleId="xl51872">
    <w:name w:val="xl51872"/>
    <w:basedOn w:val="Normal"/>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1873">
    <w:name w:val="xl51873"/>
    <w:basedOn w:val="Normal"/>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4">
    <w:name w:val="xl51874"/>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875">
    <w:name w:val="xl51875"/>
    <w:basedOn w:val="Normal"/>
    <w:pPr>
      <w:spacing w:before="100" w:beforeAutospacing="1" w:after="100" w:afterAutospacing="1"/>
      <w:jc w:val="left"/>
    </w:pPr>
    <w:rPr>
      <w:rFonts w:ascii="Calibri" w:eastAsia="Times New Roman" w:hAnsi="Calibri"/>
      <w:color w:val="000000"/>
      <w:sz w:val="18"/>
      <w:szCs w:val="18"/>
      <w:lang w:eastAsia="en-GB"/>
    </w:rPr>
  </w:style>
  <w:style w:type="paragraph" w:customStyle="1" w:styleId="xl51876">
    <w:name w:val="xl5187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7">
    <w:name w:val="xl51877"/>
    <w:basedOn w:val="Normal"/>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8">
    <w:name w:val="xl51878"/>
    <w:basedOn w:val="Normal"/>
    <w:pPr>
      <w:spacing w:before="100" w:beforeAutospacing="1" w:after="100" w:afterAutospacing="1"/>
      <w:jc w:val="left"/>
    </w:pPr>
    <w:rPr>
      <w:rFonts w:eastAsia="Times New Roman"/>
      <w:color w:val="000000"/>
      <w:sz w:val="18"/>
      <w:szCs w:val="18"/>
      <w:lang w:eastAsia="en-GB"/>
    </w:rPr>
  </w:style>
  <w:style w:type="paragraph" w:customStyle="1" w:styleId="xl51879">
    <w:name w:val="xl51879"/>
    <w:basedOn w:val="Normal"/>
    <w:pPr>
      <w:spacing w:before="100" w:beforeAutospacing="1" w:after="100" w:afterAutospacing="1"/>
      <w:jc w:val="left"/>
    </w:pPr>
    <w:rPr>
      <w:rFonts w:eastAsia="Times New Roman"/>
      <w:color w:val="000000"/>
      <w:sz w:val="18"/>
      <w:szCs w:val="18"/>
      <w:lang w:eastAsia="en-GB"/>
    </w:rPr>
  </w:style>
  <w:style w:type="paragraph" w:customStyle="1" w:styleId="xl51880">
    <w:name w:val="xl51880"/>
    <w:basedOn w:val="Normal"/>
    <w:pPr>
      <w:spacing w:before="100" w:beforeAutospacing="1" w:after="100" w:afterAutospacing="1"/>
      <w:jc w:val="left"/>
    </w:pPr>
    <w:rPr>
      <w:rFonts w:eastAsia="Times New Roman"/>
      <w:color w:val="000000"/>
      <w:sz w:val="18"/>
      <w:szCs w:val="18"/>
      <w:lang w:eastAsia="en-GB"/>
    </w:rPr>
  </w:style>
  <w:style w:type="paragraph" w:customStyle="1" w:styleId="xl51881">
    <w:name w:val="xl51881"/>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2">
    <w:name w:val="xl51882"/>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3">
    <w:name w:val="xl51883"/>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4">
    <w:name w:val="xl51884"/>
    <w:basedOn w:val="Normal"/>
    <w:pPr>
      <w:pBdr>
        <w:top w:val="single" w:sz="8" w:space="0" w:color="auto"/>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5">
    <w:name w:val="xl5188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6">
    <w:name w:val="xl5188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7">
    <w:name w:val="xl5188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8">
    <w:name w:val="xl51888"/>
    <w:basedOn w:val="Normal"/>
    <w:pPr>
      <w:pBdr>
        <w:left w:val="single" w:sz="8"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9">
    <w:name w:val="xl51889"/>
    <w:basedOn w:val="Normal"/>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1890">
    <w:name w:val="xl51890"/>
    <w:basedOn w:val="Normal"/>
    <w:pPr>
      <w:spacing w:before="100" w:beforeAutospacing="1" w:after="100" w:afterAutospacing="1"/>
      <w:jc w:val="right"/>
    </w:pPr>
    <w:rPr>
      <w:rFonts w:eastAsia="Times New Roman"/>
      <w:color w:val="000000"/>
      <w:sz w:val="18"/>
      <w:szCs w:val="18"/>
      <w:lang w:eastAsia="en-GB"/>
    </w:rPr>
  </w:style>
  <w:style w:type="paragraph" w:customStyle="1" w:styleId="xl51891">
    <w:name w:val="xl51891"/>
    <w:basedOn w:val="Normal"/>
    <w:pPr>
      <w:spacing w:before="100" w:beforeAutospacing="1" w:after="100" w:afterAutospacing="1"/>
      <w:jc w:val="right"/>
    </w:pPr>
    <w:rPr>
      <w:rFonts w:eastAsia="Times New Roman"/>
      <w:color w:val="000000"/>
      <w:sz w:val="18"/>
      <w:szCs w:val="18"/>
      <w:lang w:eastAsia="en-GB"/>
    </w:rPr>
  </w:style>
  <w:style w:type="paragraph" w:customStyle="1" w:styleId="xl51892">
    <w:name w:val="xl51892"/>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3">
    <w:name w:val="xl51893"/>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894">
    <w:name w:val="xl51894"/>
    <w:basedOn w:val="Normal"/>
    <w:pPr>
      <w:spacing w:before="100" w:beforeAutospacing="1" w:after="100" w:afterAutospacing="1"/>
      <w:jc w:val="left"/>
    </w:pPr>
    <w:rPr>
      <w:rFonts w:eastAsia="Times New Roman"/>
      <w:color w:val="000000"/>
      <w:sz w:val="18"/>
      <w:szCs w:val="18"/>
      <w:lang w:eastAsia="en-GB"/>
    </w:rPr>
  </w:style>
  <w:style w:type="paragraph" w:customStyle="1" w:styleId="xl51895">
    <w:name w:val="xl5189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96">
    <w:name w:val="xl51896"/>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7">
    <w:name w:val="xl51897"/>
    <w:basedOn w:val="Normal"/>
    <w:pPr>
      <w:spacing w:before="100" w:beforeAutospacing="1" w:after="100" w:afterAutospacing="1"/>
      <w:jc w:val="left"/>
    </w:pPr>
    <w:rPr>
      <w:rFonts w:eastAsia="Times New Roman"/>
      <w:sz w:val="18"/>
      <w:szCs w:val="18"/>
      <w:lang w:eastAsia="en-GB"/>
    </w:rPr>
  </w:style>
  <w:style w:type="paragraph" w:customStyle="1" w:styleId="xl51898">
    <w:name w:val="xl51898"/>
    <w:basedOn w:val="Normal"/>
    <w:pPr>
      <w:spacing w:before="100" w:beforeAutospacing="1" w:after="100" w:afterAutospacing="1"/>
      <w:jc w:val="right"/>
    </w:pPr>
    <w:rPr>
      <w:rFonts w:eastAsia="Times New Roman"/>
      <w:sz w:val="18"/>
      <w:szCs w:val="18"/>
      <w:lang w:eastAsia="en-GB"/>
    </w:rPr>
  </w:style>
  <w:style w:type="paragraph" w:customStyle="1" w:styleId="xl51899">
    <w:name w:val="xl5189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00">
    <w:name w:val="xl5190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01">
    <w:name w:val="xl51901"/>
    <w:basedOn w:val="Normal"/>
    <w:pPr>
      <w:spacing w:before="100" w:beforeAutospacing="1" w:after="100" w:afterAutospacing="1"/>
      <w:jc w:val="left"/>
    </w:pPr>
    <w:rPr>
      <w:rFonts w:eastAsia="Times New Roman"/>
      <w:color w:val="FF0000"/>
      <w:sz w:val="18"/>
      <w:szCs w:val="18"/>
      <w:lang w:eastAsia="en-GB"/>
    </w:rPr>
  </w:style>
  <w:style w:type="paragraph" w:customStyle="1" w:styleId="xl51902">
    <w:name w:val="xl51902"/>
    <w:basedOn w:val="Normal"/>
    <w:pPr>
      <w:spacing w:before="100" w:beforeAutospacing="1" w:after="100" w:afterAutospacing="1"/>
      <w:jc w:val="right"/>
    </w:pPr>
    <w:rPr>
      <w:rFonts w:eastAsia="Times New Roman"/>
      <w:color w:val="FF0000"/>
      <w:sz w:val="18"/>
      <w:szCs w:val="18"/>
      <w:lang w:eastAsia="en-GB"/>
    </w:rPr>
  </w:style>
  <w:style w:type="paragraph" w:customStyle="1" w:styleId="xl51903">
    <w:name w:val="xl51903"/>
    <w:basedOn w:val="Normal"/>
    <w:pPr>
      <w:spacing w:before="100" w:beforeAutospacing="1" w:after="100" w:afterAutospacing="1"/>
      <w:jc w:val="left"/>
    </w:pPr>
    <w:rPr>
      <w:rFonts w:eastAsia="Times New Roman"/>
      <w:b/>
      <w:bCs/>
      <w:color w:val="FF0000"/>
      <w:sz w:val="18"/>
      <w:szCs w:val="18"/>
      <w:lang w:eastAsia="en-GB"/>
    </w:rPr>
  </w:style>
  <w:style w:type="paragraph" w:customStyle="1" w:styleId="xl51904">
    <w:name w:val="xl51904"/>
    <w:basedOn w:val="Normal"/>
    <w:pPr>
      <w:spacing w:before="100" w:beforeAutospacing="1" w:after="100" w:afterAutospacing="1"/>
      <w:jc w:val="left"/>
    </w:pPr>
    <w:rPr>
      <w:rFonts w:eastAsia="Times New Roman"/>
      <w:b/>
      <w:bCs/>
      <w:color w:val="000000"/>
      <w:sz w:val="18"/>
      <w:szCs w:val="18"/>
      <w:lang w:eastAsia="en-GB"/>
    </w:rPr>
  </w:style>
  <w:style w:type="paragraph" w:customStyle="1" w:styleId="xl51905">
    <w:name w:val="xl51905"/>
    <w:basedOn w:val="Normal"/>
    <w:pPr>
      <w:spacing w:before="100" w:beforeAutospacing="1" w:after="100" w:afterAutospacing="1"/>
      <w:jc w:val="left"/>
    </w:pPr>
    <w:rPr>
      <w:rFonts w:eastAsia="Times New Roman"/>
      <w:b/>
      <w:bCs/>
      <w:sz w:val="18"/>
      <w:szCs w:val="18"/>
      <w:lang w:eastAsia="en-GB"/>
    </w:rPr>
  </w:style>
  <w:style w:type="paragraph" w:customStyle="1" w:styleId="xl51906">
    <w:name w:val="xl51906"/>
    <w:basedOn w:val="Normal"/>
    <w:pPr>
      <w:spacing w:before="100" w:beforeAutospacing="1" w:after="100" w:afterAutospacing="1"/>
      <w:jc w:val="left"/>
    </w:pPr>
    <w:rPr>
      <w:rFonts w:eastAsia="Times New Roman"/>
      <w:sz w:val="18"/>
      <w:szCs w:val="18"/>
      <w:lang w:eastAsia="en-GB"/>
    </w:rPr>
  </w:style>
  <w:style w:type="paragraph" w:customStyle="1" w:styleId="xl51907">
    <w:name w:val="xl51907"/>
    <w:basedOn w:val="Normal"/>
    <w:pPr>
      <w:spacing w:before="100" w:beforeAutospacing="1" w:after="100" w:afterAutospacing="1"/>
      <w:jc w:val="left"/>
    </w:pPr>
    <w:rPr>
      <w:rFonts w:eastAsia="Times New Roman"/>
      <w:sz w:val="18"/>
      <w:szCs w:val="18"/>
      <w:lang w:eastAsia="en-GB"/>
    </w:rPr>
  </w:style>
  <w:style w:type="paragraph" w:customStyle="1" w:styleId="xl51908">
    <w:name w:val="xl51908"/>
    <w:basedOn w:val="Normal"/>
    <w:pPr>
      <w:spacing w:before="100" w:beforeAutospacing="1" w:after="100" w:afterAutospacing="1"/>
      <w:jc w:val="right"/>
    </w:pPr>
    <w:rPr>
      <w:rFonts w:eastAsia="Times New Roman"/>
      <w:b/>
      <w:bCs/>
      <w:sz w:val="18"/>
      <w:szCs w:val="18"/>
      <w:lang w:eastAsia="en-GB"/>
    </w:rPr>
  </w:style>
  <w:style w:type="paragraph" w:customStyle="1" w:styleId="xl51909">
    <w:name w:val="xl51909"/>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10">
    <w:name w:val="xl51910"/>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11">
    <w:name w:val="xl51911"/>
    <w:basedOn w:val="Normal"/>
    <w:pPr>
      <w:spacing w:before="100" w:beforeAutospacing="1" w:after="100" w:afterAutospacing="1"/>
      <w:jc w:val="right"/>
    </w:pPr>
    <w:rPr>
      <w:rFonts w:eastAsia="Times New Roman"/>
      <w:color w:val="000000"/>
      <w:sz w:val="18"/>
      <w:szCs w:val="18"/>
      <w:lang w:eastAsia="en-GB"/>
    </w:rPr>
  </w:style>
  <w:style w:type="paragraph" w:customStyle="1" w:styleId="xl51912">
    <w:name w:val="xl51912"/>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1913">
    <w:name w:val="xl51913"/>
    <w:basedOn w:val="Normal"/>
    <w:pPr>
      <w:pBdr>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14">
    <w:name w:val="xl51914"/>
    <w:basedOn w:val="Normal"/>
    <w:pPr>
      <w:pBdr>
        <w:bottom w:val="single" w:sz="8" w:space="0" w:color="auto"/>
      </w:pBdr>
      <w:spacing w:before="100" w:beforeAutospacing="1" w:after="100" w:afterAutospacing="1"/>
      <w:jc w:val="left"/>
    </w:pPr>
    <w:rPr>
      <w:rFonts w:eastAsia="Times New Roman"/>
      <w:color w:val="FF0000"/>
      <w:sz w:val="18"/>
      <w:szCs w:val="18"/>
      <w:lang w:eastAsia="en-GB"/>
    </w:rPr>
  </w:style>
  <w:style w:type="paragraph" w:customStyle="1" w:styleId="xl51915">
    <w:name w:val="xl51915"/>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16">
    <w:name w:val="xl51916"/>
    <w:basedOn w:val="Normal"/>
    <w:pPr>
      <w:spacing w:before="100" w:beforeAutospacing="1" w:after="100" w:afterAutospacing="1"/>
      <w:jc w:val="left"/>
    </w:pPr>
    <w:rPr>
      <w:rFonts w:eastAsia="Times New Roman"/>
      <w:color w:val="FF0000"/>
      <w:sz w:val="18"/>
      <w:szCs w:val="18"/>
      <w:lang w:eastAsia="en-GB"/>
    </w:rPr>
  </w:style>
  <w:style w:type="paragraph" w:customStyle="1" w:styleId="xl51917">
    <w:name w:val="xl51917"/>
    <w:basedOn w:val="Normal"/>
    <w:pPr>
      <w:spacing w:before="100" w:beforeAutospacing="1" w:after="100" w:afterAutospacing="1"/>
      <w:jc w:val="left"/>
    </w:pPr>
    <w:rPr>
      <w:rFonts w:eastAsia="Times New Roman"/>
      <w:color w:val="000000"/>
      <w:sz w:val="18"/>
      <w:szCs w:val="18"/>
      <w:lang w:eastAsia="en-GB"/>
    </w:rPr>
  </w:style>
  <w:style w:type="paragraph" w:customStyle="1" w:styleId="xl51918">
    <w:name w:val="xl51918"/>
    <w:basedOn w:val="Normal"/>
    <w:pPr>
      <w:spacing w:before="100" w:beforeAutospacing="1" w:after="100" w:afterAutospacing="1"/>
      <w:jc w:val="left"/>
    </w:pPr>
    <w:rPr>
      <w:rFonts w:eastAsia="Times New Roman"/>
      <w:color w:val="000000"/>
      <w:sz w:val="18"/>
      <w:szCs w:val="18"/>
      <w:lang w:eastAsia="en-GB"/>
    </w:rPr>
  </w:style>
  <w:style w:type="paragraph" w:customStyle="1" w:styleId="xl51919">
    <w:name w:val="xl51919"/>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20">
    <w:name w:val="xl51920"/>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1">
    <w:name w:val="xl51921"/>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2">
    <w:name w:val="xl51922"/>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3">
    <w:name w:val="xl51923"/>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4">
    <w:name w:val="xl5192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5">
    <w:name w:val="xl51925"/>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26">
    <w:name w:val="xl51926"/>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27">
    <w:name w:val="xl51927"/>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28">
    <w:name w:val="xl51928"/>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Sous-titreobjet">
    <w:name w:val="Sous-titre objet"/>
    <w:basedOn w:val="Normal"/>
    <w:uiPriority w:val="99"/>
    <w:pPr>
      <w:spacing w:before="0" w:after="0"/>
      <w:jc w:val="center"/>
    </w:pPr>
    <w:rPr>
      <w:b/>
    </w:rPr>
  </w:style>
  <w:style w:type="paragraph" w:customStyle="1" w:styleId="Titreobjet">
    <w:name w:val="Titre objet"/>
    <w:basedOn w:val="Normal"/>
    <w:next w:val="Sous-titreobjet"/>
    <w:uiPriority w:val="99"/>
    <w:pPr>
      <w:spacing w:before="180" w:after="180"/>
      <w:jc w:val="center"/>
    </w:pPr>
    <w:rPr>
      <w:b/>
    </w:rPr>
  </w:style>
  <w:style w:type="paragraph" w:customStyle="1" w:styleId="Sous-titreobjetPagedecouverture">
    <w:name w:val="Sous-titre objet (Page de couverture)"/>
    <w:basedOn w:val="Sous-titreobjet"/>
    <w:uiPriority w:val="99"/>
  </w:style>
  <w:style w:type="paragraph" w:customStyle="1" w:styleId="TitreobjetPagedecouverture">
    <w:name w:val="Titre objet (Page de couverture)"/>
    <w:basedOn w:val="Titreobjet"/>
    <w:next w:val="Sous-titreobjetPagedecouverture"/>
  </w:style>
  <w:style w:type="character" w:styleId="PlaceholderText">
    <w:name w:val="Placeholder Text"/>
    <w:basedOn w:val="DefaultParagraphFont"/>
    <w:uiPriority w:val="99"/>
    <w:semiHidden/>
    <w:rPr>
      <w:color w:val="808080"/>
    </w:rPr>
  </w:style>
  <w:style w:type="paragraph" w:customStyle="1" w:styleId="Jardin">
    <w:name w:val="Jardin"/>
    <w:basedOn w:val="Normal"/>
    <w:uiPriority w:val="99"/>
    <w:pPr>
      <w:spacing w:before="200" w:after="0"/>
      <w:jc w:val="center"/>
    </w:pPr>
    <w:rPr>
      <w:rFonts w:eastAsia="Times New Roman"/>
      <w:szCs w:val="24"/>
    </w:rPr>
  </w:style>
  <w:style w:type="paragraph" w:customStyle="1" w:styleId="NormalCompact">
    <w:name w:val="Normal Compact"/>
    <w:basedOn w:val="Normal"/>
    <w:next w:val="Normal"/>
    <w:uiPriority w:val="99"/>
    <w:pPr>
      <w:jc w:val="left"/>
    </w:pPr>
    <w:rPr>
      <w:rFonts w:eastAsia="Times New Roman"/>
      <w:szCs w:val="24"/>
    </w:rPr>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numbering" w:customStyle="1" w:styleId="NoList1111">
    <w:name w:val="No List1111"/>
    <w:next w:val="NoList"/>
    <w:uiPriority w:val="99"/>
    <w:semiHidden/>
    <w:unhideWhenUsed/>
  </w:style>
  <w:style w:type="paragraph" w:customStyle="1" w:styleId="xl51929">
    <w:name w:val="xl51929"/>
    <w:basedOn w:val="Normal"/>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30">
    <w:name w:val="xl51930"/>
    <w:basedOn w:val="Normal"/>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931">
    <w:name w:val="xl51931"/>
    <w:basedOn w:val="Normal"/>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932">
    <w:name w:val="xl51932"/>
    <w:basedOn w:val="Normal"/>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33">
    <w:name w:val="xl51933"/>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4">
    <w:name w:val="xl51934"/>
    <w:basedOn w:val="Normal"/>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5">
    <w:name w:val="xl51935"/>
    <w:basedOn w:val="Normal"/>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6">
    <w:name w:val="xl51936"/>
    <w:basedOn w:val="Normal"/>
    <w:pPr>
      <w:spacing w:before="100" w:beforeAutospacing="1" w:after="100" w:afterAutospacing="1"/>
      <w:jc w:val="right"/>
    </w:pPr>
    <w:rPr>
      <w:rFonts w:eastAsia="Times New Roman"/>
      <w:color w:val="000000"/>
      <w:sz w:val="18"/>
      <w:szCs w:val="18"/>
      <w:lang w:eastAsia="en-GB"/>
    </w:rPr>
  </w:style>
  <w:style w:type="paragraph" w:customStyle="1" w:styleId="xl51937">
    <w:name w:val="xl5193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8">
    <w:name w:val="xl51938"/>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1939">
    <w:name w:val="xl51939"/>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40">
    <w:name w:val="xl5194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1">
    <w:name w:val="xl51941"/>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2">
    <w:name w:val="xl51942"/>
    <w:basedOn w:val="Normal"/>
    <w:pPr>
      <w:spacing w:before="100" w:beforeAutospacing="1" w:after="100" w:afterAutospacing="1"/>
      <w:jc w:val="right"/>
    </w:pPr>
    <w:rPr>
      <w:rFonts w:eastAsia="Times New Roman"/>
      <w:sz w:val="18"/>
      <w:szCs w:val="18"/>
      <w:lang w:eastAsia="en-GB"/>
    </w:rPr>
  </w:style>
  <w:style w:type="paragraph" w:customStyle="1" w:styleId="xl51943">
    <w:name w:val="xl51943"/>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44">
    <w:name w:val="xl51944"/>
    <w:basedOn w:val="Normal"/>
    <w:pPr>
      <w:spacing w:before="100" w:beforeAutospacing="1" w:after="100" w:afterAutospacing="1"/>
      <w:jc w:val="left"/>
    </w:pPr>
    <w:rPr>
      <w:rFonts w:eastAsia="Times New Roman"/>
      <w:color w:val="000000"/>
      <w:sz w:val="18"/>
      <w:szCs w:val="18"/>
      <w:lang w:eastAsia="en-GB"/>
    </w:rPr>
  </w:style>
  <w:style w:type="paragraph" w:customStyle="1" w:styleId="xl51945">
    <w:name w:val="xl51945"/>
    <w:basedOn w:val="Normal"/>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6">
    <w:name w:val="xl51946"/>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947">
    <w:name w:val="xl5194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8">
    <w:name w:val="xl51948"/>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9">
    <w:name w:val="xl51949"/>
    <w:basedOn w:val="Normal"/>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1950">
    <w:name w:val="xl5195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51">
    <w:name w:val="xl51951"/>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52">
    <w:name w:val="xl51952"/>
    <w:basedOn w:val="Normal"/>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53">
    <w:name w:val="xl51953"/>
    <w:basedOn w:val="Normal"/>
    <w:pPr>
      <w:spacing w:before="100" w:beforeAutospacing="1" w:after="100" w:afterAutospacing="1"/>
      <w:jc w:val="left"/>
    </w:pPr>
    <w:rPr>
      <w:rFonts w:eastAsia="Times New Roman"/>
      <w:color w:val="000000"/>
      <w:sz w:val="18"/>
      <w:szCs w:val="18"/>
      <w:lang w:eastAsia="en-GB"/>
    </w:rPr>
  </w:style>
  <w:style w:type="paragraph" w:customStyle="1" w:styleId="xl51954">
    <w:name w:val="xl51954"/>
    <w:basedOn w:val="Normal"/>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1955">
    <w:name w:val="xl51955"/>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56">
    <w:name w:val="xl51956"/>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7">
    <w:name w:val="xl51957"/>
    <w:basedOn w:val="Normal"/>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1958">
    <w:name w:val="xl51958"/>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9">
    <w:name w:val="xl51959"/>
    <w:basedOn w:val="Normal"/>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1960">
    <w:name w:val="xl519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1">
    <w:name w:val="xl519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1962">
    <w:name w:val="xl519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3">
    <w:name w:val="xl5196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4">
    <w:name w:val="xl519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65">
    <w:name w:val="xl51965"/>
    <w:basedOn w:val="Normal"/>
    <w:pPr>
      <w:spacing w:before="100" w:beforeAutospacing="1" w:after="100" w:afterAutospacing="1"/>
      <w:jc w:val="left"/>
    </w:pPr>
    <w:rPr>
      <w:rFonts w:eastAsia="Times New Roman"/>
      <w:color w:val="000000"/>
      <w:sz w:val="12"/>
      <w:szCs w:val="12"/>
      <w:lang w:eastAsia="en-GB"/>
    </w:rPr>
  </w:style>
  <w:style w:type="paragraph" w:customStyle="1" w:styleId="xl51966">
    <w:name w:val="xl5196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1967">
    <w:name w:val="xl5196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1968">
    <w:name w:val="xl5196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9">
    <w:name w:val="xl5196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70">
    <w:name w:val="xl51970"/>
    <w:basedOn w:val="Normal"/>
    <w:pPr>
      <w:spacing w:before="100" w:beforeAutospacing="1" w:after="100" w:afterAutospacing="1"/>
      <w:jc w:val="left"/>
    </w:pPr>
    <w:rPr>
      <w:rFonts w:eastAsia="Times New Roman"/>
      <w:color w:val="000000"/>
      <w:sz w:val="12"/>
      <w:szCs w:val="12"/>
      <w:lang w:eastAsia="en-GB"/>
    </w:rPr>
  </w:style>
  <w:style w:type="paragraph" w:customStyle="1" w:styleId="xl51971">
    <w:name w:val="xl5197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72">
    <w:name w:val="xl51972"/>
    <w:basedOn w:val="Normal"/>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1973">
    <w:name w:val="xl51973"/>
    <w:basedOn w:val="Normal"/>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1974">
    <w:name w:val="xl51974"/>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5">
    <w:name w:val="xl51975"/>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6">
    <w:name w:val="xl51976"/>
    <w:basedOn w:val="Normal"/>
    <w:pPr>
      <w:spacing w:before="100" w:beforeAutospacing="1" w:after="100" w:afterAutospacing="1"/>
      <w:jc w:val="left"/>
    </w:pPr>
    <w:rPr>
      <w:rFonts w:eastAsia="Times New Roman"/>
      <w:color w:val="000000"/>
      <w:sz w:val="12"/>
      <w:szCs w:val="12"/>
      <w:lang w:eastAsia="en-GB"/>
    </w:rPr>
  </w:style>
  <w:style w:type="paragraph" w:customStyle="1" w:styleId="xl51977">
    <w:name w:val="xl51977"/>
    <w:basedOn w:val="Normal"/>
    <w:pPr>
      <w:spacing w:before="100" w:beforeAutospacing="1" w:after="100" w:afterAutospacing="1"/>
      <w:jc w:val="left"/>
    </w:pPr>
    <w:rPr>
      <w:rFonts w:ascii="Calibri" w:eastAsia="Times New Roman" w:hAnsi="Calibri"/>
      <w:b/>
      <w:bCs/>
      <w:sz w:val="12"/>
      <w:szCs w:val="12"/>
      <w:lang w:eastAsia="en-GB"/>
    </w:rPr>
  </w:style>
  <w:style w:type="paragraph" w:customStyle="1" w:styleId="xl51978">
    <w:name w:val="xl51978"/>
    <w:basedOn w:val="Normal"/>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79">
    <w:name w:val="xl51979"/>
    <w:basedOn w:val="Normal"/>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80">
    <w:name w:val="xl51980"/>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1">
    <w:name w:val="xl51981"/>
    <w:basedOn w:val="Normal"/>
    <w:pPr>
      <w:spacing w:before="100" w:beforeAutospacing="1" w:after="100" w:afterAutospacing="1"/>
      <w:jc w:val="center"/>
    </w:pPr>
    <w:rPr>
      <w:rFonts w:eastAsia="Times New Roman"/>
      <w:color w:val="000000"/>
      <w:sz w:val="12"/>
      <w:szCs w:val="12"/>
      <w:lang w:eastAsia="en-GB"/>
    </w:rPr>
  </w:style>
  <w:style w:type="paragraph" w:customStyle="1" w:styleId="xl51982">
    <w:name w:val="xl51982"/>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1983">
    <w:name w:val="xl51983"/>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4">
    <w:name w:val="xl51984"/>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5">
    <w:name w:val="xl51985"/>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6">
    <w:name w:val="xl51986"/>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7">
    <w:name w:val="xl51987"/>
    <w:basedOn w:val="Normal"/>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8">
    <w:name w:val="xl51988"/>
    <w:basedOn w:val="Normal"/>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9">
    <w:name w:val="xl51989"/>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1990">
    <w:name w:val="xl5199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1991">
    <w:name w:val="xl5199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1992">
    <w:name w:val="xl51992"/>
    <w:basedOn w:val="Normal"/>
    <w:pPr>
      <w:spacing w:before="100" w:beforeAutospacing="1" w:after="100" w:afterAutospacing="1"/>
      <w:jc w:val="right"/>
    </w:pPr>
    <w:rPr>
      <w:rFonts w:eastAsia="Times New Roman"/>
      <w:color w:val="000000"/>
      <w:sz w:val="18"/>
      <w:szCs w:val="18"/>
      <w:lang w:eastAsia="en-GB"/>
    </w:rPr>
  </w:style>
  <w:style w:type="paragraph" w:customStyle="1" w:styleId="xl51993">
    <w:name w:val="xl51993"/>
    <w:basedOn w:val="Normal"/>
    <w:pPr>
      <w:spacing w:before="100" w:beforeAutospacing="1" w:after="100" w:afterAutospacing="1"/>
      <w:jc w:val="right"/>
    </w:pPr>
    <w:rPr>
      <w:rFonts w:eastAsia="Times New Roman"/>
      <w:color w:val="000000"/>
      <w:sz w:val="18"/>
      <w:szCs w:val="18"/>
      <w:lang w:eastAsia="en-GB"/>
    </w:rPr>
  </w:style>
  <w:style w:type="paragraph" w:customStyle="1" w:styleId="xl51994">
    <w:name w:val="xl51994"/>
    <w:basedOn w:val="Normal"/>
    <w:pPr>
      <w:spacing w:before="100" w:beforeAutospacing="1" w:after="100" w:afterAutospacing="1"/>
      <w:jc w:val="left"/>
    </w:pPr>
    <w:rPr>
      <w:rFonts w:ascii="Calibri" w:eastAsia="Times New Roman" w:hAnsi="Calibri"/>
      <w:sz w:val="18"/>
      <w:szCs w:val="18"/>
      <w:lang w:eastAsia="en-GB"/>
    </w:rPr>
  </w:style>
  <w:style w:type="paragraph" w:customStyle="1" w:styleId="xl51995">
    <w:name w:val="xl51995"/>
    <w:basedOn w:val="Normal"/>
    <w:pPr>
      <w:spacing w:before="100" w:beforeAutospacing="1" w:after="100" w:afterAutospacing="1"/>
      <w:jc w:val="left"/>
    </w:pPr>
    <w:rPr>
      <w:rFonts w:eastAsia="Times New Roman"/>
      <w:color w:val="FF0000"/>
      <w:sz w:val="18"/>
      <w:szCs w:val="18"/>
      <w:lang w:eastAsia="en-GB"/>
    </w:rPr>
  </w:style>
  <w:style w:type="paragraph" w:customStyle="1" w:styleId="xl51996">
    <w:name w:val="xl51996"/>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97">
    <w:name w:val="xl51997"/>
    <w:basedOn w:val="Normal"/>
    <w:pPr>
      <w:spacing w:before="100" w:beforeAutospacing="1" w:after="100" w:afterAutospacing="1"/>
      <w:jc w:val="right"/>
    </w:pPr>
    <w:rPr>
      <w:rFonts w:eastAsia="Times New Roman"/>
      <w:sz w:val="18"/>
      <w:szCs w:val="18"/>
      <w:lang w:eastAsia="en-GB"/>
    </w:rPr>
  </w:style>
  <w:style w:type="paragraph" w:customStyle="1" w:styleId="xl51998">
    <w:name w:val="xl5199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999">
    <w:name w:val="xl5199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2000">
    <w:name w:val="xl52000"/>
    <w:basedOn w:val="Normal"/>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01">
    <w:name w:val="xl52001"/>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02">
    <w:name w:val="xl52002"/>
    <w:basedOn w:val="Normal"/>
    <w:pPr>
      <w:spacing w:before="100" w:beforeAutospacing="1" w:after="100" w:afterAutospacing="1"/>
      <w:jc w:val="right"/>
    </w:pPr>
    <w:rPr>
      <w:rFonts w:eastAsia="Times New Roman"/>
      <w:sz w:val="18"/>
      <w:szCs w:val="18"/>
      <w:lang w:eastAsia="en-GB"/>
    </w:rPr>
  </w:style>
  <w:style w:type="paragraph" w:customStyle="1" w:styleId="xl52003">
    <w:name w:val="xl52003"/>
    <w:basedOn w:val="Normal"/>
    <w:pPr>
      <w:spacing w:before="100" w:beforeAutospacing="1" w:after="100" w:afterAutospacing="1"/>
      <w:jc w:val="left"/>
    </w:pPr>
    <w:rPr>
      <w:rFonts w:eastAsia="Times New Roman"/>
      <w:color w:val="000000"/>
      <w:sz w:val="18"/>
      <w:szCs w:val="18"/>
      <w:lang w:eastAsia="en-GB"/>
    </w:rPr>
  </w:style>
  <w:style w:type="paragraph" w:customStyle="1" w:styleId="xl52004">
    <w:name w:val="xl52004"/>
    <w:basedOn w:val="Normal"/>
    <w:pPr>
      <w:spacing w:before="100" w:beforeAutospacing="1" w:after="100" w:afterAutospacing="1"/>
      <w:jc w:val="left"/>
    </w:pPr>
    <w:rPr>
      <w:rFonts w:eastAsia="Times New Roman"/>
      <w:sz w:val="18"/>
      <w:szCs w:val="18"/>
      <w:lang w:eastAsia="en-GB"/>
    </w:rPr>
  </w:style>
  <w:style w:type="paragraph" w:customStyle="1" w:styleId="xl52005">
    <w:name w:val="xl52005"/>
    <w:basedOn w:val="Normal"/>
    <w:pPr>
      <w:spacing w:before="100" w:beforeAutospacing="1" w:after="100" w:afterAutospacing="1"/>
      <w:jc w:val="left"/>
    </w:pPr>
    <w:rPr>
      <w:rFonts w:eastAsia="Times New Roman"/>
      <w:color w:val="FF0000"/>
      <w:sz w:val="18"/>
      <w:szCs w:val="18"/>
      <w:lang w:eastAsia="en-GB"/>
    </w:rPr>
  </w:style>
  <w:style w:type="paragraph" w:customStyle="1" w:styleId="xl52006">
    <w:name w:val="xl52006"/>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2007">
    <w:name w:val="xl52007"/>
    <w:basedOn w:val="Normal"/>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08">
    <w:name w:val="xl52008"/>
    <w:basedOn w:val="Normal"/>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09">
    <w:name w:val="xl52009"/>
    <w:basedOn w:val="Normal"/>
    <w:pPr>
      <w:spacing w:before="100" w:beforeAutospacing="1" w:after="100" w:afterAutospacing="1"/>
      <w:jc w:val="right"/>
    </w:pPr>
    <w:rPr>
      <w:rFonts w:eastAsia="Times New Roman"/>
      <w:color w:val="000000"/>
      <w:sz w:val="12"/>
      <w:szCs w:val="12"/>
      <w:lang w:eastAsia="en-GB"/>
    </w:rPr>
  </w:style>
  <w:style w:type="paragraph" w:customStyle="1" w:styleId="xl52010">
    <w:name w:val="xl52010"/>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1">
    <w:name w:val="xl52011"/>
    <w:basedOn w:val="Normal"/>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2">
    <w:name w:val="xl52012"/>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3">
    <w:name w:val="xl5201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14">
    <w:name w:val="xl52014"/>
    <w:basedOn w:val="Normal"/>
    <w:pPr>
      <w:spacing w:before="100" w:beforeAutospacing="1" w:after="100" w:afterAutospacing="1"/>
      <w:jc w:val="right"/>
    </w:pPr>
    <w:rPr>
      <w:rFonts w:eastAsia="Times New Roman"/>
      <w:sz w:val="18"/>
      <w:szCs w:val="18"/>
      <w:lang w:eastAsia="en-GB"/>
    </w:rPr>
  </w:style>
  <w:style w:type="paragraph" w:customStyle="1" w:styleId="xl52015">
    <w:name w:val="xl52015"/>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2016">
    <w:name w:val="xl5201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2017">
    <w:name w:val="xl5201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8">
    <w:name w:val="xl5201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52019">
    <w:name w:val="xl52019"/>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0">
    <w:name w:val="xl52020"/>
    <w:basedOn w:val="Normal"/>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52021">
    <w:name w:val="xl52021"/>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2">
    <w:name w:val="xl52022"/>
    <w:basedOn w:val="Normal"/>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3">
    <w:name w:val="xl52023"/>
    <w:basedOn w:val="Normal"/>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4">
    <w:name w:val="xl52024"/>
    <w:basedOn w:val="Normal"/>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5">
    <w:name w:val="xl52025"/>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2026">
    <w:name w:val="xl52026"/>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7">
    <w:name w:val="xl52027"/>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8">
    <w:name w:val="xl52028"/>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29">
    <w:name w:val="xl52029"/>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30">
    <w:name w:val="xl52030"/>
    <w:basedOn w:val="Normal"/>
    <w:pPr>
      <w:spacing w:before="100" w:beforeAutospacing="1" w:after="100" w:afterAutospacing="1"/>
      <w:jc w:val="left"/>
    </w:pPr>
    <w:rPr>
      <w:rFonts w:ascii="Calibri" w:eastAsia="Times New Roman" w:hAnsi="Calibri"/>
      <w:color w:val="1F497D"/>
      <w:sz w:val="22"/>
      <w:szCs w:val="24"/>
      <w:lang w:eastAsia="en-GB"/>
    </w:rPr>
  </w:style>
  <w:style w:type="paragraph" w:customStyle="1" w:styleId="xl52031">
    <w:name w:val="xl52031"/>
    <w:basedOn w:val="Normal"/>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52032">
    <w:name w:val="xl52032"/>
    <w:basedOn w:val="Normal"/>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2033">
    <w:name w:val="xl5203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34">
    <w:name w:val="xl5203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5">
    <w:name w:val="xl5203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6">
    <w:name w:val="xl52036"/>
    <w:basedOn w:val="Normal"/>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52037">
    <w:name w:val="xl52037"/>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8">
    <w:name w:val="xl5203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9">
    <w:name w:val="xl52039"/>
    <w:basedOn w:val="Normal"/>
    <w:pPr>
      <w:spacing w:before="100" w:beforeAutospacing="1" w:after="100" w:afterAutospacing="1"/>
      <w:jc w:val="right"/>
    </w:pPr>
    <w:rPr>
      <w:rFonts w:eastAsia="Times New Roman"/>
      <w:color w:val="000000"/>
      <w:sz w:val="18"/>
      <w:szCs w:val="18"/>
      <w:lang w:eastAsia="en-GB"/>
    </w:rPr>
  </w:style>
  <w:style w:type="paragraph" w:customStyle="1" w:styleId="xl52040">
    <w:name w:val="xl52040"/>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1">
    <w:name w:val="xl52041"/>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42">
    <w:name w:val="xl52042"/>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43">
    <w:name w:val="xl52043"/>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4">
    <w:name w:val="xl52044"/>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5">
    <w:name w:val="xl52045"/>
    <w:basedOn w:val="Normal"/>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2046">
    <w:name w:val="xl52046"/>
    <w:basedOn w:val="Normal"/>
    <w:pPr>
      <w:spacing w:before="100" w:beforeAutospacing="1" w:after="100" w:afterAutospacing="1"/>
      <w:jc w:val="left"/>
    </w:pPr>
    <w:rPr>
      <w:rFonts w:eastAsia="Times New Roman"/>
      <w:sz w:val="18"/>
      <w:szCs w:val="18"/>
      <w:lang w:eastAsia="en-GB"/>
    </w:rPr>
  </w:style>
  <w:style w:type="paragraph" w:customStyle="1" w:styleId="xl52047">
    <w:name w:val="xl52047"/>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48">
    <w:name w:val="xl52048"/>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49">
    <w:name w:val="xl52049"/>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50">
    <w:name w:val="xl5205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1">
    <w:name w:val="xl52051"/>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2">
    <w:name w:val="xl52052"/>
    <w:basedOn w:val="Normal"/>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3">
    <w:name w:val="xl52053"/>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4">
    <w:name w:val="xl52054"/>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5">
    <w:name w:val="xl52055"/>
    <w:basedOn w:val="Normal"/>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6">
    <w:name w:val="xl52056"/>
    <w:basedOn w:val="Normal"/>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7">
    <w:name w:val="xl52057"/>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8">
    <w:name w:val="xl52058"/>
    <w:basedOn w:val="Normal"/>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59">
    <w:name w:val="xl52059"/>
    <w:basedOn w:val="Normal"/>
    <w:pPr>
      <w:spacing w:before="100" w:beforeAutospacing="1" w:after="100" w:afterAutospacing="1"/>
      <w:jc w:val="right"/>
    </w:pPr>
    <w:rPr>
      <w:rFonts w:eastAsia="Times New Roman"/>
      <w:color w:val="000000"/>
      <w:sz w:val="18"/>
      <w:szCs w:val="18"/>
      <w:lang w:eastAsia="en-GB"/>
    </w:rPr>
  </w:style>
  <w:style w:type="paragraph" w:customStyle="1" w:styleId="xl52060">
    <w:name w:val="xl520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sz w:val="14"/>
      <w:szCs w:val="14"/>
      <w:lang w:eastAsia="en-GB"/>
    </w:rPr>
  </w:style>
  <w:style w:type="paragraph" w:customStyle="1" w:styleId="xl52061">
    <w:name w:val="xl520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2">
    <w:name w:val="xl520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3">
    <w:name w:val="xl52063"/>
    <w:basedOn w:val="Normal"/>
    <w:pPr>
      <w:pBdr>
        <w:bottom w:val="single" w:sz="4"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2064">
    <w:name w:val="xl520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52065">
    <w:name w:val="xl52065"/>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6">
    <w:name w:val="xl52066"/>
    <w:basedOn w:val="Normal"/>
    <w:pPr>
      <w:pBdr>
        <w:top w:val="single" w:sz="8" w:space="0" w:color="auto"/>
      </w:pBdr>
      <w:spacing w:before="100" w:beforeAutospacing="1" w:after="100" w:afterAutospacing="1"/>
      <w:jc w:val="right"/>
    </w:pPr>
    <w:rPr>
      <w:rFonts w:eastAsia="Times New Roman"/>
      <w:sz w:val="18"/>
      <w:szCs w:val="18"/>
      <w:lang w:eastAsia="en-GB"/>
    </w:rPr>
  </w:style>
  <w:style w:type="paragraph" w:customStyle="1" w:styleId="xl52067">
    <w:name w:val="xl52067"/>
    <w:basedOn w:val="Normal"/>
    <w:pPr>
      <w:pBdr>
        <w:top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8">
    <w:name w:val="xl52068"/>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69">
    <w:name w:val="xl52069"/>
    <w:basedOn w:val="Normal"/>
    <w:pPr>
      <w:pBdr>
        <w:bottom w:val="single" w:sz="8" w:space="0" w:color="auto"/>
      </w:pBdr>
      <w:spacing w:before="100" w:beforeAutospacing="1" w:after="100" w:afterAutospacing="1"/>
      <w:jc w:val="center"/>
    </w:pPr>
    <w:rPr>
      <w:rFonts w:eastAsia="Times New Roman"/>
      <w:sz w:val="18"/>
      <w:szCs w:val="18"/>
      <w:lang w:eastAsia="en-GB"/>
    </w:rPr>
  </w:style>
  <w:style w:type="paragraph" w:customStyle="1" w:styleId="xl52070">
    <w:name w:val="xl52070"/>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1">
    <w:name w:val="xl52071"/>
    <w:basedOn w:val="Normal"/>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72">
    <w:name w:val="xl52072"/>
    <w:basedOn w:val="Normal"/>
    <w:pPr>
      <w:pBdr>
        <w:bottom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73">
    <w:name w:val="xl52073"/>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4">
    <w:name w:val="xl52074"/>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5">
    <w:name w:val="xl52075"/>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numbering" w:customStyle="1" w:styleId="NoList3">
    <w:name w:val="No List3"/>
    <w:next w:val="NoList"/>
    <w:uiPriority w:val="99"/>
    <w:semiHidden/>
    <w:unhideWhenUsed/>
  </w:style>
  <w:style w:type="numbering" w:customStyle="1" w:styleId="NoList12">
    <w:name w:val="No List12"/>
    <w:next w:val="NoList"/>
    <w:uiPriority w:val="99"/>
    <w:semiHidden/>
    <w:unhideWhenUsed/>
  </w:style>
  <w:style w:type="numbering" w:customStyle="1" w:styleId="NoList112">
    <w:name w:val="No List112"/>
    <w:next w:val="NoList"/>
    <w:uiPriority w:val="99"/>
    <w:semiHidden/>
    <w:unhideWhenUsed/>
  </w:style>
  <w:style w:type="numbering" w:customStyle="1" w:styleId="NoList21">
    <w:name w:val="No List21"/>
    <w:next w:val="NoList"/>
    <w:uiPriority w:val="99"/>
    <w:semiHidden/>
    <w:unhideWhenUsed/>
  </w:style>
  <w:style w:type="numbering" w:customStyle="1" w:styleId="NoList1112">
    <w:name w:val="No List1112"/>
    <w:next w:val="NoList"/>
    <w:uiPriority w:val="99"/>
    <w:semiHidden/>
    <w:unhideWhenUsed/>
  </w:style>
  <w:style w:type="paragraph" w:customStyle="1" w:styleId="xl52076">
    <w:name w:val="xl52076"/>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7">
    <w:name w:val="xl5207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8">
    <w:name w:val="xl52078"/>
    <w:basedOn w:val="Normal"/>
    <w:pPr>
      <w:pBdr>
        <w:bottom w:val="single" w:sz="4"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79">
    <w:name w:val="xl5207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0">
    <w:name w:val="xl5208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1">
    <w:name w:val="xl5208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082">
    <w:name w:val="xl52082"/>
    <w:basedOn w:val="Normal"/>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83">
    <w:name w:val="xl52083"/>
    <w:basedOn w:val="Normal"/>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84">
    <w:name w:val="xl5208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5">
    <w:name w:val="xl52085"/>
    <w:basedOn w:val="Normal"/>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52086">
    <w:name w:val="xl5208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7">
    <w:name w:val="xl52087"/>
    <w:basedOn w:val="Normal"/>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88">
    <w:name w:val="xl52088"/>
    <w:basedOn w:val="Normal"/>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52089">
    <w:name w:val="xl52089"/>
    <w:basedOn w:val="Normal"/>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0">
    <w:name w:val="xl52090"/>
    <w:basedOn w:val="Normal"/>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1">
    <w:name w:val="xl52091"/>
    <w:basedOn w:val="Normal"/>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52092">
    <w:name w:val="xl52092"/>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3">
    <w:name w:val="xl52093"/>
    <w:basedOn w:val="Normal"/>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52094">
    <w:name w:val="xl52094"/>
    <w:basedOn w:val="Normal"/>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095">
    <w:name w:val="xl52095"/>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6">
    <w:name w:val="xl52096"/>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7">
    <w:name w:val="xl52097"/>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8">
    <w:name w:val="xl52098"/>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9">
    <w:name w:val="xl520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100">
    <w:name w:val="xl5210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101">
    <w:name w:val="xl5210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102">
    <w:name w:val="xl52102"/>
    <w:basedOn w:val="Normal"/>
    <w:uiPriority w:val="99"/>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103">
    <w:name w:val="xl52103"/>
    <w:basedOn w:val="Normal"/>
    <w:uiPriority w:val="99"/>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4">
    <w:name w:val="xl52104"/>
    <w:basedOn w:val="Normal"/>
    <w:uiPriority w:val="99"/>
    <w:pPr>
      <w:pBdr>
        <w:bottom w:val="single" w:sz="8" w:space="0" w:color="auto"/>
      </w:pBdr>
      <w:shd w:val="clear" w:color="000000" w:fill="808080"/>
      <w:spacing w:before="100" w:beforeAutospacing="1" w:after="100" w:afterAutospacing="1"/>
      <w:jc w:val="left"/>
      <w:textAlignment w:val="top"/>
    </w:pPr>
    <w:rPr>
      <w:rFonts w:eastAsia="Times New Roman"/>
      <w:sz w:val="18"/>
      <w:szCs w:val="18"/>
      <w:lang w:eastAsia="en-GB"/>
    </w:rPr>
  </w:style>
  <w:style w:type="paragraph" w:customStyle="1" w:styleId="xl52105">
    <w:name w:val="xl52105"/>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6">
    <w:name w:val="xl52106"/>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52107">
    <w:name w:val="xl5210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108">
    <w:name w:val="xl52108"/>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msonormal0">
    <w:name w:val="msonormal"/>
    <w:basedOn w:val="Normal"/>
    <w:pPr>
      <w:spacing w:before="100" w:beforeAutospacing="1" w:after="100" w:afterAutospacing="1"/>
      <w:jc w:val="left"/>
    </w:pPr>
    <w:rPr>
      <w:rFonts w:eastAsia="Times New Roman"/>
      <w:szCs w:val="24"/>
      <w:lang w:eastAsia="en-GB"/>
    </w:rPr>
  </w:style>
  <w:style w:type="paragraph" w:customStyle="1" w:styleId="CMMLevel1">
    <w:name w:val="CMM Level1"/>
    <w:link w:val="CMMLevel1Char"/>
    <w:autoRedefine/>
    <w:uiPriority w:val="99"/>
    <w:qFormat/>
    <w:pPr>
      <w:numPr>
        <w:numId w:val="35"/>
      </w:numPr>
      <w:tabs>
        <w:tab w:val="left" w:pos="586"/>
      </w:tabs>
      <w:spacing w:after="160" w:line="240" w:lineRule="auto"/>
      <w:ind w:left="357" w:hanging="357"/>
    </w:pPr>
    <w:rPr>
      <w:rFonts w:ascii="Cambria" w:eastAsia="Cambria" w:hAnsi="Cambria"/>
      <w:spacing w:val="-2"/>
    </w:rPr>
  </w:style>
  <w:style w:type="character" w:customStyle="1" w:styleId="CMMLevel1Char">
    <w:name w:val="CMM Level1 Char"/>
    <w:basedOn w:val="DefaultParagraphFont"/>
    <w:link w:val="CMMLevel1"/>
    <w:uiPriority w:val="99"/>
    <w:rPr>
      <w:rFonts w:ascii="Cambria" w:eastAsia="Cambria" w:hAnsi="Cambria"/>
      <w:spacing w:val="-2"/>
    </w:rPr>
  </w:style>
  <w:style w:type="paragraph" w:styleId="Quote">
    <w:name w:val="Quote"/>
    <w:basedOn w:val="Normal"/>
    <w:next w:val="Normal"/>
    <w:link w:val="QuoteChar"/>
    <w:uiPriority w:val="29"/>
    <w:qFormat/>
    <w:pPr>
      <w:spacing w:before="0" w:after="0"/>
      <w:jc w:val="left"/>
    </w:pPr>
    <w:rPr>
      <w:rFonts w:ascii="Calibri" w:eastAsia="Times New Roman" w:hAnsi="Calibri"/>
      <w:i/>
      <w:iCs/>
      <w:color w:val="000000" w:themeColor="text1"/>
      <w:sz w:val="22"/>
      <w:szCs w:val="24"/>
    </w:rPr>
  </w:style>
  <w:style w:type="character" w:customStyle="1" w:styleId="QuoteChar">
    <w:name w:val="Quote Char"/>
    <w:basedOn w:val="DefaultParagraphFont"/>
    <w:link w:val="Quote"/>
    <w:uiPriority w:val="29"/>
    <w:rPr>
      <w:rFonts w:ascii="Calibri" w:eastAsia="Times New Roman" w:hAnsi="Calibri" w:cs="Times New Roman"/>
      <w:i/>
      <w:iCs/>
      <w:color w:val="000000" w:themeColor="text1"/>
      <w:szCs w:val="24"/>
      <w:lang w:val="fr-FR"/>
    </w:rPr>
  </w:style>
  <w:style w:type="paragraph" w:customStyle="1" w:styleId="hidden">
    <w:name w:val="hidden"/>
    <w:basedOn w:val="Normal"/>
    <w:uiPriority w:val="99"/>
    <w:pPr>
      <w:spacing w:before="0" w:after="150"/>
      <w:jc w:val="left"/>
    </w:pPr>
    <w:rPr>
      <w:rFonts w:eastAsia="Times New Roman"/>
      <w:vanish/>
      <w:szCs w:val="24"/>
      <w:lang w:eastAsia="en-GB"/>
    </w:rPr>
  </w:style>
  <w:style w:type="character" w:customStyle="1" w:styleId="nbborderedChar">
    <w:name w:val="nb bordered Char"/>
    <w:basedOn w:val="TechnicalBlockChar"/>
    <w:link w:val="nbbordered"/>
    <w:locked/>
    <w:rPr>
      <w:rFonts w:ascii="Times New Roman" w:eastAsia="Times New Roman" w:hAnsi="Times New Roman" w:cs="Times New Roman"/>
      <w:b/>
      <w:sz w:val="24"/>
      <w:szCs w:val="24"/>
      <w:lang w:val="fr-FR"/>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szCs w:val="24"/>
    </w:rPr>
  </w:style>
  <w:style w:type="paragraph" w:customStyle="1" w:styleId="TableParagraph">
    <w:name w:val="Table Paragraph"/>
    <w:basedOn w:val="Normal"/>
    <w:uiPriority w:val="1"/>
    <w:qFormat/>
    <w:pPr>
      <w:widowControl w:val="0"/>
      <w:autoSpaceDE w:val="0"/>
      <w:autoSpaceDN w:val="0"/>
      <w:spacing w:before="0" w:after="0"/>
      <w:jc w:val="left"/>
    </w:pPr>
    <w:rPr>
      <w:rFonts w:eastAsia="Times New Roman"/>
      <w:sz w:val="22"/>
      <w:szCs w:val="24"/>
      <w:lang w:eastAsia="en-GB" w:bidi="en-GB"/>
    </w:rPr>
  </w:style>
  <w:style w:type="paragraph" w:customStyle="1" w:styleId="Tiret00">
    <w:name w:val="Tiret 00"/>
    <w:basedOn w:val="Normal"/>
    <w:autoRedefine/>
    <w:uiPriority w:val="99"/>
    <w:qFormat/>
    <w:pPr>
      <w:numPr>
        <w:numId w:val="36"/>
      </w:numPr>
      <w:spacing w:line="360" w:lineRule="auto"/>
      <w:jc w:val="left"/>
      <w:outlineLvl w:val="0"/>
    </w:pPr>
    <w:rPr>
      <w:rFonts w:eastAsia="Times New Roman"/>
      <w:szCs w:val="24"/>
    </w:rPr>
  </w:style>
  <w:style w:type="character" w:styleId="BookTitle">
    <w:name w:val="Book Title"/>
    <w:basedOn w:val="DefaultParagraphFont"/>
    <w:uiPriority w:val="33"/>
    <w:qFormat/>
    <w:rPr>
      <w:b/>
      <w:bCs/>
      <w:smallCaps/>
      <w:spacing w:val="5"/>
    </w:rPr>
  </w:style>
  <w:style w:type="character" w:customStyle="1" w:styleId="HeaderChar1">
    <w:name w:val="Header Char1"/>
    <w:basedOn w:val="DefaultParagraphFont"/>
    <w:uiPriority w:val="99"/>
    <w:semiHidden/>
    <w:locked/>
    <w:rPr>
      <w:rFonts w:ascii="Times New Roman" w:eastAsia="Times New Roman" w:hAnsi="Times New Roman" w:cs="Times New Roman"/>
      <w:sz w:val="24"/>
      <w:szCs w:val="24"/>
      <w:lang w:val="fr-FR"/>
    </w:rPr>
  </w:style>
  <w:style w:type="character" w:customStyle="1" w:styleId="FooterChar1">
    <w:name w:val="Footer Char1"/>
    <w:basedOn w:val="DefaultParagraphFont"/>
    <w:uiPriority w:val="99"/>
    <w:semiHidden/>
    <w:locked/>
    <w:rPr>
      <w:rFonts w:ascii="Times New Roman" w:eastAsia="Times New Roman" w:hAnsi="Times New Roman" w:cs="Times New Roman"/>
      <w:sz w:val="24"/>
      <w:szCs w:val="24"/>
      <w:lang w:val="fr-FR"/>
    </w:rPr>
  </w:style>
  <w:style w:type="character" w:customStyle="1" w:styleId="FootnoteTextChar1">
    <w:name w:val="Footnote Text Char1"/>
    <w:basedOn w:val="DefaultParagraphFont"/>
    <w:uiPriority w:val="99"/>
    <w:semiHidden/>
    <w:locked/>
    <w:rPr>
      <w:rFonts w:ascii="Times New Roman" w:eastAsia="Times New Roman" w:hAnsi="Times New Roman" w:cs="Times New Roman"/>
      <w:sz w:val="24"/>
      <w:szCs w:val="20"/>
      <w:lang w:val="fr-FR"/>
    </w:rPr>
  </w:style>
  <w:style w:type="table" w:customStyle="1" w:styleId="TableGrid0">
    <w:name w:val="TableGrid"/>
    <w:pPr>
      <w:spacing w:after="0" w:line="240" w:lineRule="auto"/>
    </w:pPr>
    <w:rPr>
      <w:rFonts w:ascii="Times New Roman" w:eastAsiaTheme="minorEastAsia" w:hAnsi="Times New Roman" w:cs="Times New Roman"/>
      <w:sz w:val="20"/>
      <w:szCs w:val="20"/>
      <w:lang w:eastAsia="de-DE"/>
    </w:rPr>
    <w:tblPr>
      <w:tblCellMar>
        <w:top w:w="0" w:type="dxa"/>
        <w:left w:w="0" w:type="dxa"/>
        <w:bottom w:w="0" w:type="dxa"/>
        <w:right w:w="0" w:type="dxa"/>
      </w:tblCellMar>
    </w:tblPr>
  </w:style>
  <w:style w:type="paragraph" w:customStyle="1" w:styleId="Numpar">
    <w:name w:val="Numpar"/>
    <w:basedOn w:val="ManualNumPar1"/>
    <w:uiPriority w:val="99"/>
    <w:pPr>
      <w:outlineLvl w:val="0"/>
    </w:pPr>
    <w:rPr>
      <w:rFonts w:eastAsia="Times New Roman"/>
      <w:szCs w:val="24"/>
    </w:rPr>
  </w:style>
  <w:style w:type="character" w:styleId="Emphasis">
    <w:name w:val="Emphasis"/>
    <w:basedOn w:val="DefaultParagraphFont"/>
    <w:uiPriority w:val="20"/>
    <w:qFormat/>
    <w:rPr>
      <w:i/>
      <w:iCs/>
    </w:rPr>
  </w:style>
  <w:style w:type="paragraph" w:customStyle="1" w:styleId="norm">
    <w:name w:val="norm"/>
    <w:basedOn w:val="Normal"/>
    <w:pPr>
      <w:spacing w:before="100" w:beforeAutospacing="1" w:after="100" w:afterAutospacing="1"/>
      <w:jc w:val="left"/>
    </w:pPr>
    <w:rPr>
      <w:rFonts w:eastAsia="Times New Roman"/>
      <w:szCs w:val="24"/>
      <w:lang w:eastAsia="fr-BE"/>
    </w:rPr>
  </w:style>
  <w:style w:type="paragraph" w:customStyle="1" w:styleId="tbl-norm">
    <w:name w:val="tbl-norm"/>
    <w:basedOn w:val="Normal"/>
    <w:pPr>
      <w:spacing w:before="100" w:beforeAutospacing="1" w:after="100" w:afterAutospacing="1"/>
      <w:jc w:val="left"/>
    </w:pPr>
    <w:rPr>
      <w:rFonts w:eastAsia="Times New Roman"/>
      <w:szCs w:val="24"/>
      <w:lang w:eastAsia="fr-BE"/>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fr-FR"/>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fr-FR"/>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7"/>
      </w:numPr>
    </w:pPr>
  </w:style>
  <w:style w:type="paragraph" w:customStyle="1" w:styleId="Tiret1">
    <w:name w:val="Tiret 1"/>
    <w:basedOn w:val="Point1"/>
    <w:pPr>
      <w:numPr>
        <w:numId w:val="38"/>
      </w:numPr>
    </w:pPr>
  </w:style>
  <w:style w:type="paragraph" w:customStyle="1" w:styleId="Tiret2">
    <w:name w:val="Tiret 2"/>
    <w:basedOn w:val="Point2"/>
    <w:pPr>
      <w:numPr>
        <w:numId w:val="39"/>
      </w:numPr>
    </w:pPr>
  </w:style>
  <w:style w:type="paragraph" w:customStyle="1" w:styleId="Tiret3">
    <w:name w:val="Tiret 3"/>
    <w:basedOn w:val="Point3"/>
    <w:pPr>
      <w:numPr>
        <w:numId w:val="40"/>
      </w:numPr>
    </w:pPr>
  </w:style>
  <w:style w:type="paragraph" w:customStyle="1" w:styleId="Tiret4">
    <w:name w:val="Tiret 4"/>
    <w:basedOn w:val="Point4"/>
    <w:pPr>
      <w:numPr>
        <w:numId w:val="41"/>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2"/>
      </w:numPr>
    </w:pPr>
  </w:style>
  <w:style w:type="paragraph" w:customStyle="1" w:styleId="NumPar2">
    <w:name w:val="NumPar 2"/>
    <w:basedOn w:val="Normal"/>
    <w:next w:val="Text1"/>
    <w:pPr>
      <w:numPr>
        <w:ilvl w:val="1"/>
        <w:numId w:val="42"/>
      </w:numPr>
    </w:pPr>
  </w:style>
  <w:style w:type="paragraph" w:customStyle="1" w:styleId="NumPar3">
    <w:name w:val="NumPar 3"/>
    <w:basedOn w:val="Normal"/>
    <w:next w:val="Text1"/>
    <w:pPr>
      <w:numPr>
        <w:ilvl w:val="2"/>
        <w:numId w:val="42"/>
      </w:numPr>
    </w:pPr>
  </w:style>
  <w:style w:type="paragraph" w:customStyle="1" w:styleId="NumPar4">
    <w:name w:val="NumPar 4"/>
    <w:basedOn w:val="Normal"/>
    <w:next w:val="Text1"/>
    <w:pPr>
      <w:numPr>
        <w:ilvl w:val="3"/>
        <w:numId w:val="42"/>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4"/>
      </w:numPr>
    </w:pPr>
  </w:style>
  <w:style w:type="paragraph" w:customStyle="1" w:styleId="Point1number">
    <w:name w:val="Point 1 (number)"/>
    <w:basedOn w:val="Normal"/>
    <w:pPr>
      <w:numPr>
        <w:ilvl w:val="2"/>
        <w:numId w:val="44"/>
      </w:numPr>
    </w:pPr>
  </w:style>
  <w:style w:type="paragraph" w:customStyle="1" w:styleId="Point2number">
    <w:name w:val="Point 2 (number)"/>
    <w:basedOn w:val="Normal"/>
    <w:pPr>
      <w:numPr>
        <w:ilvl w:val="4"/>
        <w:numId w:val="44"/>
      </w:numPr>
    </w:pPr>
  </w:style>
  <w:style w:type="paragraph" w:customStyle="1" w:styleId="Point3number">
    <w:name w:val="Point 3 (number)"/>
    <w:basedOn w:val="Normal"/>
    <w:pPr>
      <w:numPr>
        <w:ilvl w:val="6"/>
        <w:numId w:val="44"/>
      </w:numPr>
    </w:pPr>
  </w:style>
  <w:style w:type="paragraph" w:customStyle="1" w:styleId="Point0letter">
    <w:name w:val="Point 0 (letter)"/>
    <w:basedOn w:val="Normal"/>
    <w:pPr>
      <w:numPr>
        <w:ilvl w:val="1"/>
        <w:numId w:val="44"/>
      </w:numPr>
    </w:pPr>
  </w:style>
  <w:style w:type="paragraph" w:customStyle="1" w:styleId="Point1letter">
    <w:name w:val="Point 1 (letter)"/>
    <w:basedOn w:val="Normal"/>
    <w:pPr>
      <w:numPr>
        <w:ilvl w:val="3"/>
        <w:numId w:val="44"/>
      </w:numPr>
    </w:pPr>
  </w:style>
  <w:style w:type="paragraph" w:customStyle="1" w:styleId="Point2letter">
    <w:name w:val="Point 2 (letter)"/>
    <w:basedOn w:val="Normal"/>
    <w:pPr>
      <w:numPr>
        <w:ilvl w:val="5"/>
        <w:numId w:val="44"/>
      </w:numPr>
    </w:pPr>
  </w:style>
  <w:style w:type="paragraph" w:customStyle="1" w:styleId="Point3letter">
    <w:name w:val="Point 3 (letter)"/>
    <w:basedOn w:val="Normal"/>
    <w:pPr>
      <w:numPr>
        <w:ilvl w:val="7"/>
        <w:numId w:val="44"/>
      </w:numPr>
    </w:pPr>
  </w:style>
  <w:style w:type="paragraph" w:customStyle="1" w:styleId="Point4letter">
    <w:name w:val="Point 4 (letter)"/>
    <w:basedOn w:val="Normal"/>
    <w:pPr>
      <w:numPr>
        <w:ilvl w:val="8"/>
        <w:numId w:val="44"/>
      </w:numPr>
    </w:pPr>
  </w:style>
  <w:style w:type="paragraph" w:customStyle="1" w:styleId="Bullet0">
    <w:name w:val="Bullet 0"/>
    <w:basedOn w:val="Normal"/>
    <w:pPr>
      <w:numPr>
        <w:numId w:val="45"/>
      </w:numPr>
    </w:pPr>
  </w:style>
  <w:style w:type="paragraph" w:customStyle="1" w:styleId="Bullet1">
    <w:name w:val="Bullet 1"/>
    <w:basedOn w:val="Normal"/>
    <w:pPr>
      <w:numPr>
        <w:numId w:val="46"/>
      </w:numPr>
    </w:pPr>
  </w:style>
  <w:style w:type="paragraph" w:customStyle="1" w:styleId="Bullet2">
    <w:name w:val="Bullet 2"/>
    <w:basedOn w:val="Normal"/>
    <w:pPr>
      <w:numPr>
        <w:numId w:val="47"/>
      </w:numPr>
    </w:pPr>
  </w:style>
  <w:style w:type="paragraph" w:customStyle="1" w:styleId="Bullet3">
    <w:name w:val="Bullet 3"/>
    <w:basedOn w:val="Normal"/>
    <w:pPr>
      <w:numPr>
        <w:numId w:val="48"/>
      </w:numPr>
    </w:pPr>
  </w:style>
  <w:style w:type="paragraph" w:customStyle="1" w:styleId="Bullet4">
    <w:name w:val="Bullet 4"/>
    <w:basedOn w:val="Normal"/>
    <w:pPr>
      <w:numPr>
        <w:numId w:val="49"/>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0"/>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caption"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pPr>
      <w:spacing w:before="120" w:after="120" w:line="240" w:lineRule="auto"/>
      <w:jc w:val="both"/>
    </w:pPr>
    <w:rPr>
      <w:rFonts w:ascii="Times New Roman" w:hAnsi="Times New Roman" w:cs="Times New Roman"/>
      <w:sz w:val="24"/>
      <w:lang w:val="fr-FR"/>
    </w:rPr>
  </w:style>
  <w:style w:type="paragraph" w:styleId="Heading1">
    <w:name w:val="heading 1"/>
    <w:basedOn w:val="Normal"/>
    <w:next w:val="Text1"/>
    <w:link w:val="Heading1Char"/>
    <w:uiPriority w:val="9"/>
    <w:qFormat/>
    <w:pPr>
      <w:keepNext/>
      <w:numPr>
        <w:numId w:val="43"/>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3"/>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3"/>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3"/>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unhideWhenUsed/>
    <w:rPr>
      <w:color w:val="800080"/>
      <w:u w:val="single"/>
    </w:rPr>
  </w:style>
  <w:style w:type="paragraph" w:customStyle="1" w:styleId="xl118">
    <w:name w:val="xl118"/>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19">
    <w:name w:val="xl119"/>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20">
    <w:name w:val="xl12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21">
    <w:name w:val="xl12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22">
    <w:name w:val="xl122"/>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23">
    <w:name w:val="xl123"/>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24">
    <w:name w:val="xl124"/>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125">
    <w:name w:val="xl125"/>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6">
    <w:name w:val="xl126"/>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127">
    <w:name w:val="xl127"/>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8">
    <w:name w:val="xl128"/>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129">
    <w:name w:val="xl129"/>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130">
    <w:name w:val="xl13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131">
    <w:name w:val="xl131"/>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2">
    <w:name w:val="xl13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33">
    <w:name w:val="xl133"/>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34">
    <w:name w:val="xl134"/>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35">
    <w:name w:val="xl135"/>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36">
    <w:name w:val="xl136"/>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137">
    <w:name w:val="xl137"/>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8">
    <w:name w:val="xl138"/>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39">
    <w:name w:val="xl139"/>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40">
    <w:name w:val="xl14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41">
    <w:name w:val="xl14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42">
    <w:name w:val="xl142"/>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3">
    <w:name w:val="xl143"/>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4">
    <w:name w:val="xl144"/>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45">
    <w:name w:val="xl145"/>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146">
    <w:name w:val="xl14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47">
    <w:name w:val="xl147"/>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48">
    <w:name w:val="xl148"/>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49">
    <w:name w:val="xl149"/>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50">
    <w:name w:val="xl150"/>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51">
    <w:name w:val="xl151"/>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52">
    <w:name w:val="xl152"/>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53">
    <w:name w:val="xl153"/>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4">
    <w:name w:val="xl154"/>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5">
    <w:name w:val="xl155"/>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156">
    <w:name w:val="xl15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57">
    <w:name w:val="xl15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4"/>
      <w:szCs w:val="14"/>
      <w:lang w:eastAsia="en-GB"/>
    </w:rPr>
  </w:style>
  <w:style w:type="paragraph" w:customStyle="1" w:styleId="xl158">
    <w:name w:val="xl1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59">
    <w:name w:val="xl15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60">
    <w:name w:val="xl16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1">
    <w:name w:val="xl16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162">
    <w:name w:val="xl16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3">
    <w:name w:val="xl16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64">
    <w:name w:val="xl16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165">
    <w:name w:val="xl16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166">
    <w:name w:val="xl16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67">
    <w:name w:val="xl16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68">
    <w:name w:val="xl16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69">
    <w:name w:val="xl16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70">
    <w:name w:val="xl17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1">
    <w:name w:val="xl17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72">
    <w:name w:val="xl17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73">
    <w:name w:val="xl17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74">
    <w:name w:val="xl17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75">
    <w:name w:val="xl17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76">
    <w:name w:val="xl17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7">
    <w:name w:val="xl17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78">
    <w:name w:val="xl17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79">
    <w:name w:val="xl17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0">
    <w:name w:val="xl18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1">
    <w:name w:val="xl18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82">
    <w:name w:val="xl18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3">
    <w:name w:val="xl18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84">
    <w:name w:val="xl18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85">
    <w:name w:val="xl18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186">
    <w:name w:val="xl18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87">
    <w:name w:val="xl18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88">
    <w:name w:val="xl18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9">
    <w:name w:val="xl18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0">
    <w:name w:val="xl19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1">
    <w:name w:val="xl19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92">
    <w:name w:val="xl19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3">
    <w:name w:val="xl19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94">
    <w:name w:val="xl19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95">
    <w:name w:val="xl1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6">
    <w:name w:val="xl19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7">
    <w:name w:val="xl19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98">
    <w:name w:val="xl19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199">
    <w:name w:val="xl19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00">
    <w:name w:val="xl20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1">
    <w:name w:val="xl20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2">
    <w:name w:val="xl20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3">
    <w:name w:val="xl20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4">
    <w:name w:val="xl20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5">
    <w:name w:val="xl205"/>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6">
    <w:name w:val="xl206"/>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07">
    <w:name w:val="xl207"/>
    <w:basedOn w:val="Normal"/>
    <w:uiPriority w:val="99"/>
    <w:pPr>
      <w:pBdr>
        <w:top w:val="single" w:sz="4" w:space="0" w:color="auto"/>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08">
    <w:name w:val="xl208"/>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9">
    <w:name w:val="xl209"/>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10">
    <w:name w:val="xl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1">
    <w:name w:val="xl211"/>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12">
    <w:name w:val="xl212"/>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13">
    <w:name w:val="xl213"/>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14">
    <w:name w:val="xl214"/>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15">
    <w:name w:val="xl21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6">
    <w:name w:val="xl21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17">
    <w:name w:val="xl217"/>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8">
    <w:name w:val="xl218"/>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19">
    <w:name w:val="xl21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0">
    <w:name w:val="xl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21">
    <w:name w:val="xl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2">
    <w:name w:val="xl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3">
    <w:name w:val="xl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24">
    <w:name w:val="xl224"/>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25">
    <w:name w:val="xl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26">
    <w:name w:val="xl22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27">
    <w:name w:val="xl22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8">
    <w:name w:val="xl22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9">
    <w:name w:val="xl229"/>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0">
    <w:name w:val="xl2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31">
    <w:name w:val="xl231"/>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32">
    <w:name w:val="xl232"/>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33">
    <w:name w:val="xl233"/>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4">
    <w:name w:val="xl234"/>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5">
    <w:name w:val="xl23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6">
    <w:name w:val="xl236"/>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37">
    <w:name w:val="xl237"/>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8">
    <w:name w:val="xl238"/>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9">
    <w:name w:val="xl239"/>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0">
    <w:name w:val="xl240"/>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41">
    <w:name w:val="xl241"/>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42">
    <w:name w:val="xl242"/>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3">
    <w:name w:val="xl243"/>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4">
    <w:name w:val="xl244"/>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5">
    <w:name w:val="xl24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6">
    <w:name w:val="xl246"/>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7">
    <w:name w:val="xl247"/>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8">
    <w:name w:val="xl248"/>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9">
    <w:name w:val="xl2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50">
    <w:name w:val="xl2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1">
    <w:name w:val="xl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2">
    <w:name w:val="xl252"/>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3">
    <w:name w:val="xl253"/>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54">
    <w:name w:val="xl254"/>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55">
    <w:name w:val="xl255"/>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56">
    <w:name w:val="xl25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57">
    <w:name w:val="xl25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8">
    <w:name w:val="xl2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59">
    <w:name w:val="xl259"/>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0">
    <w:name w:val="xl260"/>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1">
    <w:name w:val="xl261"/>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
    <w:name w:val="xl26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
    <w:name w:val="xl263"/>
    <w:basedOn w:val="Normal"/>
    <w:uiPriority w:val="99"/>
    <w:pPr>
      <w:spacing w:before="100" w:beforeAutospacing="1" w:after="100" w:afterAutospacing="1"/>
      <w:jc w:val="left"/>
    </w:pPr>
    <w:rPr>
      <w:rFonts w:eastAsia="Times New Roman"/>
      <w:sz w:val="18"/>
      <w:szCs w:val="18"/>
      <w:lang w:eastAsia="en-GB"/>
    </w:rPr>
  </w:style>
  <w:style w:type="paragraph" w:customStyle="1" w:styleId="xl264">
    <w:name w:val="xl264"/>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5">
    <w:name w:val="xl265"/>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6">
    <w:name w:val="xl266"/>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7">
    <w:name w:val="xl267"/>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8">
    <w:name w:val="xl268"/>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9">
    <w:name w:val="xl269"/>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0">
    <w:name w:val="xl270"/>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1">
    <w:name w:val="xl271"/>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2">
    <w:name w:val="xl2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73">
    <w:name w:val="xl273"/>
    <w:basedOn w:val="Normal"/>
    <w:uiPriority w:val="99"/>
    <w:pPr>
      <w:spacing w:before="100" w:beforeAutospacing="1" w:after="100" w:afterAutospacing="1"/>
      <w:jc w:val="right"/>
    </w:pPr>
    <w:rPr>
      <w:rFonts w:eastAsia="Times New Roman"/>
      <w:sz w:val="18"/>
      <w:szCs w:val="18"/>
      <w:lang w:eastAsia="en-GB"/>
    </w:rPr>
  </w:style>
  <w:style w:type="paragraph" w:customStyle="1" w:styleId="xl274">
    <w:name w:val="xl27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75">
    <w:name w:val="xl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76">
    <w:name w:val="xl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7">
    <w:name w:val="xl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78">
    <w:name w:val="xl27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79">
    <w:name w:val="xl279"/>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0">
    <w:name w:val="xl280"/>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81">
    <w:name w:val="xl281"/>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2">
    <w:name w:val="xl282"/>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3">
    <w:name w:val="xl283"/>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4">
    <w:name w:val="xl284"/>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5">
    <w:name w:val="xl285"/>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86">
    <w:name w:val="xl286"/>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7">
    <w:name w:val="xl287"/>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8">
    <w:name w:val="xl288"/>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89">
    <w:name w:val="xl289"/>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90">
    <w:name w:val="xl290"/>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91">
    <w:name w:val="xl291"/>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92">
    <w:name w:val="xl292"/>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93">
    <w:name w:val="xl29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94">
    <w:name w:val="xl294"/>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5">
    <w:name w:val="xl2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96">
    <w:name w:val="xl296"/>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7">
    <w:name w:val="xl297"/>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98">
    <w:name w:val="xl29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99">
    <w:name w:val="xl299"/>
    <w:basedOn w:val="Normal"/>
    <w:uiPriority w:val="99"/>
    <w:pPr>
      <w:spacing w:before="100" w:beforeAutospacing="1" w:after="100" w:afterAutospacing="1"/>
      <w:jc w:val="left"/>
      <w:textAlignment w:val="top"/>
    </w:pPr>
    <w:rPr>
      <w:rFonts w:eastAsia="Times New Roman"/>
      <w:color w:val="000000"/>
      <w:sz w:val="16"/>
      <w:szCs w:val="16"/>
      <w:lang w:eastAsia="en-GB"/>
    </w:rPr>
  </w:style>
  <w:style w:type="paragraph" w:styleId="BalloonText">
    <w:name w:val="Balloon Text"/>
    <w:basedOn w:val="Normal"/>
    <w:link w:val="BalloonTextChar"/>
    <w:uiPriority w:val="99"/>
    <w:pPr>
      <w:spacing w:before="0" w:after="0"/>
      <w:jc w:val="left"/>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fr-FR" w:eastAsia="en-GB"/>
    </w:rPr>
  </w:style>
  <w:style w:type="paragraph" w:customStyle="1" w:styleId="FooterCouncil">
    <w:name w:val="Footer Council"/>
    <w:basedOn w:val="Normal"/>
    <w:link w:val="FooterCouncilChar"/>
    <w:uiPriority w:val="99"/>
    <w:pPr>
      <w:spacing w:before="0" w:after="0"/>
      <w:jc w:val="left"/>
    </w:pPr>
    <w:rPr>
      <w:rFonts w:eastAsia="Times New Roman"/>
      <w:sz w:val="2"/>
      <w:szCs w:val="24"/>
    </w:rPr>
  </w:style>
  <w:style w:type="paragraph" w:customStyle="1" w:styleId="FooterText">
    <w:name w:val="Footer Text"/>
    <w:basedOn w:val="Normal"/>
    <w:uiPriority w:val="99"/>
    <w:pPr>
      <w:spacing w:before="0" w:after="0"/>
      <w:jc w:val="left"/>
    </w:pPr>
    <w:rPr>
      <w:rFonts w:eastAsia="Times New Roman"/>
      <w:szCs w:val="24"/>
    </w:rPr>
  </w:style>
  <w:style w:type="character" w:customStyle="1" w:styleId="FooterCouncilChar">
    <w:name w:val="Footer Council Char"/>
    <w:link w:val="FooterCouncil"/>
    <w:rPr>
      <w:rFonts w:ascii="Times New Roman" w:eastAsia="Times New Roman" w:hAnsi="Times New Roman" w:cs="Times New Roman"/>
      <w:sz w:val="2"/>
      <w:szCs w:val="24"/>
      <w:lang w:val="fr-FR"/>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uiPriority w:val="99"/>
    <w:pPr>
      <w:spacing w:before="0" w:after="0"/>
      <w:jc w:val="left"/>
    </w:pPr>
    <w:rPr>
      <w:rFonts w:eastAsia="Times New Roman"/>
      <w:sz w:val="20"/>
      <w:szCs w:val="20"/>
      <w:lang w:eastAsia="en-GB"/>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lang w:val="fr-FR" w:eastAsia="en-GB"/>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rFonts w:ascii="Times New Roman" w:eastAsia="Times New Roman" w:hAnsi="Times New Roman" w:cs="Times New Roman"/>
      <w:b/>
      <w:bCs/>
      <w:sz w:val="20"/>
      <w:szCs w:val="20"/>
      <w:lang w:val="fr-FR" w:eastAsia="en-GB"/>
    </w:rPr>
  </w:style>
  <w:style w:type="paragraph" w:customStyle="1" w:styleId="HeaderCouncil">
    <w:name w:val="Header Council"/>
    <w:basedOn w:val="Normal"/>
    <w:link w:val="HeaderCouncilChar"/>
    <w:uiPriority w:val="99"/>
    <w:pPr>
      <w:spacing w:before="0" w:after="0"/>
      <w:jc w:val="left"/>
    </w:pPr>
    <w:rPr>
      <w:rFonts w:eastAsia="Times New Roman"/>
      <w:sz w:val="2"/>
      <w:szCs w:val="24"/>
    </w:rPr>
  </w:style>
  <w:style w:type="paragraph" w:customStyle="1" w:styleId="TechnicalBlock">
    <w:name w:val="Technical Block"/>
    <w:basedOn w:val="Normal"/>
    <w:next w:val="Normal"/>
    <w:link w:val="TechnicalBlockChar"/>
    <w:uiPriority w:val="99"/>
    <w:pPr>
      <w:spacing w:before="0" w:after="240"/>
      <w:jc w:val="center"/>
    </w:pPr>
    <w:rPr>
      <w:rFonts w:eastAsia="Times New Roman"/>
      <w:szCs w:val="24"/>
    </w:rPr>
  </w:style>
  <w:style w:type="paragraph" w:customStyle="1" w:styleId="Annexetitreacte">
    <w:name w:val="Annexe titre (acte)"/>
    <w:basedOn w:val="Normal"/>
    <w:next w:val="Normal"/>
    <w:uiPriority w:val="99"/>
    <w:pPr>
      <w:spacing w:line="360" w:lineRule="auto"/>
      <w:jc w:val="center"/>
    </w:pPr>
    <w:rPr>
      <w:rFonts w:eastAsia="Times New Roman"/>
      <w:b/>
      <w:szCs w:val="24"/>
      <w:u w:val="single"/>
    </w:rPr>
  </w:style>
  <w:style w:type="paragraph" w:customStyle="1" w:styleId="Annexetitreglobale">
    <w:name w:val="Annexe titre (globale)"/>
    <w:basedOn w:val="Normal"/>
    <w:next w:val="Normal"/>
    <w:uiPriority w:val="99"/>
    <w:pPr>
      <w:spacing w:line="360" w:lineRule="auto"/>
      <w:jc w:val="center"/>
    </w:pPr>
    <w:rPr>
      <w:rFonts w:eastAsia="Times New Roman"/>
      <w:b/>
      <w:szCs w:val="24"/>
      <w:u w:val="single"/>
    </w:rPr>
  </w:style>
  <w:style w:type="paragraph" w:customStyle="1" w:styleId="Lignefinal">
    <w:name w:val="Ligne final"/>
    <w:basedOn w:val="Normal"/>
    <w:next w:val="Normal"/>
    <w:link w:val="LignefinalChar"/>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uiPriority w:val="99"/>
    <w:pPr>
      <w:spacing w:before="0" w:after="0" w:line="360" w:lineRule="auto"/>
      <w:ind w:left="5103"/>
      <w:jc w:val="left"/>
    </w:pPr>
    <w:rPr>
      <w:rFonts w:eastAsia="Times New Roman"/>
      <w:szCs w:val="24"/>
    </w:rPr>
  </w:style>
  <w:style w:type="paragraph" w:customStyle="1" w:styleId="EntLogo">
    <w:name w:val="EntLogo"/>
    <w:basedOn w:val="Normal"/>
    <w:uiPriority w:val="99"/>
    <w:pPr>
      <w:tabs>
        <w:tab w:val="right" w:pos="9639"/>
      </w:tabs>
      <w:spacing w:before="0" w:after="0" w:line="360" w:lineRule="auto"/>
      <w:jc w:val="left"/>
    </w:pPr>
    <w:rPr>
      <w:rFonts w:eastAsia="Times New Roman"/>
      <w:b/>
      <w:szCs w:val="24"/>
    </w:rPr>
  </w:style>
  <w:style w:type="paragraph" w:customStyle="1" w:styleId="EntInstit">
    <w:name w:val="EntInstit"/>
    <w:basedOn w:val="Normal"/>
    <w:uiPriority w:val="99"/>
    <w:pPr>
      <w:spacing w:before="0" w:after="0"/>
      <w:jc w:val="right"/>
    </w:pPr>
    <w:rPr>
      <w:rFonts w:eastAsia="Times New Roman"/>
      <w:b/>
      <w:szCs w:val="24"/>
    </w:rPr>
  </w:style>
  <w:style w:type="paragraph" w:customStyle="1" w:styleId="EntRefer">
    <w:name w:val="EntRefer"/>
    <w:basedOn w:val="Normal"/>
    <w:uiPriority w:val="99"/>
    <w:pPr>
      <w:spacing w:before="0" w:after="0"/>
      <w:jc w:val="left"/>
    </w:pPr>
    <w:rPr>
      <w:rFonts w:eastAsia="Times New Roman"/>
      <w:b/>
      <w:szCs w:val="24"/>
    </w:rPr>
  </w:style>
  <w:style w:type="paragraph" w:customStyle="1" w:styleId="EntEmet">
    <w:name w:val="EntEmet"/>
    <w:basedOn w:val="Normal"/>
    <w:uiPriority w:val="99"/>
    <w:pPr>
      <w:spacing w:before="40" w:after="0"/>
      <w:jc w:val="left"/>
    </w:pPr>
    <w:rPr>
      <w:rFonts w:eastAsia="Times New Roman"/>
      <w:szCs w:val="24"/>
    </w:rPr>
  </w:style>
  <w:style w:type="paragraph" w:customStyle="1" w:styleId="EntText">
    <w:name w:val="EntText"/>
    <w:basedOn w:val="Normal"/>
    <w:uiPriority w:val="99"/>
    <w:pPr>
      <w:spacing w:line="360" w:lineRule="auto"/>
      <w:jc w:val="left"/>
    </w:pPr>
    <w:rPr>
      <w:rFonts w:eastAsia="Times New Roman"/>
      <w:szCs w:val="24"/>
    </w:rPr>
  </w:style>
  <w:style w:type="paragraph" w:customStyle="1" w:styleId="EntEU">
    <w:name w:val="EntEU"/>
    <w:basedOn w:val="Normal"/>
    <w:uiPriority w:val="99"/>
    <w:pPr>
      <w:spacing w:before="240" w:after="240"/>
      <w:jc w:val="center"/>
    </w:pPr>
    <w:rPr>
      <w:rFonts w:eastAsia="Times New Roman"/>
      <w:b/>
      <w:sz w:val="36"/>
      <w:szCs w:val="24"/>
    </w:rPr>
  </w:style>
  <w:style w:type="paragraph" w:customStyle="1" w:styleId="EntASSOC">
    <w:name w:val="EntASSOC"/>
    <w:basedOn w:val="Normal"/>
    <w:uiPriority w:val="99"/>
    <w:pPr>
      <w:spacing w:before="0" w:after="0"/>
      <w:jc w:val="center"/>
    </w:pPr>
    <w:rPr>
      <w:rFonts w:eastAsia="Times New Roman"/>
      <w:b/>
      <w:szCs w:val="24"/>
    </w:rPr>
  </w:style>
  <w:style w:type="paragraph" w:customStyle="1" w:styleId="EntACP">
    <w:name w:val="EntACP"/>
    <w:basedOn w:val="Normal"/>
    <w:uiPriority w:val="99"/>
    <w:pPr>
      <w:spacing w:before="0" w:after="180"/>
      <w:jc w:val="center"/>
    </w:pPr>
    <w:rPr>
      <w:rFonts w:eastAsia="Times New Roman"/>
      <w:b/>
      <w:spacing w:val="40"/>
      <w:sz w:val="28"/>
      <w:szCs w:val="24"/>
    </w:rPr>
  </w:style>
  <w:style w:type="paragraph" w:customStyle="1" w:styleId="EntInstitACP">
    <w:name w:val="EntInstitACP"/>
    <w:basedOn w:val="Normal"/>
    <w:uiPriority w:val="99"/>
    <w:pPr>
      <w:spacing w:before="0" w:after="0"/>
      <w:jc w:val="center"/>
    </w:pPr>
    <w:rPr>
      <w:rFonts w:eastAsia="Times New Roman"/>
      <w:b/>
      <w:szCs w:val="24"/>
    </w:rPr>
  </w:style>
  <w:style w:type="paragraph" w:customStyle="1" w:styleId="Genredudocument">
    <w:name w:val="Genre du document"/>
    <w:basedOn w:val="EntRefer"/>
    <w:next w:val="EntRefer"/>
    <w:uiPriority w:val="99"/>
    <w:pPr>
      <w:spacing w:before="240"/>
    </w:pPr>
  </w:style>
  <w:style w:type="paragraph" w:customStyle="1" w:styleId="Accordtitre">
    <w:name w:val="Accord titre"/>
    <w:basedOn w:val="Normal"/>
    <w:uiPriority w:val="99"/>
    <w:pPr>
      <w:spacing w:before="0" w:after="0" w:line="360" w:lineRule="auto"/>
      <w:jc w:val="center"/>
    </w:pPr>
    <w:rPr>
      <w:rFonts w:eastAsia="Times New Roman"/>
      <w:szCs w:val="24"/>
    </w:rPr>
  </w:style>
  <w:style w:type="paragraph" w:customStyle="1" w:styleId="FooterAccord">
    <w:name w:val="Footer Accord"/>
    <w:basedOn w:val="Normal"/>
    <w:uiPriority w:val="99"/>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uiPriority w:val="99"/>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uiPriority w:val="99"/>
    <w:pPr>
      <w:keepNext/>
      <w:spacing w:before="600" w:line="360" w:lineRule="auto"/>
      <w:jc w:val="center"/>
    </w:pPr>
    <w:rPr>
      <w:rFonts w:eastAsia="Times New Roman"/>
      <w:i/>
      <w:szCs w:val="24"/>
    </w:rPr>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4"/>
    </w:rPr>
  </w:style>
  <w:style w:type="character" w:customStyle="1" w:styleId="LignefinalChar">
    <w:name w:val="Ligne final Char"/>
    <w:link w:val="Lignefinal"/>
    <w:rPr>
      <w:rFonts w:ascii="Times New Roman" w:eastAsia="Times New Roman" w:hAnsi="Times New Roman" w:cs="Times New Roman"/>
      <w:b/>
      <w:sz w:val="24"/>
      <w:szCs w:val="24"/>
      <w:lang w:val="fr-FR"/>
    </w:rPr>
  </w:style>
  <w:style w:type="character" w:customStyle="1" w:styleId="HeaderCouncilLargeChar">
    <w:name w:val="Header Council Large Char"/>
    <w:link w:val="HeaderCouncilLarge"/>
    <w:rPr>
      <w:rFonts w:ascii="Times New Roman" w:eastAsia="Times New Roman" w:hAnsi="Times New Roman" w:cs="Times New Roman"/>
      <w:sz w:val="2"/>
      <w:szCs w:val="24"/>
      <w:lang w:val="fr-FR"/>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outlineLvl w:val="4"/>
    </w:pPr>
    <w:rPr>
      <w:rFonts w:eastAsia="Times New Roman"/>
      <w:szCs w:val="24"/>
    </w:rPr>
  </w:style>
  <w:style w:type="paragraph" w:customStyle="1" w:styleId="Text6">
    <w:name w:val="Text 6"/>
    <w:basedOn w:val="Normal"/>
    <w:uiPriority w:val="99"/>
    <w:pPr>
      <w:spacing w:line="360" w:lineRule="auto"/>
      <w:ind w:left="3402"/>
      <w:jc w:val="left"/>
      <w:outlineLvl w:val="5"/>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outlineLvl w:val="0"/>
    </w:pPr>
    <w:rPr>
      <w:rFonts w:eastAsia="Times New Roman"/>
      <w:szCs w:val="24"/>
    </w:rPr>
  </w:style>
  <w:style w:type="paragraph" w:customStyle="1" w:styleId="PointManual2">
    <w:name w:val="Point Manual (2)"/>
    <w:basedOn w:val="Normal"/>
    <w:uiPriority w:val="99"/>
    <w:pPr>
      <w:spacing w:line="360" w:lineRule="auto"/>
      <w:ind w:left="1701" w:hanging="567"/>
      <w:jc w:val="left"/>
      <w:outlineLvl w:val="1"/>
    </w:pPr>
    <w:rPr>
      <w:rFonts w:eastAsia="Times New Roman"/>
      <w:szCs w:val="24"/>
    </w:rPr>
  </w:style>
  <w:style w:type="paragraph" w:customStyle="1" w:styleId="PointManual3">
    <w:name w:val="Point Manual (3)"/>
    <w:basedOn w:val="Normal"/>
    <w:uiPriority w:val="99"/>
    <w:pPr>
      <w:spacing w:line="360" w:lineRule="auto"/>
      <w:ind w:left="2268" w:hanging="567"/>
      <w:jc w:val="left"/>
      <w:outlineLvl w:val="2"/>
    </w:pPr>
    <w:rPr>
      <w:rFonts w:eastAsia="Times New Roman"/>
      <w:szCs w:val="24"/>
    </w:rPr>
  </w:style>
  <w:style w:type="paragraph" w:customStyle="1" w:styleId="PointManual4">
    <w:name w:val="Point Manual (4)"/>
    <w:basedOn w:val="Normal"/>
    <w:uiPriority w:val="99"/>
    <w:pPr>
      <w:spacing w:line="360" w:lineRule="auto"/>
      <w:ind w:left="2835" w:hanging="567"/>
      <w:jc w:val="left"/>
      <w:outlineLvl w:val="3"/>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outlineLvl w:val="0"/>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outlineLvl w:val="1"/>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outlineLvl w:val="2"/>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outlineLvl w:val="3"/>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outlineLvl w:val="0"/>
    </w:pPr>
    <w:rPr>
      <w:rFonts w:eastAsia="Times New Roman"/>
      <w:szCs w:val="24"/>
    </w:rPr>
  </w:style>
  <w:style w:type="paragraph" w:customStyle="1" w:styleId="Pointabc2">
    <w:name w:val="Point abc (2)"/>
    <w:basedOn w:val="Normal"/>
    <w:uiPriority w:val="99"/>
    <w:pPr>
      <w:numPr>
        <w:ilvl w:val="5"/>
        <w:numId w:val="12"/>
      </w:numPr>
      <w:spacing w:line="360" w:lineRule="auto"/>
      <w:jc w:val="left"/>
      <w:outlineLvl w:val="1"/>
    </w:pPr>
    <w:rPr>
      <w:rFonts w:eastAsia="Times New Roman"/>
      <w:szCs w:val="24"/>
    </w:rPr>
  </w:style>
  <w:style w:type="paragraph" w:customStyle="1" w:styleId="Pointabc3">
    <w:name w:val="Point abc (3)"/>
    <w:basedOn w:val="Normal"/>
    <w:uiPriority w:val="99"/>
    <w:pPr>
      <w:numPr>
        <w:ilvl w:val="7"/>
        <w:numId w:val="12"/>
      </w:numPr>
      <w:spacing w:line="360" w:lineRule="auto"/>
      <w:jc w:val="left"/>
      <w:outlineLvl w:val="2"/>
    </w:pPr>
    <w:rPr>
      <w:rFonts w:eastAsia="Times New Roman"/>
      <w:szCs w:val="24"/>
    </w:rPr>
  </w:style>
  <w:style w:type="paragraph" w:customStyle="1" w:styleId="Pointabc4">
    <w:name w:val="Point abc (4)"/>
    <w:basedOn w:val="Normal"/>
    <w:uiPriority w:val="99"/>
    <w:pPr>
      <w:numPr>
        <w:ilvl w:val="8"/>
        <w:numId w:val="12"/>
      </w:numPr>
      <w:spacing w:line="360" w:lineRule="auto"/>
      <w:jc w:val="left"/>
      <w:outlineLvl w:val="3"/>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outlineLvl w:val="0"/>
    </w:pPr>
    <w:rPr>
      <w:rFonts w:eastAsia="Times New Roman"/>
      <w:szCs w:val="24"/>
    </w:rPr>
  </w:style>
  <w:style w:type="paragraph" w:customStyle="1" w:styleId="Point1232">
    <w:name w:val="Point 123 (2)"/>
    <w:basedOn w:val="Normal"/>
    <w:uiPriority w:val="99"/>
    <w:pPr>
      <w:numPr>
        <w:ilvl w:val="4"/>
        <w:numId w:val="12"/>
      </w:numPr>
      <w:spacing w:line="360" w:lineRule="auto"/>
      <w:jc w:val="left"/>
      <w:outlineLvl w:val="1"/>
    </w:pPr>
    <w:rPr>
      <w:rFonts w:eastAsia="Times New Roman"/>
      <w:szCs w:val="24"/>
    </w:rPr>
  </w:style>
  <w:style w:type="paragraph" w:customStyle="1" w:styleId="Point1233">
    <w:name w:val="Point 123 (3)"/>
    <w:basedOn w:val="Normal"/>
    <w:uiPriority w:val="99"/>
    <w:pPr>
      <w:numPr>
        <w:ilvl w:val="6"/>
        <w:numId w:val="12"/>
      </w:numPr>
      <w:spacing w:line="360" w:lineRule="auto"/>
      <w:jc w:val="left"/>
      <w:outlineLvl w:val="2"/>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outlineLvl w:val="0"/>
    </w:pPr>
    <w:rPr>
      <w:rFonts w:eastAsia="Times New Roman"/>
      <w:szCs w:val="24"/>
    </w:rPr>
  </w:style>
  <w:style w:type="paragraph" w:customStyle="1" w:styleId="Pointivx2">
    <w:name w:val="Point ivx (2)"/>
    <w:basedOn w:val="Normal"/>
    <w:uiPriority w:val="99"/>
    <w:pPr>
      <w:numPr>
        <w:ilvl w:val="2"/>
        <w:numId w:val="13"/>
      </w:numPr>
      <w:spacing w:line="360" w:lineRule="auto"/>
      <w:jc w:val="left"/>
      <w:outlineLvl w:val="1"/>
    </w:pPr>
    <w:rPr>
      <w:rFonts w:eastAsia="Times New Roman"/>
      <w:szCs w:val="24"/>
    </w:rPr>
  </w:style>
  <w:style w:type="paragraph" w:customStyle="1" w:styleId="Pointivx3">
    <w:name w:val="Point ivx (3)"/>
    <w:basedOn w:val="Normal"/>
    <w:uiPriority w:val="99"/>
    <w:pPr>
      <w:numPr>
        <w:ilvl w:val="3"/>
        <w:numId w:val="13"/>
      </w:numPr>
      <w:spacing w:line="360" w:lineRule="auto"/>
      <w:jc w:val="left"/>
      <w:outlineLvl w:val="2"/>
    </w:pPr>
    <w:rPr>
      <w:rFonts w:eastAsia="Times New Roman"/>
      <w:szCs w:val="24"/>
    </w:rPr>
  </w:style>
  <w:style w:type="paragraph" w:customStyle="1" w:styleId="Pointivx4">
    <w:name w:val="Point ivx (4)"/>
    <w:basedOn w:val="Normal"/>
    <w:uiPriority w:val="99"/>
    <w:pPr>
      <w:numPr>
        <w:ilvl w:val="4"/>
        <w:numId w:val="13"/>
      </w:numPr>
      <w:spacing w:line="360" w:lineRule="auto"/>
      <w:jc w:val="left"/>
      <w:outlineLvl w:val="3"/>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outlineLvl w:val="0"/>
    </w:pPr>
    <w:rPr>
      <w:rFonts w:eastAsia="Times New Roman"/>
      <w:szCs w:val="24"/>
    </w:rPr>
  </w:style>
  <w:style w:type="paragraph" w:customStyle="1" w:styleId="Dash2">
    <w:name w:val="Dash 2"/>
    <w:basedOn w:val="Normal"/>
    <w:uiPriority w:val="99"/>
    <w:pPr>
      <w:numPr>
        <w:numId w:val="3"/>
      </w:numPr>
      <w:spacing w:line="360" w:lineRule="auto"/>
      <w:jc w:val="left"/>
      <w:outlineLvl w:val="1"/>
    </w:pPr>
    <w:rPr>
      <w:rFonts w:eastAsia="Times New Roman"/>
      <w:szCs w:val="24"/>
    </w:rPr>
  </w:style>
  <w:style w:type="paragraph" w:customStyle="1" w:styleId="Dash3">
    <w:name w:val="Dash 3"/>
    <w:basedOn w:val="Normal"/>
    <w:uiPriority w:val="99"/>
    <w:pPr>
      <w:numPr>
        <w:numId w:val="4"/>
      </w:numPr>
      <w:spacing w:line="360" w:lineRule="auto"/>
      <w:jc w:val="left"/>
      <w:outlineLvl w:val="2"/>
    </w:pPr>
    <w:rPr>
      <w:rFonts w:eastAsia="Times New Roman"/>
      <w:szCs w:val="24"/>
    </w:rPr>
  </w:style>
  <w:style w:type="paragraph" w:customStyle="1" w:styleId="Dash4">
    <w:name w:val="Dash 4"/>
    <w:basedOn w:val="Normal"/>
    <w:uiPriority w:val="99"/>
    <w:pPr>
      <w:numPr>
        <w:numId w:val="5"/>
      </w:numPr>
      <w:spacing w:line="360" w:lineRule="auto"/>
      <w:jc w:val="left"/>
      <w:outlineLvl w:val="3"/>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jc w:val="left"/>
    </w:pPr>
    <w:rPr>
      <w:rFonts w:eastAsia="Times New Roman"/>
      <w:szCs w:val="24"/>
    </w:rPr>
  </w:style>
  <w:style w:type="paragraph" w:customStyle="1" w:styleId="NotDeclassified">
    <w:name w:val="Not Declassified"/>
    <w:basedOn w:val="Normal"/>
    <w:uiPriority w:val="99"/>
    <w:qFormat/>
    <w:pPr>
      <w:spacing w:line="360" w:lineRule="auto"/>
      <w:jc w:val="left"/>
    </w:pPr>
    <w:rPr>
      <w:rFonts w:eastAsia="Times New Roman"/>
      <w:b/>
      <w:bCs/>
      <w:szCs w:val="24"/>
      <w:bdr w:val="single" w:sz="4" w:space="0" w:color="auto"/>
      <w:shd w:val="solid" w:color="CCCCCC" w:fill="CCCCCC"/>
    </w:rPr>
  </w:style>
  <w:style w:type="character" w:customStyle="1" w:styleId="TechnicalBlockChar">
    <w:name w:val="Technical Block Char"/>
    <w:link w:val="TechnicalBlock"/>
    <w:rPr>
      <w:rFonts w:ascii="Times New Roman" w:eastAsia="Times New Roman" w:hAnsi="Times New Roman" w:cs="Times New Roman"/>
      <w:sz w:val="24"/>
      <w:szCs w:val="24"/>
      <w:lang w:val="fr-FR"/>
    </w:rPr>
  </w:style>
  <w:style w:type="numbering" w:customStyle="1" w:styleId="NoList1">
    <w:name w:val="No List1"/>
    <w:next w:val="NoList"/>
    <w:uiPriority w:val="99"/>
    <w:semiHidden/>
    <w:unhideWhenUsed/>
  </w:style>
  <w:style w:type="paragraph" w:styleId="ListBullet">
    <w:name w:val="List Bullet"/>
    <w:basedOn w:val="Normal"/>
    <w:uiPriority w:val="99"/>
    <w:unhideWhenUsed/>
    <w:pPr>
      <w:numPr>
        <w:numId w:val="21"/>
      </w:numPr>
      <w:tabs>
        <w:tab w:val="clear" w:pos="850"/>
        <w:tab w:val="num" w:pos="360"/>
      </w:tabs>
      <w:ind w:left="360" w:hanging="360"/>
      <w:contextualSpacing/>
    </w:pPr>
    <w:rPr>
      <w:rFonts w:eastAsia="Calibri"/>
      <w:lang w:eastAsia="en-GB"/>
    </w:rPr>
  </w:style>
  <w:style w:type="paragraph" w:styleId="ListBullet2">
    <w:name w:val="List Bullet 2"/>
    <w:basedOn w:val="Normal"/>
    <w:uiPriority w:val="99"/>
    <w:unhideWhenUsed/>
    <w:pPr>
      <w:numPr>
        <w:ilvl w:val="1"/>
        <w:numId w:val="21"/>
      </w:numPr>
      <w:tabs>
        <w:tab w:val="clear" w:pos="850"/>
        <w:tab w:val="num" w:pos="360"/>
      </w:tabs>
      <w:ind w:left="0" w:firstLine="0"/>
      <w:contextualSpacing/>
    </w:pPr>
    <w:rPr>
      <w:rFonts w:eastAsia="Calibri"/>
      <w:lang w:eastAsia="en-GB"/>
    </w:rPr>
  </w:style>
  <w:style w:type="paragraph" w:styleId="ListBullet3">
    <w:name w:val="List Bullet 3"/>
    <w:basedOn w:val="Normal"/>
    <w:uiPriority w:val="99"/>
    <w:unhideWhenUsed/>
    <w:pPr>
      <w:numPr>
        <w:ilvl w:val="2"/>
        <w:numId w:val="21"/>
      </w:numPr>
      <w:tabs>
        <w:tab w:val="clear" w:pos="850"/>
        <w:tab w:val="num" w:pos="926"/>
      </w:tabs>
      <w:ind w:left="926" w:hanging="360"/>
      <w:contextualSpacing/>
    </w:pPr>
    <w:rPr>
      <w:rFonts w:eastAsia="Calibri"/>
      <w:lang w:eastAsia="en-GB"/>
    </w:rPr>
  </w:style>
  <w:style w:type="paragraph" w:styleId="ListBullet4">
    <w:name w:val="List Bullet 4"/>
    <w:basedOn w:val="Normal"/>
    <w:uiPriority w:val="99"/>
    <w:unhideWhenUsed/>
    <w:pPr>
      <w:numPr>
        <w:ilvl w:val="3"/>
        <w:numId w:val="21"/>
      </w:numPr>
      <w:tabs>
        <w:tab w:val="clear" w:pos="850"/>
        <w:tab w:val="num" w:pos="360"/>
      </w:tabs>
      <w:ind w:left="0" w:firstLine="0"/>
      <w:contextualSpacing/>
    </w:pPr>
    <w:rPr>
      <w:rFonts w:eastAsia="Calibri"/>
      <w:lang w:eastAsia="en-GB"/>
    </w:rPr>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fr-FR"/>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lang w:eastAsia="en-GB"/>
    </w:rPr>
  </w:style>
  <w:style w:type="paragraph" w:styleId="ListNumber">
    <w:name w:val="List Number"/>
    <w:basedOn w:val="Normal"/>
    <w:uiPriority w:val="99"/>
    <w:unhideWhenUsed/>
    <w:pPr>
      <w:numPr>
        <w:numId w:val="17"/>
      </w:numPr>
      <w:contextualSpacing/>
    </w:pPr>
    <w:rPr>
      <w:rFonts w:eastAsia="Calibri"/>
      <w:lang w:eastAsia="en-GB"/>
    </w:rPr>
  </w:style>
  <w:style w:type="paragraph" w:styleId="ListNumber2">
    <w:name w:val="List Number 2"/>
    <w:basedOn w:val="Normal"/>
    <w:uiPriority w:val="99"/>
    <w:unhideWhenUsed/>
    <w:pPr>
      <w:numPr>
        <w:numId w:val="18"/>
      </w:numPr>
      <w:contextualSpacing/>
    </w:pPr>
    <w:rPr>
      <w:rFonts w:eastAsia="Calibri"/>
      <w:lang w:eastAsia="en-GB"/>
    </w:rPr>
  </w:style>
  <w:style w:type="paragraph" w:styleId="ListNumber3">
    <w:name w:val="List Number 3"/>
    <w:basedOn w:val="Normal"/>
    <w:uiPriority w:val="99"/>
    <w:unhideWhenUsed/>
    <w:pPr>
      <w:numPr>
        <w:numId w:val="19"/>
      </w:numPr>
      <w:contextualSpacing/>
    </w:pPr>
    <w:rPr>
      <w:rFonts w:eastAsia="Calibri"/>
      <w:lang w:eastAsia="en-GB"/>
    </w:rPr>
  </w:style>
  <w:style w:type="paragraph" w:styleId="ListNumber4">
    <w:name w:val="List Number 4"/>
    <w:basedOn w:val="Normal"/>
    <w:uiPriority w:val="99"/>
    <w:unhideWhenUsed/>
    <w:pPr>
      <w:numPr>
        <w:numId w:val="20"/>
      </w:numPr>
      <w:contextualSpacing/>
    </w:pPr>
    <w:rPr>
      <w:rFonts w:eastAsia="Calibri"/>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lang w:eastAsia="en-GB"/>
    </w:rPr>
  </w:style>
  <w:style w:type="paragraph" w:styleId="Revision">
    <w:name w:val="Revision"/>
    <w:hidden/>
    <w:uiPriority w:val="99"/>
    <w:rPr>
      <w:rFonts w:ascii="Times New Roman" w:eastAsia="Calibri" w:hAnsi="Times New Roman" w:cs="Times New Roman"/>
      <w:sz w:val="24"/>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lang w:eastAsia="en-GB"/>
    </w:rPr>
  </w:style>
  <w:style w:type="paragraph" w:customStyle="1" w:styleId="Notmsl">
    <w:name w:val="Notmsl"/>
    <w:basedOn w:val="DatedadoptionPagedecouverture"/>
    <w:uiPriority w:val="99"/>
    <w:rPr>
      <w:rFonts w:eastAsia="Calibri"/>
      <w:noProof/>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EndnoteReference">
    <w:name w:val="endnote reference"/>
    <w:uiPriority w:val="99"/>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lang w:val="fr-FR"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lang w:eastAsia="zh-CN"/>
    </w:rPr>
  </w:style>
  <w:style w:type="character" w:customStyle="1" w:styleId="CommentSubjectChar1">
    <w:name w:val="Comment Subject Char1"/>
    <w:rPr>
      <w:rFonts w:ascii="Times New Roman" w:eastAsia="Times New Roman" w:hAnsi="Times New Roman" w:cs="Times New Roman"/>
      <w:b/>
      <w:bCs/>
      <w:sz w:val="20"/>
      <w:szCs w:val="20"/>
      <w:lang w:val="fr-FR" w:eastAsia="zh-CN"/>
    </w:rPr>
  </w:style>
  <w:style w:type="character" w:customStyle="1" w:styleId="BalloonTextChar1">
    <w:name w:val="Balloon Text Char1"/>
    <w:rPr>
      <w:rFonts w:ascii="Tahoma" w:eastAsia="Times New Roman" w:hAnsi="Tahoma" w:cs="Tahoma"/>
      <w:sz w:val="16"/>
      <w:szCs w:val="16"/>
      <w:lang w:val="fr-FR" w:eastAsia="zh-CN"/>
    </w:rPr>
  </w:style>
  <w:style w:type="paragraph" w:customStyle="1" w:styleId="WW-Default">
    <w:name w:val="WW-Default"/>
    <w:uiPriority w:val="99"/>
    <w:pPr>
      <w:suppressAutoHyphens/>
      <w:autoSpaceDE w:val="0"/>
    </w:pPr>
    <w:rPr>
      <w:rFonts w:ascii="EUAlbertina" w:eastAsia="Calibri" w:hAnsi="EUAlbertina" w:cs="EUAlbertina"/>
      <w:color w:val="000000"/>
      <w:sz w:val="24"/>
      <w:szCs w:val="24"/>
      <w:lang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u w:val="single"/>
      <w:lang w:eastAsia="zh-CN"/>
    </w:rPr>
  </w:style>
  <w:style w:type="paragraph" w:customStyle="1" w:styleId="TableContents">
    <w:name w:val="Table Contents"/>
    <w:basedOn w:val="Normal"/>
    <w:uiPriority w:val="99"/>
    <w:pPr>
      <w:suppressLineNumbers/>
      <w:suppressAutoHyphens/>
    </w:pPr>
    <w:rPr>
      <w:rFonts w:eastAsia="Calibri"/>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pPr>
    <w:rPr>
      <w:rFonts w:ascii="EUAlbertina" w:eastAsia="Calibri" w:hAnsi="EUAlbertina" w:cs="EUAlbertina"/>
      <w:color w:val="000000"/>
      <w:sz w:val="24"/>
      <w:szCs w:val="24"/>
    </w:rPr>
  </w:style>
  <w:style w:type="paragraph" w:customStyle="1" w:styleId="font5">
    <w:name w:val="font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
    <w:name w:val="xl64"/>
    <w:basedOn w:val="Normal"/>
    <w:uiPriority w:val="99"/>
    <w:pPr>
      <w:spacing w:before="100" w:beforeAutospacing="1" w:after="100" w:afterAutospacing="1"/>
      <w:jc w:val="left"/>
    </w:pPr>
    <w:rPr>
      <w:rFonts w:eastAsia="Times New Roman"/>
      <w:sz w:val="18"/>
      <w:szCs w:val="18"/>
      <w:lang w:eastAsia="en-GB"/>
    </w:rPr>
  </w:style>
  <w:style w:type="paragraph" w:customStyle="1" w:styleId="xl65">
    <w:name w:val="xl65"/>
    <w:basedOn w:val="Normal"/>
    <w:uiPriority w:val="99"/>
    <w:pPr>
      <w:spacing w:before="100" w:beforeAutospacing="1" w:after="100" w:afterAutospacing="1"/>
      <w:jc w:val="left"/>
    </w:pPr>
    <w:rPr>
      <w:rFonts w:eastAsia="Times New Roman"/>
      <w:sz w:val="18"/>
      <w:szCs w:val="18"/>
      <w:lang w:eastAsia="en-GB"/>
    </w:rPr>
  </w:style>
  <w:style w:type="paragraph" w:customStyle="1" w:styleId="xl66">
    <w:name w:val="xl66"/>
    <w:basedOn w:val="Normal"/>
    <w:uiPriority w:val="99"/>
    <w:pPr>
      <w:spacing w:before="100" w:beforeAutospacing="1" w:after="100" w:afterAutospacing="1"/>
      <w:jc w:val="left"/>
    </w:pPr>
    <w:rPr>
      <w:rFonts w:eastAsia="Times New Roman"/>
      <w:sz w:val="18"/>
      <w:szCs w:val="18"/>
      <w:lang w:eastAsia="en-GB"/>
    </w:rPr>
  </w:style>
  <w:style w:type="paragraph" w:customStyle="1" w:styleId="xl67">
    <w:name w:val="xl67"/>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8">
    <w:name w:val="xl68"/>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9">
    <w:name w:val="xl69"/>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70">
    <w:name w:val="xl70"/>
    <w:basedOn w:val="Normal"/>
    <w:uiPriority w:val="99"/>
    <w:pPr>
      <w:pBdr>
        <w:top w:val="single" w:sz="8" w:space="0" w:color="auto"/>
        <w:left w:val="single" w:sz="8" w:space="0" w:color="auto"/>
      </w:pBdr>
      <w:spacing w:before="100" w:beforeAutospacing="1" w:after="100" w:afterAutospacing="1"/>
      <w:jc w:val="left"/>
    </w:pPr>
    <w:rPr>
      <w:rFonts w:eastAsia="Times New Roman"/>
      <w:sz w:val="18"/>
      <w:szCs w:val="18"/>
      <w:lang w:eastAsia="en-GB"/>
    </w:rPr>
  </w:style>
  <w:style w:type="paragraph" w:customStyle="1" w:styleId="xl71">
    <w:name w:val="xl7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2">
    <w:name w:val="xl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3">
    <w:name w:val="xl7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4">
    <w:name w:val="xl74"/>
    <w:basedOn w:val="Normal"/>
    <w:uiPriority w:val="99"/>
    <w:pPr>
      <w:pBdr>
        <w:left w:val="single" w:sz="8" w:space="0" w:color="auto"/>
        <w:bottom w:val="single" w:sz="8" w:space="0" w:color="auto"/>
      </w:pBdr>
      <w:spacing w:before="100" w:beforeAutospacing="1" w:after="100" w:afterAutospacing="1"/>
      <w:jc w:val="left"/>
    </w:pPr>
    <w:rPr>
      <w:rFonts w:eastAsia="Times New Roman"/>
      <w:sz w:val="18"/>
      <w:szCs w:val="18"/>
      <w:lang w:eastAsia="en-GB"/>
    </w:rPr>
  </w:style>
  <w:style w:type="paragraph" w:customStyle="1" w:styleId="xl75">
    <w:name w:val="xl75"/>
    <w:basedOn w:val="Normal"/>
    <w:uiPriority w:val="99"/>
    <w:pPr>
      <w:pBdr>
        <w:top w:val="single" w:sz="8" w:space="0" w:color="000000"/>
      </w:pBdr>
      <w:spacing w:before="100" w:beforeAutospacing="1" w:after="100" w:afterAutospacing="1"/>
      <w:jc w:val="right"/>
      <w:textAlignment w:val="center"/>
    </w:pPr>
    <w:rPr>
      <w:rFonts w:eastAsia="Times New Roman"/>
      <w:sz w:val="18"/>
      <w:szCs w:val="18"/>
      <w:lang w:eastAsia="en-GB"/>
    </w:rPr>
  </w:style>
  <w:style w:type="paragraph" w:customStyle="1" w:styleId="xl76">
    <w:name w:val="xl76"/>
    <w:basedOn w:val="Normal"/>
    <w:uiPriority w:val="99"/>
    <w:pPr>
      <w:spacing w:before="100" w:beforeAutospacing="1" w:after="100" w:afterAutospacing="1"/>
      <w:jc w:val="left"/>
      <w:textAlignment w:val="center"/>
    </w:pPr>
    <w:rPr>
      <w:rFonts w:eastAsia="Times New Roman"/>
      <w:sz w:val="18"/>
      <w:szCs w:val="18"/>
      <w:lang w:eastAsia="en-GB"/>
    </w:rPr>
  </w:style>
  <w:style w:type="paragraph" w:customStyle="1" w:styleId="xl77">
    <w:name w:val="xl77"/>
    <w:basedOn w:val="Normal"/>
    <w:uiPriority w:val="99"/>
    <w:pPr>
      <w:spacing w:before="100" w:beforeAutospacing="1" w:after="100" w:afterAutospacing="1"/>
      <w:jc w:val="right"/>
      <w:textAlignment w:val="center"/>
    </w:pPr>
    <w:rPr>
      <w:rFonts w:eastAsia="Times New Roman"/>
      <w:sz w:val="18"/>
      <w:szCs w:val="18"/>
      <w:lang w:eastAsia="en-GB"/>
    </w:rPr>
  </w:style>
  <w:style w:type="paragraph" w:customStyle="1" w:styleId="xl78">
    <w:name w:val="xl7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79">
    <w:name w:val="xl79"/>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0">
    <w:name w:val="xl8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81">
    <w:name w:val="xl8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2">
    <w:name w:val="xl8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3">
    <w:name w:val="xl83"/>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4">
    <w:name w:val="xl84"/>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5">
    <w:name w:val="xl8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6">
    <w:name w:val="xl86"/>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7">
    <w:name w:val="xl8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88">
    <w:name w:val="xl8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89">
    <w:name w:val="xl89"/>
    <w:basedOn w:val="Normal"/>
    <w:uiPriority w:val="99"/>
    <w:pPr>
      <w:pBdr>
        <w:bottom w:val="single" w:sz="8" w:space="0" w:color="auto"/>
      </w:pBdr>
      <w:spacing w:before="100" w:beforeAutospacing="1" w:after="100" w:afterAutospacing="1"/>
      <w:jc w:val="right"/>
      <w:textAlignment w:val="center"/>
    </w:pPr>
    <w:rPr>
      <w:rFonts w:eastAsia="Times New Roman"/>
      <w:sz w:val="18"/>
      <w:szCs w:val="18"/>
      <w:lang w:eastAsia="en-GB"/>
    </w:rPr>
  </w:style>
  <w:style w:type="paragraph" w:customStyle="1" w:styleId="xl90">
    <w:name w:val="xl90"/>
    <w:basedOn w:val="Normal"/>
    <w:uiPriority w:val="99"/>
    <w:pPr>
      <w:pBdr>
        <w:bottom w:val="single" w:sz="8" w:space="0" w:color="auto"/>
      </w:pBdr>
      <w:spacing w:before="100" w:beforeAutospacing="1" w:after="100" w:afterAutospacing="1"/>
      <w:jc w:val="right"/>
      <w:textAlignment w:val="top"/>
    </w:pPr>
    <w:rPr>
      <w:rFonts w:eastAsia="Times New Roman"/>
      <w:color w:val="FF0000"/>
      <w:sz w:val="18"/>
      <w:szCs w:val="18"/>
      <w:lang w:eastAsia="en-GB"/>
    </w:rPr>
  </w:style>
  <w:style w:type="paragraph" w:customStyle="1" w:styleId="xl91">
    <w:name w:val="xl91"/>
    <w:basedOn w:val="Normal"/>
    <w:uiPriority w:val="99"/>
    <w:pPr>
      <w:spacing w:before="100" w:beforeAutospacing="1" w:after="100" w:afterAutospacing="1"/>
      <w:jc w:val="left"/>
    </w:pPr>
    <w:rPr>
      <w:rFonts w:eastAsia="Times New Roman"/>
      <w:sz w:val="18"/>
      <w:szCs w:val="18"/>
      <w:lang w:eastAsia="en-GB"/>
    </w:rPr>
  </w:style>
  <w:style w:type="paragraph" w:customStyle="1" w:styleId="xl92">
    <w:name w:val="xl92"/>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93">
    <w:name w:val="xl9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character" w:customStyle="1" w:styleId="HeaderCouncilChar">
    <w:name w:val="Header Council Char"/>
    <w:link w:val="HeaderCouncil"/>
    <w:rPr>
      <w:rFonts w:ascii="Times New Roman" w:eastAsia="Times New Roman" w:hAnsi="Times New Roman" w:cs="Times New Roman"/>
      <w:sz w:val="2"/>
      <w:szCs w:val="24"/>
      <w:lang w:val="fr-FR"/>
    </w:rPr>
  </w:style>
  <w:style w:type="paragraph" w:customStyle="1" w:styleId="xl300">
    <w:name w:val="xl30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301">
    <w:name w:val="xl30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302">
    <w:name w:val="xl302"/>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303">
    <w:name w:val="xl303"/>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4">
    <w:name w:val="xl304"/>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305">
    <w:name w:val="xl305"/>
    <w:basedOn w:val="Normal"/>
    <w:uiPriority w:val="99"/>
    <w:pPr>
      <w:shd w:val="clear" w:color="000000" w:fill="FFFFFF"/>
      <w:spacing w:before="100" w:beforeAutospacing="1" w:after="100" w:afterAutospacing="1"/>
      <w:jc w:val="left"/>
      <w:textAlignment w:val="top"/>
    </w:pPr>
    <w:rPr>
      <w:rFonts w:eastAsia="Times New Roman"/>
      <w:sz w:val="18"/>
      <w:szCs w:val="18"/>
      <w:lang w:eastAsia="en-GB"/>
    </w:rPr>
  </w:style>
  <w:style w:type="paragraph" w:customStyle="1" w:styleId="xl306">
    <w:name w:val="xl306"/>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7">
    <w:name w:val="xl307"/>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308">
    <w:name w:val="xl308"/>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09">
    <w:name w:val="xl309"/>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10">
    <w:name w:val="xl310"/>
    <w:basedOn w:val="Normal"/>
    <w:uiPriority w:val="99"/>
    <w:pPr>
      <w:pBdr>
        <w:top w:val="single" w:sz="8" w:space="0" w:color="000000"/>
      </w:pBd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11">
    <w:name w:val="xl311"/>
    <w:basedOn w:val="Normal"/>
    <w:uiPriority w:val="99"/>
    <w:pPr>
      <w:pBdr>
        <w:top w:val="single" w:sz="8" w:space="0" w:color="000000"/>
        <w:left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2">
    <w:name w:val="xl312"/>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3">
    <w:name w:val="xl313"/>
    <w:basedOn w:val="Normal"/>
    <w:uiPriority w:val="99"/>
    <w:pPr>
      <w:shd w:val="clear" w:color="000000" w:fill="A6A6A6"/>
      <w:spacing w:before="100" w:beforeAutospacing="1" w:after="100" w:afterAutospacing="1"/>
      <w:jc w:val="left"/>
      <w:textAlignment w:val="top"/>
    </w:pPr>
    <w:rPr>
      <w:rFonts w:eastAsia="Times New Roman"/>
      <w:i/>
      <w:iCs/>
      <w:sz w:val="18"/>
      <w:szCs w:val="18"/>
      <w:lang w:eastAsia="en-GB"/>
    </w:rPr>
  </w:style>
  <w:style w:type="paragraph" w:customStyle="1" w:styleId="xl314">
    <w:name w:val="xl314"/>
    <w:basedOn w:val="Normal"/>
    <w:uiPriority w:val="99"/>
    <w:pPr>
      <w:pBdr>
        <w:bottom w:val="single" w:sz="8" w:space="0" w:color="000000"/>
      </w:pBdr>
      <w:shd w:val="clear" w:color="000000" w:fill="A6A6A6"/>
      <w:spacing w:before="100" w:beforeAutospacing="1" w:after="100" w:afterAutospacing="1"/>
      <w:jc w:val="right"/>
      <w:textAlignment w:val="top"/>
    </w:pPr>
    <w:rPr>
      <w:rFonts w:eastAsia="Times New Roman"/>
      <w:i/>
      <w:iCs/>
      <w:color w:val="000000"/>
      <w:sz w:val="18"/>
      <w:szCs w:val="18"/>
      <w:lang w:eastAsia="en-GB"/>
    </w:rPr>
  </w:style>
  <w:style w:type="paragraph" w:customStyle="1" w:styleId="xl315">
    <w:name w:val="xl315"/>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i/>
      <w:iCs/>
      <w:color w:val="000000"/>
      <w:sz w:val="18"/>
      <w:szCs w:val="18"/>
      <w:lang w:eastAsia="en-GB"/>
    </w:rPr>
  </w:style>
  <w:style w:type="paragraph" w:customStyle="1" w:styleId="xl316">
    <w:name w:val="xl316"/>
    <w:basedOn w:val="Normal"/>
    <w:uiPriority w:val="99"/>
    <w:pPr>
      <w:pBdr>
        <w:left w:val="single" w:sz="8" w:space="0" w:color="000000"/>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7">
    <w:name w:val="xl317"/>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8">
    <w:name w:val="xl318"/>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9">
    <w:name w:val="xl319"/>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0">
    <w:name w:val="xl320"/>
    <w:basedOn w:val="Normal"/>
    <w:uiPriority w:val="99"/>
    <w:pP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21">
    <w:name w:val="xl321"/>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2">
    <w:name w:val="xl32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323">
    <w:name w:val="xl32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324">
    <w:name w:val="xl324"/>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font6">
    <w:name w:val="font6"/>
    <w:basedOn w:val="Normal"/>
    <w:uiPriority w:val="99"/>
    <w:pPr>
      <w:spacing w:before="100" w:beforeAutospacing="1" w:after="100" w:afterAutospacing="1"/>
      <w:jc w:val="left"/>
    </w:pPr>
    <w:rPr>
      <w:rFonts w:ascii="Tahoma" w:eastAsia="Times New Roman" w:hAnsi="Tahoma" w:cs="Tahoma"/>
      <w:b/>
      <w:bCs/>
      <w:color w:val="000000"/>
      <w:sz w:val="16"/>
      <w:szCs w:val="16"/>
      <w:lang w:eastAsia="en-GB"/>
    </w:rPr>
  </w:style>
  <w:style w:type="paragraph" w:customStyle="1" w:styleId="font7">
    <w:name w:val="font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8">
    <w:name w:val="font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9">
    <w:name w:val="font9"/>
    <w:basedOn w:val="Normal"/>
    <w:uiPriority w:val="99"/>
    <w:pPr>
      <w:spacing w:before="100" w:beforeAutospacing="1" w:after="100" w:afterAutospacing="1"/>
      <w:jc w:val="left"/>
    </w:pPr>
    <w:rPr>
      <w:rFonts w:eastAsia="Times New Roman"/>
      <w:sz w:val="18"/>
      <w:szCs w:val="18"/>
      <w:lang w:eastAsia="en-GB"/>
    </w:rPr>
  </w:style>
  <w:style w:type="paragraph" w:customStyle="1" w:styleId="xl26182">
    <w:name w:val="xl26182"/>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3">
    <w:name w:val="xl26183"/>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184">
    <w:name w:val="xl2618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185">
    <w:name w:val="xl26185"/>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186">
    <w:name w:val="xl26186"/>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7">
    <w:name w:val="xl26187"/>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188">
    <w:name w:val="xl26188"/>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189">
    <w:name w:val="xl26189"/>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0">
    <w:name w:val="xl26190"/>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26191">
    <w:name w:val="xl26191"/>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2">
    <w:name w:val="xl26192"/>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6193">
    <w:name w:val="xl26193"/>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26194">
    <w:name w:val="xl2619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195">
    <w:name w:val="xl26195"/>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96">
    <w:name w:val="xl2619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197">
    <w:name w:val="xl26197"/>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198">
    <w:name w:val="xl26198"/>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199">
    <w:name w:val="xl2619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00">
    <w:name w:val="xl26200"/>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26201">
    <w:name w:val="xl26201"/>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2">
    <w:name w:val="xl2620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03">
    <w:name w:val="xl26203"/>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4">
    <w:name w:val="xl2620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05">
    <w:name w:val="xl2620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206">
    <w:name w:val="xl26206"/>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7">
    <w:name w:val="xl26207"/>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8">
    <w:name w:val="xl26208"/>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09">
    <w:name w:val="xl26209"/>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26210">
    <w:name w:val="xl26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11">
    <w:name w:val="xl26211"/>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12">
    <w:name w:val="xl26212"/>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3">
    <w:name w:val="xl26213"/>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14">
    <w:name w:val="xl26214"/>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15">
    <w:name w:val="xl26215"/>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16">
    <w:name w:val="xl26216"/>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7">
    <w:name w:val="xl26217"/>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8">
    <w:name w:val="xl26218"/>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9">
    <w:name w:val="xl26219"/>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26220">
    <w:name w:val="xl26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1">
    <w:name w:val="xl26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222">
    <w:name w:val="xl26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26223">
    <w:name w:val="xl26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4">
    <w:name w:val="xl2622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26225">
    <w:name w:val="xl26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26226">
    <w:name w:val="xl2622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27">
    <w:name w:val="xl2622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28">
    <w:name w:val="xl2622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29">
    <w:name w:val="xl2622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30">
    <w:name w:val="xl2623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1">
    <w:name w:val="xl2623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32">
    <w:name w:val="xl2623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33">
    <w:name w:val="xl2623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234">
    <w:name w:val="xl2623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35">
    <w:name w:val="xl2623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36">
    <w:name w:val="xl2623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7">
    <w:name w:val="xl2623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38">
    <w:name w:val="xl2623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39">
    <w:name w:val="xl2623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0">
    <w:name w:val="xl2624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1">
    <w:name w:val="xl2624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42">
    <w:name w:val="xl2624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3">
    <w:name w:val="xl2624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44">
    <w:name w:val="xl2624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45">
    <w:name w:val="xl2624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26246">
    <w:name w:val="xl2624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47">
    <w:name w:val="xl2624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48">
    <w:name w:val="xl2624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9">
    <w:name w:val="xl2624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0">
    <w:name w:val="xl2625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1">
    <w:name w:val="xl26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252">
    <w:name w:val="xl2625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3">
    <w:name w:val="xl2625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54">
    <w:name w:val="xl2625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55">
    <w:name w:val="xl2625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6">
    <w:name w:val="xl2625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7">
    <w:name w:val="xl2625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58">
    <w:name w:val="xl2625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59">
    <w:name w:val="xl2625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0">
    <w:name w:val="xl2626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1">
    <w:name w:val="xl2626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2">
    <w:name w:val="xl2626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3">
    <w:name w:val="xl2626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4">
    <w:name w:val="xl2626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5">
    <w:name w:val="xl26265"/>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66">
    <w:name w:val="xl2626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67">
    <w:name w:val="xl26267"/>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68">
    <w:name w:val="xl26268"/>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9">
    <w:name w:val="xl26269"/>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6270">
    <w:name w:val="xl26270"/>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271">
    <w:name w:val="xl26271"/>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2">
    <w:name w:val="xl26272"/>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73">
    <w:name w:val="xl26273"/>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4">
    <w:name w:val="xl26274"/>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6275">
    <w:name w:val="xl26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76">
    <w:name w:val="xl26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6277">
    <w:name w:val="xl26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8">
    <w:name w:val="xl2627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9">
    <w:name w:val="xl262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0">
    <w:name w:val="xl26280"/>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1">
    <w:name w:val="xl2628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282">
    <w:name w:val="xl262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83">
    <w:name w:val="xl262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4">
    <w:name w:val="xl262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5">
    <w:name w:val="xl2628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6">
    <w:name w:val="xl262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7">
    <w:name w:val="xl26287"/>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8">
    <w:name w:val="xl26288"/>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6289">
    <w:name w:val="xl26289"/>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0">
    <w:name w:val="xl26290"/>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1">
    <w:name w:val="xl26291"/>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92">
    <w:name w:val="xl26292"/>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6293">
    <w:name w:val="xl26293"/>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4">
    <w:name w:val="xl26294"/>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5">
    <w:name w:val="xl2629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96">
    <w:name w:val="xl26296"/>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6297">
    <w:name w:val="xl26297"/>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98">
    <w:name w:val="xl26298"/>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99">
    <w:name w:val="xl26299"/>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0">
    <w:name w:val="xl26300"/>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1">
    <w:name w:val="xl26301"/>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02">
    <w:name w:val="xl26302"/>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3">
    <w:name w:val="xl26303"/>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4">
    <w:name w:val="xl26304"/>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5">
    <w:name w:val="xl2630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06">
    <w:name w:val="xl2630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07">
    <w:name w:val="xl26307"/>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8">
    <w:name w:val="xl2630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9">
    <w:name w:val="xl2630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10">
    <w:name w:val="xl26310"/>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6311">
    <w:name w:val="xl26311"/>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312">
    <w:name w:val="xl2631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3">
    <w:name w:val="xl2631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4">
    <w:name w:val="xl2631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6315">
    <w:name w:val="xl26315"/>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6">
    <w:name w:val="xl26316"/>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17">
    <w:name w:val="xl2631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8">
    <w:name w:val="xl2631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19">
    <w:name w:val="xl26319"/>
    <w:basedOn w:val="Normal"/>
    <w:uiPriority w:val="99"/>
    <w:pPr>
      <w:spacing w:before="100" w:beforeAutospacing="1" w:after="100" w:afterAutospacing="1"/>
      <w:jc w:val="left"/>
    </w:pPr>
    <w:rPr>
      <w:rFonts w:eastAsia="Times New Roman"/>
      <w:sz w:val="18"/>
      <w:szCs w:val="18"/>
      <w:lang w:eastAsia="en-GB"/>
    </w:rPr>
  </w:style>
  <w:style w:type="paragraph" w:customStyle="1" w:styleId="xl26320">
    <w:name w:val="xl2632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321">
    <w:name w:val="xl26321"/>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322">
    <w:name w:val="xl26322"/>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3">
    <w:name w:val="xl26323"/>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4">
    <w:name w:val="xl26324"/>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325">
    <w:name w:val="xl26325"/>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6">
    <w:name w:val="xl26326"/>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7">
    <w:name w:val="xl26327"/>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8">
    <w:name w:val="xl26328"/>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6329">
    <w:name w:val="xl26329"/>
    <w:basedOn w:val="Normal"/>
    <w:uiPriority w:val="99"/>
    <w:pPr>
      <w:spacing w:before="100" w:beforeAutospacing="1" w:after="100" w:afterAutospacing="1"/>
      <w:jc w:val="right"/>
    </w:pPr>
    <w:rPr>
      <w:rFonts w:eastAsia="Times New Roman"/>
      <w:sz w:val="18"/>
      <w:szCs w:val="18"/>
      <w:lang w:eastAsia="en-GB"/>
    </w:rPr>
  </w:style>
  <w:style w:type="paragraph" w:customStyle="1" w:styleId="xl26330">
    <w:name w:val="xl263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6331">
    <w:name w:val="xl2633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6332">
    <w:name w:val="xl2633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33">
    <w:name w:val="xl2633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34">
    <w:name w:val="xl26334"/>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35">
    <w:name w:val="xl26335"/>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6336">
    <w:name w:val="xl26336"/>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37">
    <w:name w:val="xl26337"/>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8">
    <w:name w:val="xl26338"/>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9">
    <w:name w:val="xl26339"/>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40">
    <w:name w:val="xl26340"/>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41">
    <w:name w:val="xl26341"/>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42">
    <w:name w:val="xl26342"/>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43">
    <w:name w:val="xl26343"/>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4">
    <w:name w:val="xl26344"/>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5">
    <w:name w:val="xl26345"/>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6346">
    <w:name w:val="xl26346"/>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47">
    <w:name w:val="xl26347"/>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348">
    <w:name w:val="xl2634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49">
    <w:name w:val="xl26349"/>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0">
    <w:name w:val="xl2635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1">
    <w:name w:val="xl26351"/>
    <w:basedOn w:val="Normal"/>
    <w:uiPriority w:val="99"/>
    <w:pPr>
      <w:pBdr>
        <w:bottom w:val="single" w:sz="8" w:space="0" w:color="auto"/>
      </w:pBdr>
      <w:spacing w:before="100" w:beforeAutospacing="1" w:after="100" w:afterAutospacing="1"/>
      <w:jc w:val="left"/>
      <w:textAlignment w:val="top"/>
    </w:pPr>
    <w:rPr>
      <w:rFonts w:eastAsia="Times New Roman"/>
      <w:color w:val="000000"/>
      <w:sz w:val="16"/>
      <w:szCs w:val="16"/>
      <w:lang w:eastAsia="en-GB"/>
    </w:rPr>
  </w:style>
  <w:style w:type="paragraph" w:customStyle="1" w:styleId="xl26352">
    <w:name w:val="xl26352"/>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3">
    <w:name w:val="xl2635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4">
    <w:name w:val="xl26354"/>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26355">
    <w:name w:val="xl26355"/>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6">
    <w:name w:val="xl26356"/>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26357">
    <w:name w:val="xl26357"/>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58">
    <w:name w:val="xl26358"/>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9">
    <w:name w:val="xl26359"/>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0">
    <w:name w:val="xl26360"/>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1">
    <w:name w:val="xl2636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362">
    <w:name w:val="xl26362"/>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63">
    <w:name w:val="xl26363"/>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64">
    <w:name w:val="xl2636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65">
    <w:name w:val="xl2636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6">
    <w:name w:val="xl2636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7">
    <w:name w:val="xl26367"/>
    <w:basedOn w:val="Normal"/>
    <w:uiPriority w:val="99"/>
    <w:pPr>
      <w:pBdr>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68">
    <w:name w:val="xl26368"/>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9">
    <w:name w:val="xl26369"/>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0">
    <w:name w:val="xl26370"/>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71">
    <w:name w:val="xl26371"/>
    <w:basedOn w:val="Normal"/>
    <w:uiPriority w:val="99"/>
    <w:pPr>
      <w:pBdr>
        <w:top w:val="single" w:sz="8" w:space="0" w:color="auto"/>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72">
    <w:name w:val="xl26372"/>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3">
    <w:name w:val="xl26373"/>
    <w:basedOn w:val="Normal"/>
    <w:uiPriority w:val="99"/>
    <w:pPr>
      <w:pBdr>
        <w:top w:val="single" w:sz="8" w:space="0" w:color="auto"/>
        <w:right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74">
    <w:name w:val="xl26374"/>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75">
    <w:name w:val="xl263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sz w:val="14"/>
      <w:szCs w:val="14"/>
      <w:lang w:eastAsia="en-GB"/>
    </w:rPr>
  </w:style>
  <w:style w:type="paragraph" w:customStyle="1" w:styleId="xl26376">
    <w:name w:val="xl263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7">
    <w:name w:val="xl263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8">
    <w:name w:val="xl26378"/>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379">
    <w:name w:val="xl263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380">
    <w:name w:val="xl26380"/>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1">
    <w:name w:val="xl26381"/>
    <w:basedOn w:val="Normal"/>
    <w:uiPriority w:val="99"/>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82">
    <w:name w:val="xl26382"/>
    <w:basedOn w:val="Normal"/>
    <w:uiPriority w:val="99"/>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3">
    <w:name w:val="xl26383"/>
    <w:basedOn w:val="Normal"/>
    <w:uiPriority w:val="99"/>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4">
    <w:name w:val="xl26384"/>
    <w:basedOn w:val="Normal"/>
    <w:uiPriority w:val="99"/>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26385">
    <w:name w:val="xl26385"/>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6">
    <w:name w:val="xl26386"/>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87">
    <w:name w:val="xl26387"/>
    <w:basedOn w:val="Normal"/>
    <w:uiPriority w:val="99"/>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88">
    <w:name w:val="xl26388"/>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9">
    <w:name w:val="xl2638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0">
    <w:name w:val="xl26390"/>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1">
    <w:name w:val="xl26391"/>
    <w:basedOn w:val="Normal"/>
    <w:uiPriority w:val="99"/>
    <w:pPr>
      <w:pBdr>
        <w:bottom w:val="single" w:sz="4" w:space="0" w:color="auto"/>
      </w:pBdr>
      <w:spacing w:before="100" w:beforeAutospacing="1" w:after="100" w:afterAutospacing="1"/>
      <w:jc w:val="left"/>
      <w:textAlignment w:val="top"/>
    </w:pPr>
    <w:rPr>
      <w:rFonts w:eastAsia="Times New Roman"/>
      <w:sz w:val="18"/>
      <w:szCs w:val="18"/>
      <w:lang w:eastAsia="en-GB"/>
    </w:rPr>
  </w:style>
  <w:style w:type="character" w:customStyle="1" w:styleId="Heading5Char">
    <w:name w:val="Heading 5 Char"/>
    <w:basedOn w:val="DefaultParagraphFont"/>
    <w:link w:val="Heading5"/>
    <w:rPr>
      <w:rFonts w:ascii="Arial" w:eastAsia="Times New Roman" w:hAnsi="Arial" w:cs="Times New Roman"/>
      <w:szCs w:val="20"/>
      <w:lang w:val="fr-FR" w:eastAsia="fr-BE"/>
    </w:rPr>
  </w:style>
  <w:style w:type="character" w:customStyle="1" w:styleId="Heading6Char">
    <w:name w:val="Heading 6 Char"/>
    <w:basedOn w:val="DefaultParagraphFont"/>
    <w:link w:val="Heading6"/>
    <w:rPr>
      <w:rFonts w:ascii="Arial" w:eastAsia="Times New Roman" w:hAnsi="Arial" w:cs="Times New Roman"/>
      <w:i/>
      <w:szCs w:val="20"/>
      <w:lang w:val="fr-FR"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fr-FR"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fr-FR"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fr-FR" w:eastAsia="fr-BE"/>
    </w:rPr>
  </w:style>
  <w:style w:type="character" w:customStyle="1" w:styleId="NotDeclassifiedCharacter">
    <w:name w:val="Not Declassified Character"/>
    <w:basedOn w:val="DefaultParagraphFont"/>
    <w:rPr>
      <w:rFonts w:ascii="Times New Roman" w:hAnsi="Times New Roman" w:cs="Times New Roman"/>
      <w:b/>
      <w:sz w:val="24"/>
      <w:bdr w:val="single" w:sz="4" w:space="0" w:color="000000"/>
      <w:shd w:val="clear" w:color="auto" w:fill="CCCCCC"/>
    </w:rPr>
  </w:style>
  <w:style w:type="character" w:customStyle="1" w:styleId="ApplicationdirecteChar">
    <w:name w:val="Application directe Char"/>
    <w:rPr>
      <w:rFonts w:ascii="Times New Roman" w:hAnsi="Times New Roman" w:cs="Times New Roman"/>
      <w:sz w:val="24"/>
      <w:lang w:val="fr-FR"/>
    </w:rPr>
  </w:style>
  <w:style w:type="paragraph" w:customStyle="1" w:styleId="pj">
    <w:name w:val="p.j."/>
    <w:basedOn w:val="Normal"/>
    <w:link w:val="pjChar"/>
    <w:pPr>
      <w:spacing w:before="1200"/>
      <w:ind w:left="1440" w:hanging="1440"/>
      <w:jc w:val="left"/>
    </w:pPr>
    <w:rPr>
      <w:rFonts w:eastAsia="Calibri"/>
      <w:lang w:eastAsia="en-GB"/>
    </w:rPr>
  </w:style>
  <w:style w:type="character" w:customStyle="1" w:styleId="pjChar">
    <w:name w:val="p.j. Char"/>
    <w:link w:val="pj"/>
    <w:rPr>
      <w:rFonts w:ascii="Times New Roman" w:eastAsia="Calibri" w:hAnsi="Times New Roman" w:cs="Times New Roman"/>
      <w:sz w:val="24"/>
      <w:lang w:val="fr-FR" w:eastAsia="en-GB"/>
    </w:rPr>
  </w:style>
  <w:style w:type="paragraph" w:customStyle="1" w:styleId="ListNumber2Level2">
    <w:name w:val="List Number 2 (Level 2)"/>
    <w:basedOn w:val="Text2"/>
    <w:uiPriority w:val="99"/>
    <w:pPr>
      <w:tabs>
        <w:tab w:val="num" w:pos="2619"/>
      </w:tabs>
      <w:spacing w:before="0" w:after="240"/>
      <w:ind w:left="2619" w:hanging="708"/>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4"/>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26"/>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5"/>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fr-FR"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2"/>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3"/>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fr-FR"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fr-FR"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fr-FR"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fr-FR"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2"/>
      </w:numPr>
      <w:spacing w:before="0" w:after="24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fr-FR"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fr-FR" w:eastAsia="fr-BE"/>
    </w:rPr>
  </w:style>
  <w:style w:type="paragraph" w:customStyle="1" w:styleId="ListDash1">
    <w:name w:val="List Dash 1"/>
    <w:basedOn w:val="Text1"/>
    <w:uiPriority w:val="99"/>
    <w:pPr>
      <w:numPr>
        <w:numId w:val="33"/>
      </w:numPr>
      <w:spacing w:before="0" w:after="24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rPr>
  </w:style>
  <w:style w:type="character" w:customStyle="1" w:styleId="TitrearticleChar">
    <w:name w:val="Titre article Char"/>
    <w:rPr>
      <w:rFonts w:ascii="Times New Roman" w:hAnsi="Times New Roman" w:cs="Times New Roman"/>
      <w:i/>
      <w:sz w:val="24"/>
      <w:lang w:val="fr-FR"/>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4"/>
      </w:numPr>
      <w:spacing w:before="0" w:after="240"/>
    </w:pPr>
    <w:rPr>
      <w:rFonts w:eastAsia="Times New Roman"/>
      <w:szCs w:val="20"/>
    </w:rPr>
  </w:style>
  <w:style w:type="paragraph" w:customStyle="1" w:styleId="ListNumber1Level2">
    <w:name w:val="List Number 1 (Level 2)"/>
    <w:basedOn w:val="Text1"/>
    <w:uiPriority w:val="99"/>
    <w:pPr>
      <w:numPr>
        <w:ilvl w:val="1"/>
        <w:numId w:val="34"/>
      </w:numPr>
      <w:spacing w:before="0" w:after="240"/>
    </w:pPr>
    <w:rPr>
      <w:rFonts w:eastAsia="Times New Roman"/>
      <w:szCs w:val="20"/>
    </w:rPr>
  </w:style>
  <w:style w:type="paragraph" w:customStyle="1" w:styleId="ListNumber1Level3">
    <w:name w:val="List Number 1 (Level 3)"/>
    <w:basedOn w:val="Text1"/>
    <w:uiPriority w:val="99"/>
    <w:pPr>
      <w:numPr>
        <w:ilvl w:val="2"/>
        <w:numId w:val="34"/>
      </w:numPr>
      <w:spacing w:before="0" w:after="240"/>
    </w:pPr>
    <w:rPr>
      <w:rFonts w:eastAsia="Times New Roman"/>
      <w:szCs w:val="20"/>
    </w:rPr>
  </w:style>
  <w:style w:type="paragraph" w:customStyle="1" w:styleId="ListNumber1Level4">
    <w:name w:val="List Number 1 (Level 4)"/>
    <w:basedOn w:val="Text1"/>
    <w:uiPriority w:val="99"/>
    <w:pPr>
      <w:numPr>
        <w:ilvl w:val="3"/>
        <w:numId w:val="34"/>
      </w:numPr>
      <w:spacing w:before="0" w:after="240"/>
    </w:pPr>
    <w:rPr>
      <w:rFonts w:eastAsia="Times New Roman"/>
      <w:szCs w:val="20"/>
    </w:rPr>
  </w:style>
  <w:style w:type="numbering" w:customStyle="1" w:styleId="NoList11">
    <w:name w:val="No List11"/>
    <w:next w:val="NoList"/>
    <w:uiPriority w:val="99"/>
    <w:semiHidden/>
    <w:unhideWhenUsed/>
  </w:style>
  <w:style w:type="numbering" w:customStyle="1" w:styleId="NoList2">
    <w:name w:val="No List2"/>
    <w:next w:val="NoList"/>
    <w:uiPriority w:val="99"/>
    <w:semiHidden/>
    <w:unhideWhenUsed/>
  </w:style>
  <w:style w:type="numbering" w:customStyle="1" w:styleId="NoList111">
    <w:name w:val="No List111"/>
    <w:next w:val="NoList"/>
    <w:uiPriority w:val="99"/>
    <w:semiHidden/>
    <w:unhideWhenUsed/>
  </w:style>
  <w:style w:type="paragraph" w:customStyle="1" w:styleId="xl444">
    <w:name w:val="xl444"/>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5">
    <w:name w:val="xl445"/>
    <w:basedOn w:val="Normal"/>
    <w:uiPriority w:val="99"/>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46">
    <w:name w:val="xl44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47">
    <w:name w:val="xl44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448">
    <w:name w:val="xl448"/>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9">
    <w:name w:val="xl449"/>
    <w:basedOn w:val="Normal"/>
    <w:uiPriority w:val="99"/>
    <w:pPr>
      <w:pBdr>
        <w:bottom w:val="single" w:sz="8" w:space="0" w:color="000000"/>
      </w:pBdr>
      <w:spacing w:before="100" w:beforeAutospacing="1" w:after="100" w:afterAutospacing="1"/>
      <w:jc w:val="right"/>
    </w:pPr>
    <w:rPr>
      <w:rFonts w:eastAsia="Times New Roman"/>
      <w:i/>
      <w:iCs/>
      <w:color w:val="000000"/>
      <w:sz w:val="18"/>
      <w:szCs w:val="18"/>
      <w:lang w:eastAsia="en-GB"/>
    </w:rPr>
  </w:style>
  <w:style w:type="paragraph" w:customStyle="1" w:styleId="xl450">
    <w:name w:val="xl450"/>
    <w:basedOn w:val="Normal"/>
    <w:uiPriority w:val="99"/>
    <w:pPr>
      <w:pBdr>
        <w:bottom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451">
    <w:name w:val="xl451"/>
    <w:basedOn w:val="Normal"/>
    <w:uiPriority w:val="99"/>
    <w:pPr>
      <w:pBdr>
        <w:top w:val="single" w:sz="8" w:space="0" w:color="000000"/>
      </w:pBdr>
      <w:spacing w:before="100" w:beforeAutospacing="1" w:after="100" w:afterAutospacing="1"/>
      <w:jc w:val="left"/>
    </w:pPr>
    <w:rPr>
      <w:rFonts w:eastAsia="Times New Roman"/>
      <w:sz w:val="18"/>
      <w:szCs w:val="18"/>
      <w:lang w:eastAsia="en-GB"/>
    </w:rPr>
  </w:style>
  <w:style w:type="paragraph" w:customStyle="1" w:styleId="xl452">
    <w:name w:val="xl452"/>
    <w:basedOn w:val="Normal"/>
    <w:uiPriority w:val="99"/>
    <w:pPr>
      <w:pBdr>
        <w:top w:val="single" w:sz="8" w:space="0" w:color="000000"/>
      </w:pBdr>
      <w:spacing w:before="100" w:beforeAutospacing="1" w:after="100" w:afterAutospacing="1"/>
      <w:jc w:val="right"/>
    </w:pPr>
    <w:rPr>
      <w:rFonts w:eastAsia="Times New Roman"/>
      <w:sz w:val="18"/>
      <w:szCs w:val="18"/>
      <w:lang w:eastAsia="en-GB"/>
    </w:rPr>
  </w:style>
  <w:style w:type="paragraph" w:customStyle="1" w:styleId="xl453">
    <w:name w:val="xl453"/>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454">
    <w:name w:val="xl454"/>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455">
    <w:name w:val="xl455"/>
    <w:basedOn w:val="Normal"/>
    <w:uiPriority w:val="99"/>
    <w:pPr>
      <w:pBdr>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456">
    <w:name w:val="xl456"/>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457">
    <w:name w:val="xl457"/>
    <w:basedOn w:val="Normal"/>
    <w:uiPriority w:val="99"/>
    <w:pPr>
      <w:pBdr>
        <w:bottom w:val="single" w:sz="8" w:space="0" w:color="auto"/>
        <w:righ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58">
    <w:name w:val="xl458"/>
    <w:basedOn w:val="Normal"/>
    <w:uiPriority w:val="99"/>
    <w:pPr>
      <w:spacing w:before="100" w:beforeAutospacing="1" w:after="100" w:afterAutospacing="1"/>
      <w:jc w:val="right"/>
    </w:pPr>
    <w:rPr>
      <w:rFonts w:eastAsia="Times New Roman"/>
      <w:sz w:val="18"/>
      <w:szCs w:val="18"/>
      <w:lang w:eastAsia="en-GB"/>
    </w:rPr>
  </w:style>
  <w:style w:type="paragraph" w:customStyle="1" w:styleId="xl459">
    <w:name w:val="xl459"/>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60">
    <w:name w:val="xl460"/>
    <w:basedOn w:val="Normal"/>
    <w:uiPriority w:val="99"/>
    <w:pPr>
      <w:spacing w:before="100" w:beforeAutospacing="1" w:after="100" w:afterAutospacing="1"/>
      <w:jc w:val="left"/>
    </w:pPr>
    <w:rPr>
      <w:rFonts w:eastAsia="Times New Roman"/>
      <w:sz w:val="18"/>
      <w:szCs w:val="18"/>
      <w:lang w:eastAsia="en-GB"/>
    </w:rPr>
  </w:style>
  <w:style w:type="paragraph" w:customStyle="1" w:styleId="xl461">
    <w:name w:val="xl461"/>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462">
    <w:name w:val="xl462"/>
    <w:basedOn w:val="Normal"/>
    <w:uiPriority w:val="99"/>
    <w:pPr>
      <w:spacing w:before="100" w:beforeAutospacing="1" w:after="100" w:afterAutospacing="1"/>
      <w:jc w:val="right"/>
    </w:pPr>
    <w:rPr>
      <w:rFonts w:ascii="Calibri" w:eastAsia="Times New Roman" w:hAnsi="Calibri"/>
      <w:sz w:val="18"/>
      <w:szCs w:val="18"/>
      <w:lang w:eastAsia="en-GB"/>
    </w:rPr>
  </w:style>
  <w:style w:type="paragraph" w:customStyle="1" w:styleId="xl463">
    <w:name w:val="xl463"/>
    <w:basedOn w:val="Normal"/>
    <w:uiPriority w:val="99"/>
    <w:pPr>
      <w:pBdr>
        <w:top w:val="single" w:sz="8" w:space="0" w:color="000000"/>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4">
    <w:name w:val="xl464"/>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65">
    <w:name w:val="xl465"/>
    <w:basedOn w:val="Normal"/>
    <w:uiPriority w:val="99"/>
    <w:pPr>
      <w:pBdr>
        <w:left w:val="single" w:sz="8" w:space="0" w:color="000000"/>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6">
    <w:name w:val="xl46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67">
    <w:name w:val="xl467"/>
    <w:basedOn w:val="Normal"/>
    <w:uiPriority w:val="99"/>
    <w:pPr>
      <w:spacing w:before="100" w:beforeAutospacing="1" w:after="100" w:afterAutospacing="1"/>
      <w:jc w:val="left"/>
    </w:pPr>
    <w:rPr>
      <w:rFonts w:eastAsia="Times New Roman"/>
      <w:sz w:val="18"/>
      <w:szCs w:val="18"/>
      <w:lang w:eastAsia="en-GB"/>
    </w:rPr>
  </w:style>
  <w:style w:type="paragraph" w:customStyle="1" w:styleId="xl468">
    <w:name w:val="xl468"/>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69">
    <w:name w:val="xl469"/>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70">
    <w:name w:val="xl470"/>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71">
    <w:name w:val="xl471"/>
    <w:basedOn w:val="Normal"/>
    <w:uiPriority w:val="99"/>
    <w:pPr>
      <w:spacing w:before="100" w:beforeAutospacing="1" w:after="100" w:afterAutospacing="1"/>
      <w:jc w:val="right"/>
    </w:pPr>
    <w:rPr>
      <w:rFonts w:ascii="Calibri" w:eastAsia="Times New Roman" w:hAnsi="Calibri"/>
      <w:color w:val="000000"/>
      <w:sz w:val="16"/>
      <w:szCs w:val="16"/>
      <w:lang w:eastAsia="en-GB"/>
    </w:rPr>
  </w:style>
  <w:style w:type="paragraph" w:customStyle="1" w:styleId="xl472">
    <w:name w:val="xl47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73">
    <w:name w:val="xl473"/>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74">
    <w:name w:val="xl474"/>
    <w:basedOn w:val="Normal"/>
    <w:uiPriority w:val="99"/>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475">
    <w:name w:val="xl475"/>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76">
    <w:name w:val="xl476"/>
    <w:basedOn w:val="Normal"/>
    <w:uiPriority w:val="99"/>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477">
    <w:name w:val="xl477"/>
    <w:basedOn w:val="Normal"/>
    <w:uiPriority w:val="99"/>
    <w:pPr>
      <w:pBdr>
        <w:top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478">
    <w:name w:val="xl478"/>
    <w:basedOn w:val="Normal"/>
    <w:uiPriority w:val="99"/>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79">
    <w:name w:val="xl479"/>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0">
    <w:name w:val="xl480"/>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1">
    <w:name w:val="xl481"/>
    <w:basedOn w:val="Normal"/>
    <w:uiPriority w:val="99"/>
    <w:pPr>
      <w:spacing w:before="100" w:beforeAutospacing="1" w:after="100" w:afterAutospacing="1"/>
      <w:jc w:val="left"/>
    </w:pPr>
    <w:rPr>
      <w:rFonts w:eastAsia="Times New Roman"/>
      <w:b/>
      <w:bCs/>
      <w:sz w:val="18"/>
      <w:szCs w:val="18"/>
      <w:lang w:eastAsia="en-GB"/>
    </w:rPr>
  </w:style>
  <w:style w:type="paragraph" w:customStyle="1" w:styleId="xl482">
    <w:name w:val="xl4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83">
    <w:name w:val="xl4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4"/>
      <w:szCs w:val="14"/>
      <w:lang w:eastAsia="en-GB"/>
    </w:rPr>
  </w:style>
  <w:style w:type="paragraph" w:customStyle="1" w:styleId="xl484">
    <w:name w:val="xl4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5">
    <w:name w:val="xl48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6">
    <w:name w:val="xl4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7">
    <w:name w:val="xl48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14"/>
      <w:szCs w:val="14"/>
      <w:lang w:eastAsia="en-GB"/>
    </w:rPr>
  </w:style>
  <w:style w:type="paragraph" w:customStyle="1" w:styleId="xl488">
    <w:name w:val="xl48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9">
    <w:name w:val="xl48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90">
    <w:name w:val="xl49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4"/>
      <w:szCs w:val="14"/>
      <w:lang w:eastAsia="en-GB"/>
    </w:rPr>
  </w:style>
  <w:style w:type="paragraph" w:customStyle="1" w:styleId="xl491">
    <w:name w:val="xl49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4"/>
      <w:szCs w:val="14"/>
      <w:lang w:eastAsia="en-GB"/>
    </w:rPr>
  </w:style>
  <w:style w:type="paragraph" w:customStyle="1" w:styleId="xl492">
    <w:name w:val="xl492"/>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3">
    <w:name w:val="xl493"/>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494">
    <w:name w:val="xl494"/>
    <w:basedOn w:val="Normal"/>
    <w:uiPriority w:val="99"/>
    <w:pPr>
      <w:pBdr>
        <w:top w:val="single" w:sz="8" w:space="0" w:color="000000"/>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95">
    <w:name w:val="xl495"/>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6">
    <w:name w:val="xl49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497">
    <w:name w:val="xl497"/>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498">
    <w:name w:val="xl498"/>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99">
    <w:name w:val="xl499"/>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500">
    <w:name w:val="xl500"/>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01">
    <w:name w:val="xl501"/>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02">
    <w:name w:val="xl502"/>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03">
    <w:name w:val="xl503"/>
    <w:basedOn w:val="Normal"/>
    <w:uiPriority w:val="99"/>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04">
    <w:name w:val="xl504"/>
    <w:basedOn w:val="Normal"/>
    <w:uiPriority w:val="99"/>
    <w:pPr>
      <w:pBdr>
        <w:bottom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05">
    <w:name w:val="xl505"/>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06">
    <w:name w:val="xl506"/>
    <w:basedOn w:val="Normal"/>
    <w:uiPriority w:val="99"/>
    <w:pPr>
      <w:spacing w:before="100" w:beforeAutospacing="1" w:after="100" w:afterAutospacing="1"/>
      <w:jc w:val="right"/>
    </w:pPr>
    <w:rPr>
      <w:rFonts w:eastAsia="Times New Roman"/>
      <w:i/>
      <w:iCs/>
      <w:color w:val="000000"/>
      <w:sz w:val="18"/>
      <w:szCs w:val="18"/>
      <w:lang w:eastAsia="en-GB"/>
    </w:rPr>
  </w:style>
  <w:style w:type="paragraph" w:customStyle="1" w:styleId="xl507">
    <w:name w:val="xl507"/>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08">
    <w:name w:val="xl508"/>
    <w:basedOn w:val="Normal"/>
    <w:uiPriority w:val="99"/>
    <w:pPr>
      <w:pBdr>
        <w:bottom w:val="single" w:sz="8" w:space="0" w:color="auto"/>
      </w:pBdr>
      <w:spacing w:before="100" w:beforeAutospacing="1" w:after="100" w:afterAutospacing="1"/>
      <w:jc w:val="right"/>
    </w:pPr>
    <w:rPr>
      <w:rFonts w:eastAsia="Times New Roman"/>
      <w:i/>
      <w:iCs/>
      <w:color w:val="000000"/>
      <w:sz w:val="18"/>
      <w:szCs w:val="18"/>
      <w:lang w:eastAsia="en-GB"/>
    </w:rPr>
  </w:style>
  <w:style w:type="paragraph" w:customStyle="1" w:styleId="xl509">
    <w:name w:val="xl50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0">
    <w:name w:val="xl510"/>
    <w:basedOn w:val="Normal"/>
    <w:uiPriority w:val="99"/>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1">
    <w:name w:val="xl511"/>
    <w:basedOn w:val="Normal"/>
    <w:uiPriority w:val="99"/>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2">
    <w:name w:val="xl512"/>
    <w:basedOn w:val="Normal"/>
    <w:uiPriority w:val="99"/>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3">
    <w:name w:val="xl513"/>
    <w:basedOn w:val="Normal"/>
    <w:uiPriority w:val="99"/>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4">
    <w:name w:val="xl514"/>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5">
    <w:name w:val="xl515"/>
    <w:basedOn w:val="Normal"/>
    <w:uiPriority w:val="99"/>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6">
    <w:name w:val="xl516"/>
    <w:basedOn w:val="Normal"/>
    <w:uiPriority w:val="99"/>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7">
    <w:name w:val="xl5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18">
    <w:name w:val="xl518"/>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
    <w:name w:val="xl519"/>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
    <w:name w:val="xl520"/>
    <w:basedOn w:val="Normal"/>
    <w:uiPriority w:val="99"/>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1">
    <w:name w:val="xl521"/>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2">
    <w:name w:val="xl52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3">
    <w:name w:val="xl523"/>
    <w:basedOn w:val="Normal"/>
    <w:uiPriority w:val="99"/>
    <w:pPr>
      <w:spacing w:before="100" w:beforeAutospacing="1" w:after="100" w:afterAutospacing="1"/>
      <w:jc w:val="right"/>
    </w:pPr>
    <w:rPr>
      <w:rFonts w:eastAsia="Times New Roman"/>
      <w:sz w:val="18"/>
      <w:szCs w:val="18"/>
      <w:lang w:eastAsia="en-GB"/>
    </w:rPr>
  </w:style>
  <w:style w:type="paragraph" w:customStyle="1" w:styleId="xl524">
    <w:name w:val="xl524"/>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5">
    <w:name w:val="xl52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26">
    <w:name w:val="xl526"/>
    <w:basedOn w:val="Normal"/>
    <w:uiPriority w:val="99"/>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7">
    <w:name w:val="xl52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28">
    <w:name w:val="xl528"/>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9">
    <w:name w:val="xl529"/>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30">
    <w:name w:val="xl530"/>
    <w:basedOn w:val="Normal"/>
    <w:uiPriority w:val="99"/>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31">
    <w:name w:val="xl531"/>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32">
    <w:name w:val="xl53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33">
    <w:name w:val="xl533"/>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34">
    <w:name w:val="xl53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35">
    <w:name w:val="xl535"/>
    <w:basedOn w:val="Normal"/>
    <w:uiPriority w:val="99"/>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36">
    <w:name w:val="xl536"/>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37">
    <w:name w:val="xl537"/>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38">
    <w:name w:val="xl538"/>
    <w:basedOn w:val="Normal"/>
    <w:uiPriority w:val="99"/>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39">
    <w:name w:val="xl539"/>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40">
    <w:name w:val="xl540"/>
    <w:basedOn w:val="Normal"/>
    <w:uiPriority w:val="99"/>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41">
    <w:name w:val="xl54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42">
    <w:name w:val="xl54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43">
    <w:name w:val="xl54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4">
    <w:name w:val="xl54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5">
    <w:name w:val="xl54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46">
    <w:name w:val="xl546"/>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47">
    <w:name w:val="xl54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48">
    <w:name w:val="xl54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49">
    <w:name w:val="xl5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0">
    <w:name w:val="xl5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1">
    <w:name w:val="xl551"/>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2">
    <w:name w:val="xl55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53">
    <w:name w:val="xl553"/>
    <w:basedOn w:val="Normal"/>
    <w:uiPriority w:val="99"/>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54">
    <w:name w:val="xl554"/>
    <w:basedOn w:val="Normal"/>
    <w:uiPriority w:val="99"/>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55">
    <w:name w:val="xl555"/>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6">
    <w:name w:val="xl556"/>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7">
    <w:name w:val="xl557"/>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8">
    <w:name w:val="xl558"/>
    <w:basedOn w:val="Normal"/>
    <w:uiPriority w:val="99"/>
    <w:pPr>
      <w:spacing w:before="100" w:beforeAutospacing="1" w:after="100" w:afterAutospacing="1"/>
      <w:jc w:val="left"/>
    </w:pPr>
    <w:rPr>
      <w:rFonts w:ascii="Calibri" w:eastAsia="Times New Roman" w:hAnsi="Calibri"/>
      <w:b/>
      <w:bCs/>
      <w:sz w:val="12"/>
      <w:szCs w:val="12"/>
      <w:lang w:eastAsia="en-GB"/>
    </w:rPr>
  </w:style>
  <w:style w:type="paragraph" w:customStyle="1" w:styleId="xl559">
    <w:name w:val="xl559"/>
    <w:basedOn w:val="Normal"/>
    <w:uiPriority w:val="99"/>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0">
    <w:name w:val="xl560"/>
    <w:basedOn w:val="Normal"/>
    <w:uiPriority w:val="99"/>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1">
    <w:name w:val="xl561"/>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2">
    <w:name w:val="xl562"/>
    <w:basedOn w:val="Normal"/>
    <w:uiPriority w:val="99"/>
    <w:pPr>
      <w:spacing w:before="100" w:beforeAutospacing="1" w:after="100" w:afterAutospacing="1"/>
      <w:jc w:val="center"/>
    </w:pPr>
    <w:rPr>
      <w:rFonts w:eastAsia="Times New Roman"/>
      <w:color w:val="000000"/>
      <w:sz w:val="12"/>
      <w:szCs w:val="12"/>
      <w:lang w:eastAsia="en-GB"/>
    </w:rPr>
  </w:style>
  <w:style w:type="paragraph" w:customStyle="1" w:styleId="xl563">
    <w:name w:val="xl563"/>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64">
    <w:name w:val="xl564"/>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5">
    <w:name w:val="xl565"/>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6">
    <w:name w:val="xl566"/>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7">
    <w:name w:val="xl567"/>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8">
    <w:name w:val="xl568"/>
    <w:basedOn w:val="Normal"/>
    <w:uiPriority w:val="99"/>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69">
    <w:name w:val="xl569"/>
    <w:basedOn w:val="Normal"/>
    <w:uiPriority w:val="99"/>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70">
    <w:name w:val="xl570"/>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71">
    <w:name w:val="xl57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72">
    <w:name w:val="xl57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73">
    <w:name w:val="xl573"/>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4">
    <w:name w:val="xl574"/>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5">
    <w:name w:val="xl575"/>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576">
    <w:name w:val="xl57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77">
    <w:name w:val="xl577"/>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78">
    <w:name w:val="xl578"/>
    <w:basedOn w:val="Normal"/>
    <w:uiPriority w:val="99"/>
    <w:pPr>
      <w:spacing w:before="100" w:beforeAutospacing="1" w:after="100" w:afterAutospacing="1"/>
      <w:jc w:val="right"/>
    </w:pPr>
    <w:rPr>
      <w:rFonts w:eastAsia="Times New Roman"/>
      <w:sz w:val="18"/>
      <w:szCs w:val="18"/>
      <w:lang w:eastAsia="en-GB"/>
    </w:rPr>
  </w:style>
  <w:style w:type="paragraph" w:customStyle="1" w:styleId="xl579">
    <w:name w:val="xl57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80">
    <w:name w:val="xl58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81">
    <w:name w:val="xl581"/>
    <w:basedOn w:val="Normal"/>
    <w:uiPriority w:val="99"/>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82">
    <w:name w:val="xl582"/>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83">
    <w:name w:val="xl583"/>
    <w:basedOn w:val="Normal"/>
    <w:uiPriority w:val="99"/>
    <w:pPr>
      <w:spacing w:before="100" w:beforeAutospacing="1" w:after="100" w:afterAutospacing="1"/>
      <w:jc w:val="right"/>
    </w:pPr>
    <w:rPr>
      <w:rFonts w:eastAsia="Times New Roman"/>
      <w:sz w:val="18"/>
      <w:szCs w:val="18"/>
      <w:lang w:eastAsia="en-GB"/>
    </w:rPr>
  </w:style>
  <w:style w:type="paragraph" w:customStyle="1" w:styleId="xl584">
    <w:name w:val="xl58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85">
    <w:name w:val="xl585"/>
    <w:basedOn w:val="Normal"/>
    <w:uiPriority w:val="99"/>
    <w:pPr>
      <w:spacing w:before="100" w:beforeAutospacing="1" w:after="100" w:afterAutospacing="1"/>
      <w:jc w:val="left"/>
    </w:pPr>
    <w:rPr>
      <w:rFonts w:eastAsia="Times New Roman"/>
      <w:sz w:val="18"/>
      <w:szCs w:val="18"/>
      <w:lang w:eastAsia="en-GB"/>
    </w:rPr>
  </w:style>
  <w:style w:type="paragraph" w:customStyle="1" w:styleId="xl586">
    <w:name w:val="xl58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87">
    <w:name w:val="xl587"/>
    <w:basedOn w:val="Normal"/>
    <w:uiPriority w:val="99"/>
    <w:pPr>
      <w:spacing w:before="100" w:beforeAutospacing="1" w:after="100" w:afterAutospacing="1"/>
      <w:jc w:val="left"/>
    </w:pPr>
    <w:rPr>
      <w:rFonts w:eastAsia="Times New Roman"/>
      <w:i/>
      <w:iCs/>
      <w:color w:val="000000"/>
      <w:sz w:val="18"/>
      <w:szCs w:val="18"/>
      <w:lang w:eastAsia="en-GB"/>
    </w:rPr>
  </w:style>
  <w:style w:type="paragraph" w:customStyle="1" w:styleId="xl588">
    <w:name w:val="xl588"/>
    <w:basedOn w:val="Normal"/>
    <w:uiPriority w:val="99"/>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89">
    <w:name w:val="xl589"/>
    <w:basedOn w:val="Normal"/>
    <w:uiPriority w:val="99"/>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0">
    <w:name w:val="xl590"/>
    <w:basedOn w:val="Normal"/>
    <w:uiPriority w:val="99"/>
    <w:pPr>
      <w:spacing w:before="100" w:beforeAutospacing="1" w:after="100" w:afterAutospacing="1"/>
      <w:jc w:val="right"/>
    </w:pPr>
    <w:rPr>
      <w:rFonts w:eastAsia="Times New Roman"/>
      <w:color w:val="000000"/>
      <w:sz w:val="12"/>
      <w:szCs w:val="12"/>
      <w:lang w:eastAsia="en-GB"/>
    </w:rPr>
  </w:style>
  <w:style w:type="paragraph" w:customStyle="1" w:styleId="xl591">
    <w:name w:val="xl591"/>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2">
    <w:name w:val="xl592"/>
    <w:basedOn w:val="Normal"/>
    <w:uiPriority w:val="99"/>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3">
    <w:name w:val="xl593"/>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4">
    <w:name w:val="xl59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95">
    <w:name w:val="xl595"/>
    <w:basedOn w:val="Normal"/>
    <w:uiPriority w:val="99"/>
    <w:pPr>
      <w:spacing w:before="100" w:beforeAutospacing="1" w:after="100" w:afterAutospacing="1"/>
      <w:jc w:val="right"/>
    </w:pPr>
    <w:rPr>
      <w:rFonts w:eastAsia="Times New Roman"/>
      <w:sz w:val="18"/>
      <w:szCs w:val="18"/>
      <w:lang w:eastAsia="en-GB"/>
    </w:rPr>
  </w:style>
  <w:style w:type="paragraph" w:customStyle="1" w:styleId="xl596">
    <w:name w:val="xl59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97">
    <w:name w:val="xl59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98">
    <w:name w:val="xl59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9">
    <w:name w:val="xl5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600">
    <w:name w:val="xl600"/>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1">
    <w:name w:val="xl601"/>
    <w:basedOn w:val="Normal"/>
    <w:uiPriority w:val="99"/>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602">
    <w:name w:val="xl602"/>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3">
    <w:name w:val="xl603"/>
    <w:basedOn w:val="Normal"/>
    <w:uiPriority w:val="99"/>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4">
    <w:name w:val="xl604"/>
    <w:basedOn w:val="Normal"/>
    <w:uiPriority w:val="99"/>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5">
    <w:name w:val="xl605"/>
    <w:basedOn w:val="Normal"/>
    <w:uiPriority w:val="99"/>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6">
    <w:name w:val="xl606"/>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607">
    <w:name w:val="xl607"/>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8">
    <w:name w:val="xl608"/>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9">
    <w:name w:val="xl609"/>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0">
    <w:name w:val="xl610"/>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1">
    <w:name w:val="xl611"/>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612">
    <w:name w:val="xl612"/>
    <w:basedOn w:val="Normal"/>
    <w:uiPriority w:val="99"/>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613">
    <w:name w:val="xl613"/>
    <w:basedOn w:val="Normal"/>
    <w:uiPriority w:val="99"/>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614">
    <w:name w:val="xl61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15">
    <w:name w:val="xl615"/>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6">
    <w:name w:val="xl61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7">
    <w:name w:val="xl6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18">
    <w:name w:val="xl618"/>
    <w:basedOn w:val="Normal"/>
    <w:uiPriority w:val="99"/>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619">
    <w:name w:val="xl61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0">
    <w:name w:val="xl620"/>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1">
    <w:name w:val="xl62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22">
    <w:name w:val="xl622"/>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23">
    <w:name w:val="xl623"/>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4">
    <w:name w:val="xl624"/>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5">
    <w:name w:val="xl625"/>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6">
    <w:name w:val="xl626"/>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7">
    <w:name w:val="xl627"/>
    <w:basedOn w:val="Normal"/>
    <w:uiPriority w:val="99"/>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628">
    <w:name w:val="xl628"/>
    <w:basedOn w:val="Normal"/>
    <w:uiPriority w:val="99"/>
    <w:pPr>
      <w:spacing w:before="100" w:beforeAutospacing="1" w:after="100" w:afterAutospacing="1"/>
      <w:jc w:val="left"/>
    </w:pPr>
    <w:rPr>
      <w:rFonts w:eastAsia="Times New Roman"/>
      <w:sz w:val="18"/>
      <w:szCs w:val="18"/>
      <w:lang w:eastAsia="en-GB"/>
    </w:rPr>
  </w:style>
  <w:style w:type="paragraph" w:customStyle="1" w:styleId="xl629">
    <w:name w:val="xl62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30">
    <w:name w:val="xl630"/>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631">
    <w:name w:val="xl631"/>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32">
    <w:name w:val="xl63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3">
    <w:name w:val="xl633"/>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4">
    <w:name w:val="xl634"/>
    <w:basedOn w:val="Normal"/>
    <w:uiPriority w:val="99"/>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5">
    <w:name w:val="xl635"/>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6">
    <w:name w:val="xl636"/>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7">
    <w:name w:val="xl637"/>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8">
    <w:name w:val="xl638"/>
    <w:basedOn w:val="Normal"/>
    <w:uiPriority w:val="99"/>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9">
    <w:name w:val="xl639"/>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40">
    <w:name w:val="xl640"/>
    <w:basedOn w:val="Normal"/>
    <w:uiPriority w:val="99"/>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41">
    <w:name w:val="xl641"/>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42">
    <w:name w:val="xl64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3">
    <w:name w:val="xl643"/>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4">
    <w:name w:val="xl644"/>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45">
    <w:name w:val="xl645"/>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46">
    <w:name w:val="xl646"/>
    <w:basedOn w:val="Normal"/>
    <w:uiPriority w:val="99"/>
    <w:pPr>
      <w:pBdr>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7">
    <w:name w:val="xl647"/>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8">
    <w:name w:val="xl648"/>
    <w:basedOn w:val="Normal"/>
    <w:uiPriority w:val="99"/>
    <w:pPr>
      <w:pBdr>
        <w:left w:val="single" w:sz="4" w:space="0" w:color="auto"/>
        <w:right w:val="single" w:sz="4" w:space="0" w:color="auto"/>
      </w:pBdr>
      <w:spacing w:before="100" w:beforeAutospacing="1" w:after="100" w:afterAutospacing="1"/>
      <w:jc w:val="right"/>
    </w:pPr>
    <w:rPr>
      <w:rFonts w:eastAsia="Times New Roman"/>
      <w:szCs w:val="24"/>
      <w:lang w:eastAsia="en-GB"/>
    </w:rPr>
  </w:style>
  <w:style w:type="paragraph" w:customStyle="1" w:styleId="xl649">
    <w:name w:val="xl64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0">
    <w:name w:val="xl650"/>
    <w:basedOn w:val="Normal"/>
    <w:uiPriority w:val="99"/>
    <w:pPr>
      <w:pBdr>
        <w:top w:val="single" w:sz="8" w:space="0" w:color="auto"/>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1">
    <w:name w:val="xl651"/>
    <w:basedOn w:val="Normal"/>
    <w:uiPriority w:val="99"/>
    <w:pPr>
      <w:pBdr>
        <w:left w:val="single" w:sz="4"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52">
    <w:name w:val="xl652"/>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3">
    <w:name w:val="xl653"/>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54">
    <w:name w:val="xl65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55">
    <w:name w:val="xl655"/>
    <w:basedOn w:val="Normal"/>
    <w:uiPriority w:val="99"/>
    <w:pPr>
      <w:pBdr>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6">
    <w:name w:val="xl656"/>
    <w:basedOn w:val="Normal"/>
    <w:uiPriority w:val="99"/>
    <w:pPr>
      <w:pBdr>
        <w:left w:val="single" w:sz="4" w:space="0" w:color="auto"/>
        <w:bottom w:val="single" w:sz="8" w:space="0" w:color="auto"/>
      </w:pBdr>
      <w:shd w:val="clear" w:color="auto" w:fill="FFFF00"/>
      <w:spacing w:before="100" w:beforeAutospacing="1" w:after="100" w:afterAutospacing="1"/>
      <w:jc w:val="left"/>
    </w:pPr>
    <w:rPr>
      <w:rFonts w:eastAsia="Times New Roman"/>
      <w:color w:val="000000"/>
      <w:sz w:val="18"/>
      <w:szCs w:val="18"/>
      <w:lang w:eastAsia="en-GB"/>
    </w:rPr>
  </w:style>
  <w:style w:type="paragraph" w:customStyle="1" w:styleId="xl657">
    <w:name w:val="xl657"/>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8">
    <w:name w:val="xl658"/>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9">
    <w:name w:val="xl659"/>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60">
    <w:name w:val="xl660"/>
    <w:basedOn w:val="Normal"/>
    <w:uiPriority w:val="99"/>
    <w:pPr>
      <w:pBdr>
        <w:top w:val="single" w:sz="8" w:space="0" w:color="000000"/>
        <w:left w:val="single" w:sz="4" w:space="0" w:color="auto"/>
      </w:pBdr>
      <w:spacing w:before="100" w:beforeAutospacing="1" w:after="100" w:afterAutospacing="1"/>
      <w:jc w:val="left"/>
    </w:pPr>
    <w:rPr>
      <w:rFonts w:eastAsia="Times New Roman"/>
      <w:sz w:val="18"/>
      <w:szCs w:val="18"/>
      <w:lang w:eastAsia="en-GB"/>
    </w:rPr>
  </w:style>
  <w:style w:type="paragraph" w:customStyle="1" w:styleId="xl661">
    <w:name w:val="xl661"/>
    <w:basedOn w:val="Normal"/>
    <w:uiPriority w:val="99"/>
    <w:pPr>
      <w:pBdr>
        <w:left w:val="single" w:sz="4" w:space="0" w:color="auto"/>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662">
    <w:name w:val="xl662"/>
    <w:basedOn w:val="Normal"/>
    <w:uiPriority w:val="99"/>
    <w:pPr>
      <w:pBdr>
        <w:top w:val="single" w:sz="8" w:space="0" w:color="000000"/>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3">
    <w:name w:val="xl663"/>
    <w:basedOn w:val="Normal"/>
    <w:uiPriority w:val="99"/>
    <w:pPr>
      <w:pBdr>
        <w:left w:val="single" w:sz="4" w:space="0" w:color="auto"/>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64">
    <w:name w:val="xl664"/>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65">
    <w:name w:val="xl665"/>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66">
    <w:name w:val="xl666"/>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67">
    <w:name w:val="xl667"/>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8">
    <w:name w:val="xl668"/>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9">
    <w:name w:val="xl66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0">
    <w:name w:val="xl670"/>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1">
    <w:name w:val="xl671"/>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72">
    <w:name w:val="xl672"/>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73">
    <w:name w:val="xl673"/>
    <w:basedOn w:val="Normal"/>
    <w:uiPriority w:val="99"/>
    <w:pPr>
      <w:pBdr>
        <w:top w:val="single" w:sz="8"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74">
    <w:name w:val="xl67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75">
    <w:name w:val="xl675"/>
    <w:basedOn w:val="Normal"/>
    <w:uiPriority w:val="99"/>
    <w:pPr>
      <w:pBdr>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DESignature">
    <w:name w:val="DE Signature"/>
    <w:basedOn w:val="Normal"/>
    <w:next w:val="Normal"/>
    <w:uiPriority w:val="99"/>
    <w:pPr>
      <w:tabs>
        <w:tab w:val="center" w:pos="5953"/>
      </w:tabs>
      <w:spacing w:before="720" w:line="360" w:lineRule="auto"/>
      <w:jc w:val="left"/>
    </w:pPr>
  </w:style>
  <w:style w:type="paragraph" w:customStyle="1" w:styleId="xl51867">
    <w:name w:val="xl5186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8">
    <w:name w:val="xl5186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9">
    <w:name w:val="xl5186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0">
    <w:name w:val="xl51870"/>
    <w:basedOn w:val="Normal"/>
    <w:pPr>
      <w:spacing w:before="100" w:beforeAutospacing="1" w:after="100" w:afterAutospacing="1"/>
      <w:jc w:val="left"/>
    </w:pPr>
    <w:rPr>
      <w:rFonts w:eastAsia="Times New Roman"/>
      <w:color w:val="000000"/>
      <w:sz w:val="18"/>
      <w:szCs w:val="18"/>
      <w:lang w:eastAsia="en-GB"/>
    </w:rPr>
  </w:style>
  <w:style w:type="paragraph" w:customStyle="1" w:styleId="xl51871">
    <w:name w:val="xl51871"/>
    <w:basedOn w:val="Normal"/>
    <w:pPr>
      <w:spacing w:before="100" w:beforeAutospacing="1" w:after="100" w:afterAutospacing="1"/>
      <w:jc w:val="left"/>
    </w:pPr>
    <w:rPr>
      <w:rFonts w:eastAsia="Times New Roman"/>
      <w:sz w:val="18"/>
      <w:szCs w:val="18"/>
      <w:lang w:eastAsia="en-GB"/>
    </w:rPr>
  </w:style>
  <w:style w:type="paragraph" w:customStyle="1" w:styleId="xl51872">
    <w:name w:val="xl51872"/>
    <w:basedOn w:val="Normal"/>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1873">
    <w:name w:val="xl51873"/>
    <w:basedOn w:val="Normal"/>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4">
    <w:name w:val="xl51874"/>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875">
    <w:name w:val="xl51875"/>
    <w:basedOn w:val="Normal"/>
    <w:pPr>
      <w:spacing w:before="100" w:beforeAutospacing="1" w:after="100" w:afterAutospacing="1"/>
      <w:jc w:val="left"/>
    </w:pPr>
    <w:rPr>
      <w:rFonts w:ascii="Calibri" w:eastAsia="Times New Roman" w:hAnsi="Calibri"/>
      <w:color w:val="000000"/>
      <w:sz w:val="18"/>
      <w:szCs w:val="18"/>
      <w:lang w:eastAsia="en-GB"/>
    </w:rPr>
  </w:style>
  <w:style w:type="paragraph" w:customStyle="1" w:styleId="xl51876">
    <w:name w:val="xl5187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7">
    <w:name w:val="xl51877"/>
    <w:basedOn w:val="Normal"/>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8">
    <w:name w:val="xl51878"/>
    <w:basedOn w:val="Normal"/>
    <w:pPr>
      <w:spacing w:before="100" w:beforeAutospacing="1" w:after="100" w:afterAutospacing="1"/>
      <w:jc w:val="left"/>
    </w:pPr>
    <w:rPr>
      <w:rFonts w:eastAsia="Times New Roman"/>
      <w:color w:val="000000"/>
      <w:sz w:val="18"/>
      <w:szCs w:val="18"/>
      <w:lang w:eastAsia="en-GB"/>
    </w:rPr>
  </w:style>
  <w:style w:type="paragraph" w:customStyle="1" w:styleId="xl51879">
    <w:name w:val="xl51879"/>
    <w:basedOn w:val="Normal"/>
    <w:pPr>
      <w:spacing w:before="100" w:beforeAutospacing="1" w:after="100" w:afterAutospacing="1"/>
      <w:jc w:val="left"/>
    </w:pPr>
    <w:rPr>
      <w:rFonts w:eastAsia="Times New Roman"/>
      <w:color w:val="000000"/>
      <w:sz w:val="18"/>
      <w:szCs w:val="18"/>
      <w:lang w:eastAsia="en-GB"/>
    </w:rPr>
  </w:style>
  <w:style w:type="paragraph" w:customStyle="1" w:styleId="xl51880">
    <w:name w:val="xl51880"/>
    <w:basedOn w:val="Normal"/>
    <w:pPr>
      <w:spacing w:before="100" w:beforeAutospacing="1" w:after="100" w:afterAutospacing="1"/>
      <w:jc w:val="left"/>
    </w:pPr>
    <w:rPr>
      <w:rFonts w:eastAsia="Times New Roman"/>
      <w:color w:val="000000"/>
      <w:sz w:val="18"/>
      <w:szCs w:val="18"/>
      <w:lang w:eastAsia="en-GB"/>
    </w:rPr>
  </w:style>
  <w:style w:type="paragraph" w:customStyle="1" w:styleId="xl51881">
    <w:name w:val="xl51881"/>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2">
    <w:name w:val="xl51882"/>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3">
    <w:name w:val="xl51883"/>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4">
    <w:name w:val="xl51884"/>
    <w:basedOn w:val="Normal"/>
    <w:pPr>
      <w:pBdr>
        <w:top w:val="single" w:sz="8" w:space="0" w:color="auto"/>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5">
    <w:name w:val="xl5188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6">
    <w:name w:val="xl5188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7">
    <w:name w:val="xl5188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8">
    <w:name w:val="xl51888"/>
    <w:basedOn w:val="Normal"/>
    <w:pPr>
      <w:pBdr>
        <w:left w:val="single" w:sz="8"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9">
    <w:name w:val="xl51889"/>
    <w:basedOn w:val="Normal"/>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1890">
    <w:name w:val="xl51890"/>
    <w:basedOn w:val="Normal"/>
    <w:pPr>
      <w:spacing w:before="100" w:beforeAutospacing="1" w:after="100" w:afterAutospacing="1"/>
      <w:jc w:val="right"/>
    </w:pPr>
    <w:rPr>
      <w:rFonts w:eastAsia="Times New Roman"/>
      <w:color w:val="000000"/>
      <w:sz w:val="18"/>
      <w:szCs w:val="18"/>
      <w:lang w:eastAsia="en-GB"/>
    </w:rPr>
  </w:style>
  <w:style w:type="paragraph" w:customStyle="1" w:styleId="xl51891">
    <w:name w:val="xl51891"/>
    <w:basedOn w:val="Normal"/>
    <w:pPr>
      <w:spacing w:before="100" w:beforeAutospacing="1" w:after="100" w:afterAutospacing="1"/>
      <w:jc w:val="right"/>
    </w:pPr>
    <w:rPr>
      <w:rFonts w:eastAsia="Times New Roman"/>
      <w:color w:val="000000"/>
      <w:sz w:val="18"/>
      <w:szCs w:val="18"/>
      <w:lang w:eastAsia="en-GB"/>
    </w:rPr>
  </w:style>
  <w:style w:type="paragraph" w:customStyle="1" w:styleId="xl51892">
    <w:name w:val="xl51892"/>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3">
    <w:name w:val="xl51893"/>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894">
    <w:name w:val="xl51894"/>
    <w:basedOn w:val="Normal"/>
    <w:pPr>
      <w:spacing w:before="100" w:beforeAutospacing="1" w:after="100" w:afterAutospacing="1"/>
      <w:jc w:val="left"/>
    </w:pPr>
    <w:rPr>
      <w:rFonts w:eastAsia="Times New Roman"/>
      <w:color w:val="000000"/>
      <w:sz w:val="18"/>
      <w:szCs w:val="18"/>
      <w:lang w:eastAsia="en-GB"/>
    </w:rPr>
  </w:style>
  <w:style w:type="paragraph" w:customStyle="1" w:styleId="xl51895">
    <w:name w:val="xl5189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96">
    <w:name w:val="xl51896"/>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7">
    <w:name w:val="xl51897"/>
    <w:basedOn w:val="Normal"/>
    <w:pPr>
      <w:spacing w:before="100" w:beforeAutospacing="1" w:after="100" w:afterAutospacing="1"/>
      <w:jc w:val="left"/>
    </w:pPr>
    <w:rPr>
      <w:rFonts w:eastAsia="Times New Roman"/>
      <w:sz w:val="18"/>
      <w:szCs w:val="18"/>
      <w:lang w:eastAsia="en-GB"/>
    </w:rPr>
  </w:style>
  <w:style w:type="paragraph" w:customStyle="1" w:styleId="xl51898">
    <w:name w:val="xl51898"/>
    <w:basedOn w:val="Normal"/>
    <w:pPr>
      <w:spacing w:before="100" w:beforeAutospacing="1" w:after="100" w:afterAutospacing="1"/>
      <w:jc w:val="right"/>
    </w:pPr>
    <w:rPr>
      <w:rFonts w:eastAsia="Times New Roman"/>
      <w:sz w:val="18"/>
      <w:szCs w:val="18"/>
      <w:lang w:eastAsia="en-GB"/>
    </w:rPr>
  </w:style>
  <w:style w:type="paragraph" w:customStyle="1" w:styleId="xl51899">
    <w:name w:val="xl5189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00">
    <w:name w:val="xl5190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01">
    <w:name w:val="xl51901"/>
    <w:basedOn w:val="Normal"/>
    <w:pPr>
      <w:spacing w:before="100" w:beforeAutospacing="1" w:after="100" w:afterAutospacing="1"/>
      <w:jc w:val="left"/>
    </w:pPr>
    <w:rPr>
      <w:rFonts w:eastAsia="Times New Roman"/>
      <w:color w:val="FF0000"/>
      <w:sz w:val="18"/>
      <w:szCs w:val="18"/>
      <w:lang w:eastAsia="en-GB"/>
    </w:rPr>
  </w:style>
  <w:style w:type="paragraph" w:customStyle="1" w:styleId="xl51902">
    <w:name w:val="xl51902"/>
    <w:basedOn w:val="Normal"/>
    <w:pPr>
      <w:spacing w:before="100" w:beforeAutospacing="1" w:after="100" w:afterAutospacing="1"/>
      <w:jc w:val="right"/>
    </w:pPr>
    <w:rPr>
      <w:rFonts w:eastAsia="Times New Roman"/>
      <w:color w:val="FF0000"/>
      <w:sz w:val="18"/>
      <w:szCs w:val="18"/>
      <w:lang w:eastAsia="en-GB"/>
    </w:rPr>
  </w:style>
  <w:style w:type="paragraph" w:customStyle="1" w:styleId="xl51903">
    <w:name w:val="xl51903"/>
    <w:basedOn w:val="Normal"/>
    <w:pPr>
      <w:spacing w:before="100" w:beforeAutospacing="1" w:after="100" w:afterAutospacing="1"/>
      <w:jc w:val="left"/>
    </w:pPr>
    <w:rPr>
      <w:rFonts w:eastAsia="Times New Roman"/>
      <w:b/>
      <w:bCs/>
      <w:color w:val="FF0000"/>
      <w:sz w:val="18"/>
      <w:szCs w:val="18"/>
      <w:lang w:eastAsia="en-GB"/>
    </w:rPr>
  </w:style>
  <w:style w:type="paragraph" w:customStyle="1" w:styleId="xl51904">
    <w:name w:val="xl51904"/>
    <w:basedOn w:val="Normal"/>
    <w:pPr>
      <w:spacing w:before="100" w:beforeAutospacing="1" w:after="100" w:afterAutospacing="1"/>
      <w:jc w:val="left"/>
    </w:pPr>
    <w:rPr>
      <w:rFonts w:eastAsia="Times New Roman"/>
      <w:b/>
      <w:bCs/>
      <w:color w:val="000000"/>
      <w:sz w:val="18"/>
      <w:szCs w:val="18"/>
      <w:lang w:eastAsia="en-GB"/>
    </w:rPr>
  </w:style>
  <w:style w:type="paragraph" w:customStyle="1" w:styleId="xl51905">
    <w:name w:val="xl51905"/>
    <w:basedOn w:val="Normal"/>
    <w:pPr>
      <w:spacing w:before="100" w:beforeAutospacing="1" w:after="100" w:afterAutospacing="1"/>
      <w:jc w:val="left"/>
    </w:pPr>
    <w:rPr>
      <w:rFonts w:eastAsia="Times New Roman"/>
      <w:b/>
      <w:bCs/>
      <w:sz w:val="18"/>
      <w:szCs w:val="18"/>
      <w:lang w:eastAsia="en-GB"/>
    </w:rPr>
  </w:style>
  <w:style w:type="paragraph" w:customStyle="1" w:styleId="xl51906">
    <w:name w:val="xl51906"/>
    <w:basedOn w:val="Normal"/>
    <w:pPr>
      <w:spacing w:before="100" w:beforeAutospacing="1" w:after="100" w:afterAutospacing="1"/>
      <w:jc w:val="left"/>
    </w:pPr>
    <w:rPr>
      <w:rFonts w:eastAsia="Times New Roman"/>
      <w:sz w:val="18"/>
      <w:szCs w:val="18"/>
      <w:lang w:eastAsia="en-GB"/>
    </w:rPr>
  </w:style>
  <w:style w:type="paragraph" w:customStyle="1" w:styleId="xl51907">
    <w:name w:val="xl51907"/>
    <w:basedOn w:val="Normal"/>
    <w:pPr>
      <w:spacing w:before="100" w:beforeAutospacing="1" w:after="100" w:afterAutospacing="1"/>
      <w:jc w:val="left"/>
    </w:pPr>
    <w:rPr>
      <w:rFonts w:eastAsia="Times New Roman"/>
      <w:sz w:val="18"/>
      <w:szCs w:val="18"/>
      <w:lang w:eastAsia="en-GB"/>
    </w:rPr>
  </w:style>
  <w:style w:type="paragraph" w:customStyle="1" w:styleId="xl51908">
    <w:name w:val="xl51908"/>
    <w:basedOn w:val="Normal"/>
    <w:pPr>
      <w:spacing w:before="100" w:beforeAutospacing="1" w:after="100" w:afterAutospacing="1"/>
      <w:jc w:val="right"/>
    </w:pPr>
    <w:rPr>
      <w:rFonts w:eastAsia="Times New Roman"/>
      <w:b/>
      <w:bCs/>
      <w:sz w:val="18"/>
      <w:szCs w:val="18"/>
      <w:lang w:eastAsia="en-GB"/>
    </w:rPr>
  </w:style>
  <w:style w:type="paragraph" w:customStyle="1" w:styleId="xl51909">
    <w:name w:val="xl51909"/>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10">
    <w:name w:val="xl51910"/>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11">
    <w:name w:val="xl51911"/>
    <w:basedOn w:val="Normal"/>
    <w:pPr>
      <w:spacing w:before="100" w:beforeAutospacing="1" w:after="100" w:afterAutospacing="1"/>
      <w:jc w:val="right"/>
    </w:pPr>
    <w:rPr>
      <w:rFonts w:eastAsia="Times New Roman"/>
      <w:color w:val="000000"/>
      <w:sz w:val="18"/>
      <w:szCs w:val="18"/>
      <w:lang w:eastAsia="en-GB"/>
    </w:rPr>
  </w:style>
  <w:style w:type="paragraph" w:customStyle="1" w:styleId="xl51912">
    <w:name w:val="xl51912"/>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1913">
    <w:name w:val="xl51913"/>
    <w:basedOn w:val="Normal"/>
    <w:pPr>
      <w:pBdr>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14">
    <w:name w:val="xl51914"/>
    <w:basedOn w:val="Normal"/>
    <w:pPr>
      <w:pBdr>
        <w:bottom w:val="single" w:sz="8" w:space="0" w:color="auto"/>
      </w:pBdr>
      <w:spacing w:before="100" w:beforeAutospacing="1" w:after="100" w:afterAutospacing="1"/>
      <w:jc w:val="left"/>
    </w:pPr>
    <w:rPr>
      <w:rFonts w:eastAsia="Times New Roman"/>
      <w:color w:val="FF0000"/>
      <w:sz w:val="18"/>
      <w:szCs w:val="18"/>
      <w:lang w:eastAsia="en-GB"/>
    </w:rPr>
  </w:style>
  <w:style w:type="paragraph" w:customStyle="1" w:styleId="xl51915">
    <w:name w:val="xl51915"/>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16">
    <w:name w:val="xl51916"/>
    <w:basedOn w:val="Normal"/>
    <w:pPr>
      <w:spacing w:before="100" w:beforeAutospacing="1" w:after="100" w:afterAutospacing="1"/>
      <w:jc w:val="left"/>
    </w:pPr>
    <w:rPr>
      <w:rFonts w:eastAsia="Times New Roman"/>
      <w:color w:val="FF0000"/>
      <w:sz w:val="18"/>
      <w:szCs w:val="18"/>
      <w:lang w:eastAsia="en-GB"/>
    </w:rPr>
  </w:style>
  <w:style w:type="paragraph" w:customStyle="1" w:styleId="xl51917">
    <w:name w:val="xl51917"/>
    <w:basedOn w:val="Normal"/>
    <w:pPr>
      <w:spacing w:before="100" w:beforeAutospacing="1" w:after="100" w:afterAutospacing="1"/>
      <w:jc w:val="left"/>
    </w:pPr>
    <w:rPr>
      <w:rFonts w:eastAsia="Times New Roman"/>
      <w:color w:val="000000"/>
      <w:sz w:val="18"/>
      <w:szCs w:val="18"/>
      <w:lang w:eastAsia="en-GB"/>
    </w:rPr>
  </w:style>
  <w:style w:type="paragraph" w:customStyle="1" w:styleId="xl51918">
    <w:name w:val="xl51918"/>
    <w:basedOn w:val="Normal"/>
    <w:pPr>
      <w:spacing w:before="100" w:beforeAutospacing="1" w:after="100" w:afterAutospacing="1"/>
      <w:jc w:val="left"/>
    </w:pPr>
    <w:rPr>
      <w:rFonts w:eastAsia="Times New Roman"/>
      <w:color w:val="000000"/>
      <w:sz w:val="18"/>
      <w:szCs w:val="18"/>
      <w:lang w:eastAsia="en-GB"/>
    </w:rPr>
  </w:style>
  <w:style w:type="paragraph" w:customStyle="1" w:styleId="xl51919">
    <w:name w:val="xl51919"/>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20">
    <w:name w:val="xl51920"/>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1">
    <w:name w:val="xl51921"/>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2">
    <w:name w:val="xl51922"/>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3">
    <w:name w:val="xl51923"/>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4">
    <w:name w:val="xl5192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5">
    <w:name w:val="xl51925"/>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26">
    <w:name w:val="xl51926"/>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27">
    <w:name w:val="xl51927"/>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28">
    <w:name w:val="xl51928"/>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Sous-titreobjet">
    <w:name w:val="Sous-titre objet"/>
    <w:basedOn w:val="Normal"/>
    <w:uiPriority w:val="99"/>
    <w:pPr>
      <w:spacing w:before="0" w:after="0"/>
      <w:jc w:val="center"/>
    </w:pPr>
    <w:rPr>
      <w:b/>
    </w:rPr>
  </w:style>
  <w:style w:type="paragraph" w:customStyle="1" w:styleId="Titreobjet">
    <w:name w:val="Titre objet"/>
    <w:basedOn w:val="Normal"/>
    <w:next w:val="Sous-titreobjet"/>
    <w:uiPriority w:val="99"/>
    <w:pPr>
      <w:spacing w:before="180" w:after="180"/>
      <w:jc w:val="center"/>
    </w:pPr>
    <w:rPr>
      <w:b/>
    </w:rPr>
  </w:style>
  <w:style w:type="paragraph" w:customStyle="1" w:styleId="Sous-titreobjetPagedecouverture">
    <w:name w:val="Sous-titre objet (Page de couverture)"/>
    <w:basedOn w:val="Sous-titreobjet"/>
    <w:uiPriority w:val="99"/>
  </w:style>
  <w:style w:type="paragraph" w:customStyle="1" w:styleId="TitreobjetPagedecouverture">
    <w:name w:val="Titre objet (Page de couverture)"/>
    <w:basedOn w:val="Titreobjet"/>
    <w:next w:val="Sous-titreobjetPagedecouverture"/>
  </w:style>
  <w:style w:type="character" w:styleId="PlaceholderText">
    <w:name w:val="Placeholder Text"/>
    <w:basedOn w:val="DefaultParagraphFont"/>
    <w:uiPriority w:val="99"/>
    <w:semiHidden/>
    <w:rPr>
      <w:color w:val="808080"/>
    </w:rPr>
  </w:style>
  <w:style w:type="paragraph" w:customStyle="1" w:styleId="Jardin">
    <w:name w:val="Jardin"/>
    <w:basedOn w:val="Normal"/>
    <w:uiPriority w:val="99"/>
    <w:pPr>
      <w:spacing w:before="200" w:after="0"/>
      <w:jc w:val="center"/>
    </w:pPr>
    <w:rPr>
      <w:rFonts w:eastAsia="Times New Roman"/>
      <w:szCs w:val="24"/>
    </w:rPr>
  </w:style>
  <w:style w:type="paragraph" w:customStyle="1" w:styleId="NormalCompact">
    <w:name w:val="Normal Compact"/>
    <w:basedOn w:val="Normal"/>
    <w:next w:val="Normal"/>
    <w:uiPriority w:val="99"/>
    <w:pPr>
      <w:jc w:val="left"/>
    </w:pPr>
    <w:rPr>
      <w:rFonts w:eastAsia="Times New Roman"/>
      <w:szCs w:val="24"/>
    </w:rPr>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numbering" w:customStyle="1" w:styleId="NoList1111">
    <w:name w:val="No List1111"/>
    <w:next w:val="NoList"/>
    <w:uiPriority w:val="99"/>
    <w:semiHidden/>
    <w:unhideWhenUsed/>
  </w:style>
  <w:style w:type="paragraph" w:customStyle="1" w:styleId="xl51929">
    <w:name w:val="xl51929"/>
    <w:basedOn w:val="Normal"/>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30">
    <w:name w:val="xl51930"/>
    <w:basedOn w:val="Normal"/>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931">
    <w:name w:val="xl51931"/>
    <w:basedOn w:val="Normal"/>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932">
    <w:name w:val="xl51932"/>
    <w:basedOn w:val="Normal"/>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33">
    <w:name w:val="xl51933"/>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4">
    <w:name w:val="xl51934"/>
    <w:basedOn w:val="Normal"/>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5">
    <w:name w:val="xl51935"/>
    <w:basedOn w:val="Normal"/>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6">
    <w:name w:val="xl51936"/>
    <w:basedOn w:val="Normal"/>
    <w:pPr>
      <w:spacing w:before="100" w:beforeAutospacing="1" w:after="100" w:afterAutospacing="1"/>
      <w:jc w:val="right"/>
    </w:pPr>
    <w:rPr>
      <w:rFonts w:eastAsia="Times New Roman"/>
      <w:color w:val="000000"/>
      <w:sz w:val="18"/>
      <w:szCs w:val="18"/>
      <w:lang w:eastAsia="en-GB"/>
    </w:rPr>
  </w:style>
  <w:style w:type="paragraph" w:customStyle="1" w:styleId="xl51937">
    <w:name w:val="xl5193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8">
    <w:name w:val="xl51938"/>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1939">
    <w:name w:val="xl51939"/>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40">
    <w:name w:val="xl5194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1">
    <w:name w:val="xl51941"/>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2">
    <w:name w:val="xl51942"/>
    <w:basedOn w:val="Normal"/>
    <w:pPr>
      <w:spacing w:before="100" w:beforeAutospacing="1" w:after="100" w:afterAutospacing="1"/>
      <w:jc w:val="right"/>
    </w:pPr>
    <w:rPr>
      <w:rFonts w:eastAsia="Times New Roman"/>
      <w:sz w:val="18"/>
      <w:szCs w:val="18"/>
      <w:lang w:eastAsia="en-GB"/>
    </w:rPr>
  </w:style>
  <w:style w:type="paragraph" w:customStyle="1" w:styleId="xl51943">
    <w:name w:val="xl51943"/>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44">
    <w:name w:val="xl51944"/>
    <w:basedOn w:val="Normal"/>
    <w:pPr>
      <w:spacing w:before="100" w:beforeAutospacing="1" w:after="100" w:afterAutospacing="1"/>
      <w:jc w:val="left"/>
    </w:pPr>
    <w:rPr>
      <w:rFonts w:eastAsia="Times New Roman"/>
      <w:color w:val="000000"/>
      <w:sz w:val="18"/>
      <w:szCs w:val="18"/>
      <w:lang w:eastAsia="en-GB"/>
    </w:rPr>
  </w:style>
  <w:style w:type="paragraph" w:customStyle="1" w:styleId="xl51945">
    <w:name w:val="xl51945"/>
    <w:basedOn w:val="Normal"/>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6">
    <w:name w:val="xl51946"/>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947">
    <w:name w:val="xl5194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8">
    <w:name w:val="xl51948"/>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9">
    <w:name w:val="xl51949"/>
    <w:basedOn w:val="Normal"/>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1950">
    <w:name w:val="xl5195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51">
    <w:name w:val="xl51951"/>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52">
    <w:name w:val="xl51952"/>
    <w:basedOn w:val="Normal"/>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53">
    <w:name w:val="xl51953"/>
    <w:basedOn w:val="Normal"/>
    <w:pPr>
      <w:spacing w:before="100" w:beforeAutospacing="1" w:after="100" w:afterAutospacing="1"/>
      <w:jc w:val="left"/>
    </w:pPr>
    <w:rPr>
      <w:rFonts w:eastAsia="Times New Roman"/>
      <w:color w:val="000000"/>
      <w:sz w:val="18"/>
      <w:szCs w:val="18"/>
      <w:lang w:eastAsia="en-GB"/>
    </w:rPr>
  </w:style>
  <w:style w:type="paragraph" w:customStyle="1" w:styleId="xl51954">
    <w:name w:val="xl51954"/>
    <w:basedOn w:val="Normal"/>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1955">
    <w:name w:val="xl51955"/>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56">
    <w:name w:val="xl51956"/>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7">
    <w:name w:val="xl51957"/>
    <w:basedOn w:val="Normal"/>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1958">
    <w:name w:val="xl51958"/>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9">
    <w:name w:val="xl51959"/>
    <w:basedOn w:val="Normal"/>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1960">
    <w:name w:val="xl519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1">
    <w:name w:val="xl519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1962">
    <w:name w:val="xl519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3">
    <w:name w:val="xl5196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4">
    <w:name w:val="xl519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65">
    <w:name w:val="xl51965"/>
    <w:basedOn w:val="Normal"/>
    <w:pPr>
      <w:spacing w:before="100" w:beforeAutospacing="1" w:after="100" w:afterAutospacing="1"/>
      <w:jc w:val="left"/>
    </w:pPr>
    <w:rPr>
      <w:rFonts w:eastAsia="Times New Roman"/>
      <w:color w:val="000000"/>
      <w:sz w:val="12"/>
      <w:szCs w:val="12"/>
      <w:lang w:eastAsia="en-GB"/>
    </w:rPr>
  </w:style>
  <w:style w:type="paragraph" w:customStyle="1" w:styleId="xl51966">
    <w:name w:val="xl5196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1967">
    <w:name w:val="xl5196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1968">
    <w:name w:val="xl5196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9">
    <w:name w:val="xl5196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70">
    <w:name w:val="xl51970"/>
    <w:basedOn w:val="Normal"/>
    <w:pPr>
      <w:spacing w:before="100" w:beforeAutospacing="1" w:after="100" w:afterAutospacing="1"/>
      <w:jc w:val="left"/>
    </w:pPr>
    <w:rPr>
      <w:rFonts w:eastAsia="Times New Roman"/>
      <w:color w:val="000000"/>
      <w:sz w:val="12"/>
      <w:szCs w:val="12"/>
      <w:lang w:eastAsia="en-GB"/>
    </w:rPr>
  </w:style>
  <w:style w:type="paragraph" w:customStyle="1" w:styleId="xl51971">
    <w:name w:val="xl5197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72">
    <w:name w:val="xl51972"/>
    <w:basedOn w:val="Normal"/>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1973">
    <w:name w:val="xl51973"/>
    <w:basedOn w:val="Normal"/>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1974">
    <w:name w:val="xl51974"/>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5">
    <w:name w:val="xl51975"/>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6">
    <w:name w:val="xl51976"/>
    <w:basedOn w:val="Normal"/>
    <w:pPr>
      <w:spacing w:before="100" w:beforeAutospacing="1" w:after="100" w:afterAutospacing="1"/>
      <w:jc w:val="left"/>
    </w:pPr>
    <w:rPr>
      <w:rFonts w:eastAsia="Times New Roman"/>
      <w:color w:val="000000"/>
      <w:sz w:val="12"/>
      <w:szCs w:val="12"/>
      <w:lang w:eastAsia="en-GB"/>
    </w:rPr>
  </w:style>
  <w:style w:type="paragraph" w:customStyle="1" w:styleId="xl51977">
    <w:name w:val="xl51977"/>
    <w:basedOn w:val="Normal"/>
    <w:pPr>
      <w:spacing w:before="100" w:beforeAutospacing="1" w:after="100" w:afterAutospacing="1"/>
      <w:jc w:val="left"/>
    </w:pPr>
    <w:rPr>
      <w:rFonts w:ascii="Calibri" w:eastAsia="Times New Roman" w:hAnsi="Calibri"/>
      <w:b/>
      <w:bCs/>
      <w:sz w:val="12"/>
      <w:szCs w:val="12"/>
      <w:lang w:eastAsia="en-GB"/>
    </w:rPr>
  </w:style>
  <w:style w:type="paragraph" w:customStyle="1" w:styleId="xl51978">
    <w:name w:val="xl51978"/>
    <w:basedOn w:val="Normal"/>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79">
    <w:name w:val="xl51979"/>
    <w:basedOn w:val="Normal"/>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80">
    <w:name w:val="xl51980"/>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1">
    <w:name w:val="xl51981"/>
    <w:basedOn w:val="Normal"/>
    <w:pPr>
      <w:spacing w:before="100" w:beforeAutospacing="1" w:after="100" w:afterAutospacing="1"/>
      <w:jc w:val="center"/>
    </w:pPr>
    <w:rPr>
      <w:rFonts w:eastAsia="Times New Roman"/>
      <w:color w:val="000000"/>
      <w:sz w:val="12"/>
      <w:szCs w:val="12"/>
      <w:lang w:eastAsia="en-GB"/>
    </w:rPr>
  </w:style>
  <w:style w:type="paragraph" w:customStyle="1" w:styleId="xl51982">
    <w:name w:val="xl51982"/>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1983">
    <w:name w:val="xl51983"/>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4">
    <w:name w:val="xl51984"/>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5">
    <w:name w:val="xl51985"/>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6">
    <w:name w:val="xl51986"/>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7">
    <w:name w:val="xl51987"/>
    <w:basedOn w:val="Normal"/>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8">
    <w:name w:val="xl51988"/>
    <w:basedOn w:val="Normal"/>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9">
    <w:name w:val="xl51989"/>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1990">
    <w:name w:val="xl5199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1991">
    <w:name w:val="xl5199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1992">
    <w:name w:val="xl51992"/>
    <w:basedOn w:val="Normal"/>
    <w:pPr>
      <w:spacing w:before="100" w:beforeAutospacing="1" w:after="100" w:afterAutospacing="1"/>
      <w:jc w:val="right"/>
    </w:pPr>
    <w:rPr>
      <w:rFonts w:eastAsia="Times New Roman"/>
      <w:color w:val="000000"/>
      <w:sz w:val="18"/>
      <w:szCs w:val="18"/>
      <w:lang w:eastAsia="en-GB"/>
    </w:rPr>
  </w:style>
  <w:style w:type="paragraph" w:customStyle="1" w:styleId="xl51993">
    <w:name w:val="xl51993"/>
    <w:basedOn w:val="Normal"/>
    <w:pPr>
      <w:spacing w:before="100" w:beforeAutospacing="1" w:after="100" w:afterAutospacing="1"/>
      <w:jc w:val="right"/>
    </w:pPr>
    <w:rPr>
      <w:rFonts w:eastAsia="Times New Roman"/>
      <w:color w:val="000000"/>
      <w:sz w:val="18"/>
      <w:szCs w:val="18"/>
      <w:lang w:eastAsia="en-GB"/>
    </w:rPr>
  </w:style>
  <w:style w:type="paragraph" w:customStyle="1" w:styleId="xl51994">
    <w:name w:val="xl51994"/>
    <w:basedOn w:val="Normal"/>
    <w:pPr>
      <w:spacing w:before="100" w:beforeAutospacing="1" w:after="100" w:afterAutospacing="1"/>
      <w:jc w:val="left"/>
    </w:pPr>
    <w:rPr>
      <w:rFonts w:ascii="Calibri" w:eastAsia="Times New Roman" w:hAnsi="Calibri"/>
      <w:sz w:val="18"/>
      <w:szCs w:val="18"/>
      <w:lang w:eastAsia="en-GB"/>
    </w:rPr>
  </w:style>
  <w:style w:type="paragraph" w:customStyle="1" w:styleId="xl51995">
    <w:name w:val="xl51995"/>
    <w:basedOn w:val="Normal"/>
    <w:pPr>
      <w:spacing w:before="100" w:beforeAutospacing="1" w:after="100" w:afterAutospacing="1"/>
      <w:jc w:val="left"/>
    </w:pPr>
    <w:rPr>
      <w:rFonts w:eastAsia="Times New Roman"/>
      <w:color w:val="FF0000"/>
      <w:sz w:val="18"/>
      <w:szCs w:val="18"/>
      <w:lang w:eastAsia="en-GB"/>
    </w:rPr>
  </w:style>
  <w:style w:type="paragraph" w:customStyle="1" w:styleId="xl51996">
    <w:name w:val="xl51996"/>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97">
    <w:name w:val="xl51997"/>
    <w:basedOn w:val="Normal"/>
    <w:pPr>
      <w:spacing w:before="100" w:beforeAutospacing="1" w:after="100" w:afterAutospacing="1"/>
      <w:jc w:val="right"/>
    </w:pPr>
    <w:rPr>
      <w:rFonts w:eastAsia="Times New Roman"/>
      <w:sz w:val="18"/>
      <w:szCs w:val="18"/>
      <w:lang w:eastAsia="en-GB"/>
    </w:rPr>
  </w:style>
  <w:style w:type="paragraph" w:customStyle="1" w:styleId="xl51998">
    <w:name w:val="xl5199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999">
    <w:name w:val="xl5199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2000">
    <w:name w:val="xl52000"/>
    <w:basedOn w:val="Normal"/>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01">
    <w:name w:val="xl52001"/>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02">
    <w:name w:val="xl52002"/>
    <w:basedOn w:val="Normal"/>
    <w:pPr>
      <w:spacing w:before="100" w:beforeAutospacing="1" w:after="100" w:afterAutospacing="1"/>
      <w:jc w:val="right"/>
    </w:pPr>
    <w:rPr>
      <w:rFonts w:eastAsia="Times New Roman"/>
      <w:sz w:val="18"/>
      <w:szCs w:val="18"/>
      <w:lang w:eastAsia="en-GB"/>
    </w:rPr>
  </w:style>
  <w:style w:type="paragraph" w:customStyle="1" w:styleId="xl52003">
    <w:name w:val="xl52003"/>
    <w:basedOn w:val="Normal"/>
    <w:pPr>
      <w:spacing w:before="100" w:beforeAutospacing="1" w:after="100" w:afterAutospacing="1"/>
      <w:jc w:val="left"/>
    </w:pPr>
    <w:rPr>
      <w:rFonts w:eastAsia="Times New Roman"/>
      <w:color w:val="000000"/>
      <w:sz w:val="18"/>
      <w:szCs w:val="18"/>
      <w:lang w:eastAsia="en-GB"/>
    </w:rPr>
  </w:style>
  <w:style w:type="paragraph" w:customStyle="1" w:styleId="xl52004">
    <w:name w:val="xl52004"/>
    <w:basedOn w:val="Normal"/>
    <w:pPr>
      <w:spacing w:before="100" w:beforeAutospacing="1" w:after="100" w:afterAutospacing="1"/>
      <w:jc w:val="left"/>
    </w:pPr>
    <w:rPr>
      <w:rFonts w:eastAsia="Times New Roman"/>
      <w:sz w:val="18"/>
      <w:szCs w:val="18"/>
      <w:lang w:eastAsia="en-GB"/>
    </w:rPr>
  </w:style>
  <w:style w:type="paragraph" w:customStyle="1" w:styleId="xl52005">
    <w:name w:val="xl52005"/>
    <w:basedOn w:val="Normal"/>
    <w:pPr>
      <w:spacing w:before="100" w:beforeAutospacing="1" w:after="100" w:afterAutospacing="1"/>
      <w:jc w:val="left"/>
    </w:pPr>
    <w:rPr>
      <w:rFonts w:eastAsia="Times New Roman"/>
      <w:color w:val="FF0000"/>
      <w:sz w:val="18"/>
      <w:szCs w:val="18"/>
      <w:lang w:eastAsia="en-GB"/>
    </w:rPr>
  </w:style>
  <w:style w:type="paragraph" w:customStyle="1" w:styleId="xl52006">
    <w:name w:val="xl52006"/>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2007">
    <w:name w:val="xl52007"/>
    <w:basedOn w:val="Normal"/>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08">
    <w:name w:val="xl52008"/>
    <w:basedOn w:val="Normal"/>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09">
    <w:name w:val="xl52009"/>
    <w:basedOn w:val="Normal"/>
    <w:pPr>
      <w:spacing w:before="100" w:beforeAutospacing="1" w:after="100" w:afterAutospacing="1"/>
      <w:jc w:val="right"/>
    </w:pPr>
    <w:rPr>
      <w:rFonts w:eastAsia="Times New Roman"/>
      <w:color w:val="000000"/>
      <w:sz w:val="12"/>
      <w:szCs w:val="12"/>
      <w:lang w:eastAsia="en-GB"/>
    </w:rPr>
  </w:style>
  <w:style w:type="paragraph" w:customStyle="1" w:styleId="xl52010">
    <w:name w:val="xl52010"/>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1">
    <w:name w:val="xl52011"/>
    <w:basedOn w:val="Normal"/>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2">
    <w:name w:val="xl52012"/>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3">
    <w:name w:val="xl5201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14">
    <w:name w:val="xl52014"/>
    <w:basedOn w:val="Normal"/>
    <w:pPr>
      <w:spacing w:before="100" w:beforeAutospacing="1" w:after="100" w:afterAutospacing="1"/>
      <w:jc w:val="right"/>
    </w:pPr>
    <w:rPr>
      <w:rFonts w:eastAsia="Times New Roman"/>
      <w:sz w:val="18"/>
      <w:szCs w:val="18"/>
      <w:lang w:eastAsia="en-GB"/>
    </w:rPr>
  </w:style>
  <w:style w:type="paragraph" w:customStyle="1" w:styleId="xl52015">
    <w:name w:val="xl52015"/>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2016">
    <w:name w:val="xl5201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2017">
    <w:name w:val="xl5201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8">
    <w:name w:val="xl5201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52019">
    <w:name w:val="xl52019"/>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0">
    <w:name w:val="xl52020"/>
    <w:basedOn w:val="Normal"/>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52021">
    <w:name w:val="xl52021"/>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2">
    <w:name w:val="xl52022"/>
    <w:basedOn w:val="Normal"/>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3">
    <w:name w:val="xl52023"/>
    <w:basedOn w:val="Normal"/>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4">
    <w:name w:val="xl52024"/>
    <w:basedOn w:val="Normal"/>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5">
    <w:name w:val="xl52025"/>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2026">
    <w:name w:val="xl52026"/>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7">
    <w:name w:val="xl52027"/>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8">
    <w:name w:val="xl52028"/>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29">
    <w:name w:val="xl52029"/>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30">
    <w:name w:val="xl52030"/>
    <w:basedOn w:val="Normal"/>
    <w:pPr>
      <w:spacing w:before="100" w:beforeAutospacing="1" w:after="100" w:afterAutospacing="1"/>
      <w:jc w:val="left"/>
    </w:pPr>
    <w:rPr>
      <w:rFonts w:ascii="Calibri" w:eastAsia="Times New Roman" w:hAnsi="Calibri"/>
      <w:color w:val="1F497D"/>
      <w:sz w:val="22"/>
      <w:szCs w:val="24"/>
      <w:lang w:eastAsia="en-GB"/>
    </w:rPr>
  </w:style>
  <w:style w:type="paragraph" w:customStyle="1" w:styleId="xl52031">
    <w:name w:val="xl52031"/>
    <w:basedOn w:val="Normal"/>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52032">
    <w:name w:val="xl52032"/>
    <w:basedOn w:val="Normal"/>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2033">
    <w:name w:val="xl5203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34">
    <w:name w:val="xl5203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5">
    <w:name w:val="xl5203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6">
    <w:name w:val="xl52036"/>
    <w:basedOn w:val="Normal"/>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52037">
    <w:name w:val="xl52037"/>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8">
    <w:name w:val="xl5203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9">
    <w:name w:val="xl52039"/>
    <w:basedOn w:val="Normal"/>
    <w:pPr>
      <w:spacing w:before="100" w:beforeAutospacing="1" w:after="100" w:afterAutospacing="1"/>
      <w:jc w:val="right"/>
    </w:pPr>
    <w:rPr>
      <w:rFonts w:eastAsia="Times New Roman"/>
      <w:color w:val="000000"/>
      <w:sz w:val="18"/>
      <w:szCs w:val="18"/>
      <w:lang w:eastAsia="en-GB"/>
    </w:rPr>
  </w:style>
  <w:style w:type="paragraph" w:customStyle="1" w:styleId="xl52040">
    <w:name w:val="xl52040"/>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1">
    <w:name w:val="xl52041"/>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42">
    <w:name w:val="xl52042"/>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43">
    <w:name w:val="xl52043"/>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4">
    <w:name w:val="xl52044"/>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5">
    <w:name w:val="xl52045"/>
    <w:basedOn w:val="Normal"/>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2046">
    <w:name w:val="xl52046"/>
    <w:basedOn w:val="Normal"/>
    <w:pPr>
      <w:spacing w:before="100" w:beforeAutospacing="1" w:after="100" w:afterAutospacing="1"/>
      <w:jc w:val="left"/>
    </w:pPr>
    <w:rPr>
      <w:rFonts w:eastAsia="Times New Roman"/>
      <w:sz w:val="18"/>
      <w:szCs w:val="18"/>
      <w:lang w:eastAsia="en-GB"/>
    </w:rPr>
  </w:style>
  <w:style w:type="paragraph" w:customStyle="1" w:styleId="xl52047">
    <w:name w:val="xl52047"/>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48">
    <w:name w:val="xl52048"/>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49">
    <w:name w:val="xl52049"/>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50">
    <w:name w:val="xl5205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1">
    <w:name w:val="xl52051"/>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2">
    <w:name w:val="xl52052"/>
    <w:basedOn w:val="Normal"/>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3">
    <w:name w:val="xl52053"/>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4">
    <w:name w:val="xl52054"/>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5">
    <w:name w:val="xl52055"/>
    <w:basedOn w:val="Normal"/>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6">
    <w:name w:val="xl52056"/>
    <w:basedOn w:val="Normal"/>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7">
    <w:name w:val="xl52057"/>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8">
    <w:name w:val="xl52058"/>
    <w:basedOn w:val="Normal"/>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59">
    <w:name w:val="xl52059"/>
    <w:basedOn w:val="Normal"/>
    <w:pPr>
      <w:spacing w:before="100" w:beforeAutospacing="1" w:after="100" w:afterAutospacing="1"/>
      <w:jc w:val="right"/>
    </w:pPr>
    <w:rPr>
      <w:rFonts w:eastAsia="Times New Roman"/>
      <w:color w:val="000000"/>
      <w:sz w:val="18"/>
      <w:szCs w:val="18"/>
      <w:lang w:eastAsia="en-GB"/>
    </w:rPr>
  </w:style>
  <w:style w:type="paragraph" w:customStyle="1" w:styleId="xl52060">
    <w:name w:val="xl520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sz w:val="14"/>
      <w:szCs w:val="14"/>
      <w:lang w:eastAsia="en-GB"/>
    </w:rPr>
  </w:style>
  <w:style w:type="paragraph" w:customStyle="1" w:styleId="xl52061">
    <w:name w:val="xl520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2">
    <w:name w:val="xl520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3">
    <w:name w:val="xl52063"/>
    <w:basedOn w:val="Normal"/>
    <w:pPr>
      <w:pBdr>
        <w:bottom w:val="single" w:sz="4"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2064">
    <w:name w:val="xl520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52065">
    <w:name w:val="xl52065"/>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6">
    <w:name w:val="xl52066"/>
    <w:basedOn w:val="Normal"/>
    <w:pPr>
      <w:pBdr>
        <w:top w:val="single" w:sz="8" w:space="0" w:color="auto"/>
      </w:pBdr>
      <w:spacing w:before="100" w:beforeAutospacing="1" w:after="100" w:afterAutospacing="1"/>
      <w:jc w:val="right"/>
    </w:pPr>
    <w:rPr>
      <w:rFonts w:eastAsia="Times New Roman"/>
      <w:sz w:val="18"/>
      <w:szCs w:val="18"/>
      <w:lang w:eastAsia="en-GB"/>
    </w:rPr>
  </w:style>
  <w:style w:type="paragraph" w:customStyle="1" w:styleId="xl52067">
    <w:name w:val="xl52067"/>
    <w:basedOn w:val="Normal"/>
    <w:pPr>
      <w:pBdr>
        <w:top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8">
    <w:name w:val="xl52068"/>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69">
    <w:name w:val="xl52069"/>
    <w:basedOn w:val="Normal"/>
    <w:pPr>
      <w:pBdr>
        <w:bottom w:val="single" w:sz="8" w:space="0" w:color="auto"/>
      </w:pBdr>
      <w:spacing w:before="100" w:beforeAutospacing="1" w:after="100" w:afterAutospacing="1"/>
      <w:jc w:val="center"/>
    </w:pPr>
    <w:rPr>
      <w:rFonts w:eastAsia="Times New Roman"/>
      <w:sz w:val="18"/>
      <w:szCs w:val="18"/>
      <w:lang w:eastAsia="en-GB"/>
    </w:rPr>
  </w:style>
  <w:style w:type="paragraph" w:customStyle="1" w:styleId="xl52070">
    <w:name w:val="xl52070"/>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1">
    <w:name w:val="xl52071"/>
    <w:basedOn w:val="Normal"/>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72">
    <w:name w:val="xl52072"/>
    <w:basedOn w:val="Normal"/>
    <w:pPr>
      <w:pBdr>
        <w:bottom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73">
    <w:name w:val="xl52073"/>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4">
    <w:name w:val="xl52074"/>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5">
    <w:name w:val="xl52075"/>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numbering" w:customStyle="1" w:styleId="NoList3">
    <w:name w:val="No List3"/>
    <w:next w:val="NoList"/>
    <w:uiPriority w:val="99"/>
    <w:semiHidden/>
    <w:unhideWhenUsed/>
  </w:style>
  <w:style w:type="numbering" w:customStyle="1" w:styleId="NoList12">
    <w:name w:val="No List12"/>
    <w:next w:val="NoList"/>
    <w:uiPriority w:val="99"/>
    <w:semiHidden/>
    <w:unhideWhenUsed/>
  </w:style>
  <w:style w:type="numbering" w:customStyle="1" w:styleId="NoList112">
    <w:name w:val="No List112"/>
    <w:next w:val="NoList"/>
    <w:uiPriority w:val="99"/>
    <w:semiHidden/>
    <w:unhideWhenUsed/>
  </w:style>
  <w:style w:type="numbering" w:customStyle="1" w:styleId="NoList21">
    <w:name w:val="No List21"/>
    <w:next w:val="NoList"/>
    <w:uiPriority w:val="99"/>
    <w:semiHidden/>
    <w:unhideWhenUsed/>
  </w:style>
  <w:style w:type="numbering" w:customStyle="1" w:styleId="NoList1112">
    <w:name w:val="No List1112"/>
    <w:next w:val="NoList"/>
    <w:uiPriority w:val="99"/>
    <w:semiHidden/>
    <w:unhideWhenUsed/>
  </w:style>
  <w:style w:type="paragraph" w:customStyle="1" w:styleId="xl52076">
    <w:name w:val="xl52076"/>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7">
    <w:name w:val="xl5207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8">
    <w:name w:val="xl52078"/>
    <w:basedOn w:val="Normal"/>
    <w:pPr>
      <w:pBdr>
        <w:bottom w:val="single" w:sz="4"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79">
    <w:name w:val="xl5207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0">
    <w:name w:val="xl5208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1">
    <w:name w:val="xl5208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082">
    <w:name w:val="xl52082"/>
    <w:basedOn w:val="Normal"/>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83">
    <w:name w:val="xl52083"/>
    <w:basedOn w:val="Normal"/>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84">
    <w:name w:val="xl5208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5">
    <w:name w:val="xl52085"/>
    <w:basedOn w:val="Normal"/>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52086">
    <w:name w:val="xl5208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7">
    <w:name w:val="xl52087"/>
    <w:basedOn w:val="Normal"/>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88">
    <w:name w:val="xl52088"/>
    <w:basedOn w:val="Normal"/>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52089">
    <w:name w:val="xl52089"/>
    <w:basedOn w:val="Normal"/>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0">
    <w:name w:val="xl52090"/>
    <w:basedOn w:val="Normal"/>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1">
    <w:name w:val="xl52091"/>
    <w:basedOn w:val="Normal"/>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52092">
    <w:name w:val="xl52092"/>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3">
    <w:name w:val="xl52093"/>
    <w:basedOn w:val="Normal"/>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52094">
    <w:name w:val="xl52094"/>
    <w:basedOn w:val="Normal"/>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095">
    <w:name w:val="xl52095"/>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6">
    <w:name w:val="xl52096"/>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7">
    <w:name w:val="xl52097"/>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8">
    <w:name w:val="xl52098"/>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9">
    <w:name w:val="xl520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100">
    <w:name w:val="xl5210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101">
    <w:name w:val="xl5210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102">
    <w:name w:val="xl52102"/>
    <w:basedOn w:val="Normal"/>
    <w:uiPriority w:val="99"/>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103">
    <w:name w:val="xl52103"/>
    <w:basedOn w:val="Normal"/>
    <w:uiPriority w:val="99"/>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4">
    <w:name w:val="xl52104"/>
    <w:basedOn w:val="Normal"/>
    <w:uiPriority w:val="99"/>
    <w:pPr>
      <w:pBdr>
        <w:bottom w:val="single" w:sz="8" w:space="0" w:color="auto"/>
      </w:pBdr>
      <w:shd w:val="clear" w:color="000000" w:fill="808080"/>
      <w:spacing w:before="100" w:beforeAutospacing="1" w:after="100" w:afterAutospacing="1"/>
      <w:jc w:val="left"/>
      <w:textAlignment w:val="top"/>
    </w:pPr>
    <w:rPr>
      <w:rFonts w:eastAsia="Times New Roman"/>
      <w:sz w:val="18"/>
      <w:szCs w:val="18"/>
      <w:lang w:eastAsia="en-GB"/>
    </w:rPr>
  </w:style>
  <w:style w:type="paragraph" w:customStyle="1" w:styleId="xl52105">
    <w:name w:val="xl52105"/>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6">
    <w:name w:val="xl52106"/>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52107">
    <w:name w:val="xl5210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108">
    <w:name w:val="xl52108"/>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msonormal0">
    <w:name w:val="msonormal"/>
    <w:basedOn w:val="Normal"/>
    <w:pPr>
      <w:spacing w:before="100" w:beforeAutospacing="1" w:after="100" w:afterAutospacing="1"/>
      <w:jc w:val="left"/>
    </w:pPr>
    <w:rPr>
      <w:rFonts w:eastAsia="Times New Roman"/>
      <w:szCs w:val="24"/>
      <w:lang w:eastAsia="en-GB"/>
    </w:rPr>
  </w:style>
  <w:style w:type="paragraph" w:customStyle="1" w:styleId="CMMLevel1">
    <w:name w:val="CMM Level1"/>
    <w:link w:val="CMMLevel1Char"/>
    <w:autoRedefine/>
    <w:uiPriority w:val="99"/>
    <w:qFormat/>
    <w:pPr>
      <w:numPr>
        <w:numId w:val="35"/>
      </w:numPr>
      <w:tabs>
        <w:tab w:val="left" w:pos="586"/>
      </w:tabs>
      <w:spacing w:after="160" w:line="240" w:lineRule="auto"/>
      <w:ind w:left="357" w:hanging="357"/>
    </w:pPr>
    <w:rPr>
      <w:rFonts w:ascii="Cambria" w:eastAsia="Cambria" w:hAnsi="Cambria"/>
      <w:spacing w:val="-2"/>
    </w:rPr>
  </w:style>
  <w:style w:type="character" w:customStyle="1" w:styleId="CMMLevel1Char">
    <w:name w:val="CMM Level1 Char"/>
    <w:basedOn w:val="DefaultParagraphFont"/>
    <w:link w:val="CMMLevel1"/>
    <w:uiPriority w:val="99"/>
    <w:rPr>
      <w:rFonts w:ascii="Cambria" w:eastAsia="Cambria" w:hAnsi="Cambria"/>
      <w:spacing w:val="-2"/>
    </w:rPr>
  </w:style>
  <w:style w:type="paragraph" w:styleId="Quote">
    <w:name w:val="Quote"/>
    <w:basedOn w:val="Normal"/>
    <w:next w:val="Normal"/>
    <w:link w:val="QuoteChar"/>
    <w:uiPriority w:val="29"/>
    <w:qFormat/>
    <w:pPr>
      <w:spacing w:before="0" w:after="0"/>
      <w:jc w:val="left"/>
    </w:pPr>
    <w:rPr>
      <w:rFonts w:ascii="Calibri" w:eastAsia="Times New Roman" w:hAnsi="Calibri"/>
      <w:i/>
      <w:iCs/>
      <w:color w:val="000000" w:themeColor="text1"/>
      <w:sz w:val="22"/>
      <w:szCs w:val="24"/>
    </w:rPr>
  </w:style>
  <w:style w:type="character" w:customStyle="1" w:styleId="QuoteChar">
    <w:name w:val="Quote Char"/>
    <w:basedOn w:val="DefaultParagraphFont"/>
    <w:link w:val="Quote"/>
    <w:uiPriority w:val="29"/>
    <w:rPr>
      <w:rFonts w:ascii="Calibri" w:eastAsia="Times New Roman" w:hAnsi="Calibri" w:cs="Times New Roman"/>
      <w:i/>
      <w:iCs/>
      <w:color w:val="000000" w:themeColor="text1"/>
      <w:szCs w:val="24"/>
      <w:lang w:val="fr-FR"/>
    </w:rPr>
  </w:style>
  <w:style w:type="paragraph" w:customStyle="1" w:styleId="hidden">
    <w:name w:val="hidden"/>
    <w:basedOn w:val="Normal"/>
    <w:uiPriority w:val="99"/>
    <w:pPr>
      <w:spacing w:before="0" w:after="150"/>
      <w:jc w:val="left"/>
    </w:pPr>
    <w:rPr>
      <w:rFonts w:eastAsia="Times New Roman"/>
      <w:vanish/>
      <w:szCs w:val="24"/>
      <w:lang w:eastAsia="en-GB"/>
    </w:rPr>
  </w:style>
  <w:style w:type="character" w:customStyle="1" w:styleId="nbborderedChar">
    <w:name w:val="nb bordered Char"/>
    <w:basedOn w:val="TechnicalBlockChar"/>
    <w:link w:val="nbbordered"/>
    <w:locked/>
    <w:rPr>
      <w:rFonts w:ascii="Times New Roman" w:eastAsia="Times New Roman" w:hAnsi="Times New Roman" w:cs="Times New Roman"/>
      <w:b/>
      <w:sz w:val="24"/>
      <w:szCs w:val="24"/>
      <w:lang w:val="fr-FR"/>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szCs w:val="24"/>
    </w:rPr>
  </w:style>
  <w:style w:type="paragraph" w:customStyle="1" w:styleId="TableParagraph">
    <w:name w:val="Table Paragraph"/>
    <w:basedOn w:val="Normal"/>
    <w:uiPriority w:val="1"/>
    <w:qFormat/>
    <w:pPr>
      <w:widowControl w:val="0"/>
      <w:autoSpaceDE w:val="0"/>
      <w:autoSpaceDN w:val="0"/>
      <w:spacing w:before="0" w:after="0"/>
      <w:jc w:val="left"/>
    </w:pPr>
    <w:rPr>
      <w:rFonts w:eastAsia="Times New Roman"/>
      <w:sz w:val="22"/>
      <w:szCs w:val="24"/>
      <w:lang w:eastAsia="en-GB" w:bidi="en-GB"/>
    </w:rPr>
  </w:style>
  <w:style w:type="paragraph" w:customStyle="1" w:styleId="Tiret00">
    <w:name w:val="Tiret 00"/>
    <w:basedOn w:val="Normal"/>
    <w:autoRedefine/>
    <w:uiPriority w:val="99"/>
    <w:qFormat/>
    <w:pPr>
      <w:numPr>
        <w:numId w:val="36"/>
      </w:numPr>
      <w:spacing w:line="360" w:lineRule="auto"/>
      <w:jc w:val="left"/>
      <w:outlineLvl w:val="0"/>
    </w:pPr>
    <w:rPr>
      <w:rFonts w:eastAsia="Times New Roman"/>
      <w:szCs w:val="24"/>
    </w:rPr>
  </w:style>
  <w:style w:type="character" w:styleId="BookTitle">
    <w:name w:val="Book Title"/>
    <w:basedOn w:val="DefaultParagraphFont"/>
    <w:uiPriority w:val="33"/>
    <w:qFormat/>
    <w:rPr>
      <w:b/>
      <w:bCs/>
      <w:smallCaps/>
      <w:spacing w:val="5"/>
    </w:rPr>
  </w:style>
  <w:style w:type="character" w:customStyle="1" w:styleId="HeaderChar1">
    <w:name w:val="Header Char1"/>
    <w:basedOn w:val="DefaultParagraphFont"/>
    <w:uiPriority w:val="99"/>
    <w:semiHidden/>
    <w:locked/>
    <w:rPr>
      <w:rFonts w:ascii="Times New Roman" w:eastAsia="Times New Roman" w:hAnsi="Times New Roman" w:cs="Times New Roman"/>
      <w:sz w:val="24"/>
      <w:szCs w:val="24"/>
      <w:lang w:val="fr-FR"/>
    </w:rPr>
  </w:style>
  <w:style w:type="character" w:customStyle="1" w:styleId="FooterChar1">
    <w:name w:val="Footer Char1"/>
    <w:basedOn w:val="DefaultParagraphFont"/>
    <w:uiPriority w:val="99"/>
    <w:semiHidden/>
    <w:locked/>
    <w:rPr>
      <w:rFonts w:ascii="Times New Roman" w:eastAsia="Times New Roman" w:hAnsi="Times New Roman" w:cs="Times New Roman"/>
      <w:sz w:val="24"/>
      <w:szCs w:val="24"/>
      <w:lang w:val="fr-FR"/>
    </w:rPr>
  </w:style>
  <w:style w:type="character" w:customStyle="1" w:styleId="FootnoteTextChar1">
    <w:name w:val="Footnote Text Char1"/>
    <w:basedOn w:val="DefaultParagraphFont"/>
    <w:uiPriority w:val="99"/>
    <w:semiHidden/>
    <w:locked/>
    <w:rPr>
      <w:rFonts w:ascii="Times New Roman" w:eastAsia="Times New Roman" w:hAnsi="Times New Roman" w:cs="Times New Roman"/>
      <w:sz w:val="24"/>
      <w:szCs w:val="20"/>
      <w:lang w:val="fr-FR"/>
    </w:rPr>
  </w:style>
  <w:style w:type="table" w:customStyle="1" w:styleId="TableGrid0">
    <w:name w:val="TableGrid"/>
    <w:pPr>
      <w:spacing w:after="0" w:line="240" w:lineRule="auto"/>
    </w:pPr>
    <w:rPr>
      <w:rFonts w:ascii="Times New Roman" w:eastAsiaTheme="minorEastAsia" w:hAnsi="Times New Roman" w:cs="Times New Roman"/>
      <w:sz w:val="20"/>
      <w:szCs w:val="20"/>
      <w:lang w:eastAsia="de-DE"/>
    </w:rPr>
    <w:tblPr>
      <w:tblCellMar>
        <w:top w:w="0" w:type="dxa"/>
        <w:left w:w="0" w:type="dxa"/>
        <w:bottom w:w="0" w:type="dxa"/>
        <w:right w:w="0" w:type="dxa"/>
      </w:tblCellMar>
    </w:tblPr>
  </w:style>
  <w:style w:type="paragraph" w:customStyle="1" w:styleId="Numpar">
    <w:name w:val="Numpar"/>
    <w:basedOn w:val="ManualNumPar1"/>
    <w:uiPriority w:val="99"/>
    <w:pPr>
      <w:outlineLvl w:val="0"/>
    </w:pPr>
    <w:rPr>
      <w:rFonts w:eastAsia="Times New Roman"/>
      <w:szCs w:val="24"/>
    </w:rPr>
  </w:style>
  <w:style w:type="character" w:styleId="Emphasis">
    <w:name w:val="Emphasis"/>
    <w:basedOn w:val="DefaultParagraphFont"/>
    <w:uiPriority w:val="20"/>
    <w:qFormat/>
    <w:rPr>
      <w:i/>
      <w:iCs/>
    </w:rPr>
  </w:style>
  <w:style w:type="paragraph" w:customStyle="1" w:styleId="norm">
    <w:name w:val="norm"/>
    <w:basedOn w:val="Normal"/>
    <w:pPr>
      <w:spacing w:before="100" w:beforeAutospacing="1" w:after="100" w:afterAutospacing="1"/>
      <w:jc w:val="left"/>
    </w:pPr>
    <w:rPr>
      <w:rFonts w:eastAsia="Times New Roman"/>
      <w:szCs w:val="24"/>
      <w:lang w:eastAsia="fr-BE"/>
    </w:rPr>
  </w:style>
  <w:style w:type="paragraph" w:customStyle="1" w:styleId="tbl-norm">
    <w:name w:val="tbl-norm"/>
    <w:basedOn w:val="Normal"/>
    <w:pPr>
      <w:spacing w:before="100" w:beforeAutospacing="1" w:after="100" w:afterAutospacing="1"/>
      <w:jc w:val="left"/>
    </w:pPr>
    <w:rPr>
      <w:rFonts w:eastAsia="Times New Roman"/>
      <w:szCs w:val="24"/>
      <w:lang w:eastAsia="fr-BE"/>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fr-FR"/>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fr-FR"/>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7"/>
      </w:numPr>
    </w:pPr>
  </w:style>
  <w:style w:type="paragraph" w:customStyle="1" w:styleId="Tiret1">
    <w:name w:val="Tiret 1"/>
    <w:basedOn w:val="Point1"/>
    <w:pPr>
      <w:numPr>
        <w:numId w:val="38"/>
      </w:numPr>
    </w:pPr>
  </w:style>
  <w:style w:type="paragraph" w:customStyle="1" w:styleId="Tiret2">
    <w:name w:val="Tiret 2"/>
    <w:basedOn w:val="Point2"/>
    <w:pPr>
      <w:numPr>
        <w:numId w:val="39"/>
      </w:numPr>
    </w:pPr>
  </w:style>
  <w:style w:type="paragraph" w:customStyle="1" w:styleId="Tiret3">
    <w:name w:val="Tiret 3"/>
    <w:basedOn w:val="Point3"/>
    <w:pPr>
      <w:numPr>
        <w:numId w:val="40"/>
      </w:numPr>
    </w:pPr>
  </w:style>
  <w:style w:type="paragraph" w:customStyle="1" w:styleId="Tiret4">
    <w:name w:val="Tiret 4"/>
    <w:basedOn w:val="Point4"/>
    <w:pPr>
      <w:numPr>
        <w:numId w:val="41"/>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2"/>
      </w:numPr>
    </w:pPr>
  </w:style>
  <w:style w:type="paragraph" w:customStyle="1" w:styleId="NumPar2">
    <w:name w:val="NumPar 2"/>
    <w:basedOn w:val="Normal"/>
    <w:next w:val="Text1"/>
    <w:pPr>
      <w:numPr>
        <w:ilvl w:val="1"/>
        <w:numId w:val="42"/>
      </w:numPr>
    </w:pPr>
  </w:style>
  <w:style w:type="paragraph" w:customStyle="1" w:styleId="NumPar3">
    <w:name w:val="NumPar 3"/>
    <w:basedOn w:val="Normal"/>
    <w:next w:val="Text1"/>
    <w:pPr>
      <w:numPr>
        <w:ilvl w:val="2"/>
        <w:numId w:val="42"/>
      </w:numPr>
    </w:pPr>
  </w:style>
  <w:style w:type="paragraph" w:customStyle="1" w:styleId="NumPar4">
    <w:name w:val="NumPar 4"/>
    <w:basedOn w:val="Normal"/>
    <w:next w:val="Text1"/>
    <w:pPr>
      <w:numPr>
        <w:ilvl w:val="3"/>
        <w:numId w:val="42"/>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4"/>
      </w:numPr>
    </w:pPr>
  </w:style>
  <w:style w:type="paragraph" w:customStyle="1" w:styleId="Point1number">
    <w:name w:val="Point 1 (number)"/>
    <w:basedOn w:val="Normal"/>
    <w:pPr>
      <w:numPr>
        <w:ilvl w:val="2"/>
        <w:numId w:val="44"/>
      </w:numPr>
    </w:pPr>
  </w:style>
  <w:style w:type="paragraph" w:customStyle="1" w:styleId="Point2number">
    <w:name w:val="Point 2 (number)"/>
    <w:basedOn w:val="Normal"/>
    <w:pPr>
      <w:numPr>
        <w:ilvl w:val="4"/>
        <w:numId w:val="44"/>
      </w:numPr>
    </w:pPr>
  </w:style>
  <w:style w:type="paragraph" w:customStyle="1" w:styleId="Point3number">
    <w:name w:val="Point 3 (number)"/>
    <w:basedOn w:val="Normal"/>
    <w:pPr>
      <w:numPr>
        <w:ilvl w:val="6"/>
        <w:numId w:val="44"/>
      </w:numPr>
    </w:pPr>
  </w:style>
  <w:style w:type="paragraph" w:customStyle="1" w:styleId="Point0letter">
    <w:name w:val="Point 0 (letter)"/>
    <w:basedOn w:val="Normal"/>
    <w:pPr>
      <w:numPr>
        <w:ilvl w:val="1"/>
        <w:numId w:val="44"/>
      </w:numPr>
    </w:pPr>
  </w:style>
  <w:style w:type="paragraph" w:customStyle="1" w:styleId="Point1letter">
    <w:name w:val="Point 1 (letter)"/>
    <w:basedOn w:val="Normal"/>
    <w:pPr>
      <w:numPr>
        <w:ilvl w:val="3"/>
        <w:numId w:val="44"/>
      </w:numPr>
    </w:pPr>
  </w:style>
  <w:style w:type="paragraph" w:customStyle="1" w:styleId="Point2letter">
    <w:name w:val="Point 2 (letter)"/>
    <w:basedOn w:val="Normal"/>
    <w:pPr>
      <w:numPr>
        <w:ilvl w:val="5"/>
        <w:numId w:val="44"/>
      </w:numPr>
    </w:pPr>
  </w:style>
  <w:style w:type="paragraph" w:customStyle="1" w:styleId="Point3letter">
    <w:name w:val="Point 3 (letter)"/>
    <w:basedOn w:val="Normal"/>
    <w:pPr>
      <w:numPr>
        <w:ilvl w:val="7"/>
        <w:numId w:val="44"/>
      </w:numPr>
    </w:pPr>
  </w:style>
  <w:style w:type="paragraph" w:customStyle="1" w:styleId="Point4letter">
    <w:name w:val="Point 4 (letter)"/>
    <w:basedOn w:val="Normal"/>
    <w:pPr>
      <w:numPr>
        <w:ilvl w:val="8"/>
        <w:numId w:val="44"/>
      </w:numPr>
    </w:pPr>
  </w:style>
  <w:style w:type="paragraph" w:customStyle="1" w:styleId="Bullet0">
    <w:name w:val="Bullet 0"/>
    <w:basedOn w:val="Normal"/>
    <w:pPr>
      <w:numPr>
        <w:numId w:val="45"/>
      </w:numPr>
    </w:pPr>
  </w:style>
  <w:style w:type="paragraph" w:customStyle="1" w:styleId="Bullet1">
    <w:name w:val="Bullet 1"/>
    <w:basedOn w:val="Normal"/>
    <w:pPr>
      <w:numPr>
        <w:numId w:val="46"/>
      </w:numPr>
    </w:pPr>
  </w:style>
  <w:style w:type="paragraph" w:customStyle="1" w:styleId="Bullet2">
    <w:name w:val="Bullet 2"/>
    <w:basedOn w:val="Normal"/>
    <w:pPr>
      <w:numPr>
        <w:numId w:val="47"/>
      </w:numPr>
    </w:pPr>
  </w:style>
  <w:style w:type="paragraph" w:customStyle="1" w:styleId="Bullet3">
    <w:name w:val="Bullet 3"/>
    <w:basedOn w:val="Normal"/>
    <w:pPr>
      <w:numPr>
        <w:numId w:val="48"/>
      </w:numPr>
    </w:pPr>
  </w:style>
  <w:style w:type="paragraph" w:customStyle="1" w:styleId="Bullet4">
    <w:name w:val="Bullet 4"/>
    <w:basedOn w:val="Normal"/>
    <w:pPr>
      <w:numPr>
        <w:numId w:val="49"/>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0"/>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709926">
      <w:bodyDiv w:val="1"/>
      <w:marLeft w:val="0"/>
      <w:marRight w:val="0"/>
      <w:marTop w:val="0"/>
      <w:marBottom w:val="0"/>
      <w:divBdr>
        <w:top w:val="none" w:sz="0" w:space="0" w:color="auto"/>
        <w:left w:val="none" w:sz="0" w:space="0" w:color="auto"/>
        <w:bottom w:val="none" w:sz="0" w:space="0" w:color="auto"/>
        <w:right w:val="none" w:sz="0" w:space="0" w:color="auto"/>
      </w:divBdr>
    </w:div>
    <w:div w:id="264534699">
      <w:bodyDiv w:val="1"/>
      <w:marLeft w:val="0"/>
      <w:marRight w:val="0"/>
      <w:marTop w:val="0"/>
      <w:marBottom w:val="0"/>
      <w:divBdr>
        <w:top w:val="none" w:sz="0" w:space="0" w:color="auto"/>
        <w:left w:val="none" w:sz="0" w:space="0" w:color="auto"/>
        <w:bottom w:val="none" w:sz="0" w:space="0" w:color="auto"/>
        <w:right w:val="none" w:sz="0" w:space="0" w:color="auto"/>
      </w:divBdr>
    </w:div>
    <w:div w:id="452215208">
      <w:bodyDiv w:val="1"/>
      <w:marLeft w:val="0"/>
      <w:marRight w:val="0"/>
      <w:marTop w:val="0"/>
      <w:marBottom w:val="0"/>
      <w:divBdr>
        <w:top w:val="none" w:sz="0" w:space="0" w:color="auto"/>
        <w:left w:val="none" w:sz="0" w:space="0" w:color="auto"/>
        <w:bottom w:val="none" w:sz="0" w:space="0" w:color="auto"/>
        <w:right w:val="none" w:sz="0" w:space="0" w:color="auto"/>
      </w:divBdr>
    </w:div>
    <w:div w:id="521280103">
      <w:bodyDiv w:val="1"/>
      <w:marLeft w:val="0"/>
      <w:marRight w:val="0"/>
      <w:marTop w:val="0"/>
      <w:marBottom w:val="0"/>
      <w:divBdr>
        <w:top w:val="none" w:sz="0" w:space="0" w:color="auto"/>
        <w:left w:val="none" w:sz="0" w:space="0" w:color="auto"/>
        <w:bottom w:val="none" w:sz="0" w:space="0" w:color="auto"/>
        <w:right w:val="none" w:sz="0" w:space="0" w:color="auto"/>
      </w:divBdr>
    </w:div>
    <w:div w:id="560554067">
      <w:bodyDiv w:val="1"/>
      <w:marLeft w:val="0"/>
      <w:marRight w:val="0"/>
      <w:marTop w:val="0"/>
      <w:marBottom w:val="0"/>
      <w:divBdr>
        <w:top w:val="none" w:sz="0" w:space="0" w:color="auto"/>
        <w:left w:val="none" w:sz="0" w:space="0" w:color="auto"/>
        <w:bottom w:val="none" w:sz="0" w:space="0" w:color="auto"/>
        <w:right w:val="none" w:sz="0" w:space="0" w:color="auto"/>
      </w:divBdr>
    </w:div>
    <w:div w:id="625426111">
      <w:bodyDiv w:val="1"/>
      <w:marLeft w:val="0"/>
      <w:marRight w:val="0"/>
      <w:marTop w:val="0"/>
      <w:marBottom w:val="0"/>
      <w:divBdr>
        <w:top w:val="none" w:sz="0" w:space="0" w:color="auto"/>
        <w:left w:val="none" w:sz="0" w:space="0" w:color="auto"/>
        <w:bottom w:val="none" w:sz="0" w:space="0" w:color="auto"/>
        <w:right w:val="none" w:sz="0" w:space="0" w:color="auto"/>
      </w:divBdr>
    </w:div>
    <w:div w:id="934050381">
      <w:bodyDiv w:val="1"/>
      <w:marLeft w:val="0"/>
      <w:marRight w:val="0"/>
      <w:marTop w:val="0"/>
      <w:marBottom w:val="0"/>
      <w:divBdr>
        <w:top w:val="none" w:sz="0" w:space="0" w:color="auto"/>
        <w:left w:val="none" w:sz="0" w:space="0" w:color="auto"/>
        <w:bottom w:val="none" w:sz="0" w:space="0" w:color="auto"/>
        <w:right w:val="none" w:sz="0" w:space="0" w:color="auto"/>
      </w:divBdr>
    </w:div>
    <w:div w:id="1052778395">
      <w:bodyDiv w:val="1"/>
      <w:marLeft w:val="0"/>
      <w:marRight w:val="0"/>
      <w:marTop w:val="0"/>
      <w:marBottom w:val="0"/>
      <w:divBdr>
        <w:top w:val="none" w:sz="0" w:space="0" w:color="auto"/>
        <w:left w:val="none" w:sz="0" w:space="0" w:color="auto"/>
        <w:bottom w:val="none" w:sz="0" w:space="0" w:color="auto"/>
        <w:right w:val="none" w:sz="0" w:space="0" w:color="auto"/>
      </w:divBdr>
    </w:div>
    <w:div w:id="1113355678">
      <w:bodyDiv w:val="1"/>
      <w:marLeft w:val="0"/>
      <w:marRight w:val="0"/>
      <w:marTop w:val="0"/>
      <w:marBottom w:val="0"/>
      <w:divBdr>
        <w:top w:val="none" w:sz="0" w:space="0" w:color="auto"/>
        <w:left w:val="none" w:sz="0" w:space="0" w:color="auto"/>
        <w:bottom w:val="none" w:sz="0" w:space="0" w:color="auto"/>
        <w:right w:val="none" w:sz="0" w:space="0" w:color="auto"/>
      </w:divBdr>
    </w:div>
    <w:div w:id="1125076257">
      <w:bodyDiv w:val="1"/>
      <w:marLeft w:val="0"/>
      <w:marRight w:val="0"/>
      <w:marTop w:val="0"/>
      <w:marBottom w:val="0"/>
      <w:divBdr>
        <w:top w:val="none" w:sz="0" w:space="0" w:color="auto"/>
        <w:left w:val="none" w:sz="0" w:space="0" w:color="auto"/>
        <w:bottom w:val="none" w:sz="0" w:space="0" w:color="auto"/>
        <w:right w:val="none" w:sz="0" w:space="0" w:color="auto"/>
      </w:divBdr>
    </w:div>
    <w:div w:id="1196499002">
      <w:bodyDiv w:val="1"/>
      <w:marLeft w:val="0"/>
      <w:marRight w:val="0"/>
      <w:marTop w:val="0"/>
      <w:marBottom w:val="0"/>
      <w:divBdr>
        <w:top w:val="none" w:sz="0" w:space="0" w:color="auto"/>
        <w:left w:val="none" w:sz="0" w:space="0" w:color="auto"/>
        <w:bottom w:val="none" w:sz="0" w:space="0" w:color="auto"/>
        <w:right w:val="none" w:sz="0" w:space="0" w:color="auto"/>
      </w:divBdr>
    </w:div>
    <w:div w:id="1218052149">
      <w:bodyDiv w:val="1"/>
      <w:marLeft w:val="0"/>
      <w:marRight w:val="0"/>
      <w:marTop w:val="0"/>
      <w:marBottom w:val="0"/>
      <w:divBdr>
        <w:top w:val="none" w:sz="0" w:space="0" w:color="auto"/>
        <w:left w:val="none" w:sz="0" w:space="0" w:color="auto"/>
        <w:bottom w:val="none" w:sz="0" w:space="0" w:color="auto"/>
        <w:right w:val="none" w:sz="0" w:space="0" w:color="auto"/>
      </w:divBdr>
    </w:div>
    <w:div w:id="1365790157">
      <w:bodyDiv w:val="1"/>
      <w:marLeft w:val="0"/>
      <w:marRight w:val="0"/>
      <w:marTop w:val="0"/>
      <w:marBottom w:val="0"/>
      <w:divBdr>
        <w:top w:val="none" w:sz="0" w:space="0" w:color="auto"/>
        <w:left w:val="none" w:sz="0" w:space="0" w:color="auto"/>
        <w:bottom w:val="none" w:sz="0" w:space="0" w:color="auto"/>
        <w:right w:val="none" w:sz="0" w:space="0" w:color="auto"/>
      </w:divBdr>
    </w:div>
    <w:div w:id="1703050843">
      <w:bodyDiv w:val="1"/>
      <w:marLeft w:val="0"/>
      <w:marRight w:val="0"/>
      <w:marTop w:val="0"/>
      <w:marBottom w:val="0"/>
      <w:divBdr>
        <w:top w:val="none" w:sz="0" w:space="0" w:color="auto"/>
        <w:left w:val="none" w:sz="0" w:space="0" w:color="auto"/>
        <w:bottom w:val="none" w:sz="0" w:space="0" w:color="auto"/>
        <w:right w:val="none" w:sz="0" w:space="0" w:color="auto"/>
      </w:divBdr>
    </w:div>
    <w:div w:id="1880170039">
      <w:bodyDiv w:val="1"/>
      <w:marLeft w:val="0"/>
      <w:marRight w:val="0"/>
      <w:marTop w:val="0"/>
      <w:marBottom w:val="0"/>
      <w:divBdr>
        <w:top w:val="none" w:sz="0" w:space="0" w:color="auto"/>
        <w:left w:val="none" w:sz="0" w:space="0" w:color="auto"/>
        <w:bottom w:val="none" w:sz="0" w:space="0" w:color="auto"/>
        <w:right w:val="none" w:sz="0" w:space="0" w:color="auto"/>
      </w:divBdr>
    </w:div>
    <w:div w:id="2050446745">
      <w:bodyDiv w:val="1"/>
      <w:marLeft w:val="0"/>
      <w:marRight w:val="0"/>
      <w:marTop w:val="0"/>
      <w:marBottom w:val="0"/>
      <w:divBdr>
        <w:top w:val="none" w:sz="0" w:space="0" w:color="auto"/>
        <w:left w:val="none" w:sz="0" w:space="0" w:color="auto"/>
        <w:bottom w:val="none" w:sz="0" w:space="0" w:color="auto"/>
        <w:right w:val="none" w:sz="0" w:space="0" w:color="auto"/>
      </w:divBdr>
    </w:div>
    <w:div w:id="2115439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ANNEX.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EB7BE4-DFD2-42F3-A192-30D3C4D91B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ANNEX.dotm</Template>
  <TotalTime>4</TotalTime>
  <Pages>95</Pages>
  <Words>23348</Words>
  <Characters>117674</Characters>
  <Application>Microsoft Office Word</Application>
  <DocSecurity>0</DocSecurity>
  <Lines>23534</Lines>
  <Paragraphs>8813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132209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KISIELIAUSKAS Mindaugas (HR)</dc:creator>
  <cp:lastModifiedBy>DIGIT/C6</cp:lastModifiedBy>
  <cp:revision>9</cp:revision>
  <cp:lastPrinted>2017-10-20T14:02:00Z</cp:lastPrinted>
  <dcterms:created xsi:type="dcterms:W3CDTF">2020-10-19T09:12:00Z</dcterms:created>
  <dcterms:modified xsi:type="dcterms:W3CDTF">2020-10-20T12:18:00Z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COM/ANNEX</vt:lpwstr>
  </property>
  <property fmtid="{D5CDD505-2E9C-101B-9397-08002B2CF9AE}" pid="3" name="Version">
    <vt:lpwstr>5.84.2.0</vt:lpwstr>
  </property>
  <property fmtid="{D5CDD505-2E9C-101B-9397-08002B2CF9AE}" pid="4" name="Last edited using">
    <vt:lpwstr>LW 7.0, Build 20190717</vt:lpwstr>
  </property>
  <property fmtid="{D5CDD505-2E9C-101B-9397-08002B2CF9AE}" pid="5" name="Created using">
    <vt:lpwstr>LW 5.8.4, Build 20150407</vt:lpwstr>
  </property>
  <property fmtid="{D5CDD505-2E9C-101B-9397-08002B2CF9AE}" pid="6" name="First annex">
    <vt:lpwstr>1</vt:lpwstr>
  </property>
  <property fmtid="{D5CDD505-2E9C-101B-9397-08002B2CF9AE}" pid="7" name="Last annex">
    <vt:lpwstr>1</vt:lpwstr>
  </property>
  <property fmtid="{D5CDD505-2E9C-101B-9397-08002B2CF9AE}" pid="8" name="Part">
    <vt:lpwstr>1</vt:lpwstr>
  </property>
  <property fmtid="{D5CDD505-2E9C-101B-9397-08002B2CF9AE}" pid="9" name="Total parts">
    <vt:lpwstr>1</vt:lpwstr>
  </property>
  <property fmtid="{D5CDD505-2E9C-101B-9397-08002B2CF9AE}" pid="10" name="LWTemplateID">
    <vt:lpwstr>SG-017</vt:lpwstr>
  </property>
  <property fmtid="{D5CDD505-2E9C-101B-9397-08002B2CF9AE}" pid="11" name="Level of sensitivity">
    <vt:lpwstr>Standard treatment</vt:lpwstr>
  </property>
  <property fmtid="{D5CDD505-2E9C-101B-9397-08002B2CF9AE}" pid="12" name="Unique annex">
    <vt:lpwstr>0</vt:lpwstr>
  </property>
  <property fmtid="{D5CDD505-2E9C-101B-9397-08002B2CF9AE}" pid="13" name="DQCStatus">
    <vt:lpwstr>Green (DQC version 03)</vt:lpwstr>
  </property>
</Properties>
</file>