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alt="7797D97E-D9B7-42B8-8EA1-CCE551C822B5" style="width:450.75pt;height:383.15pt">
            <v:imagedata r:id="rId9" o:title=""/>
          </v:shape>
        </w:pict>
      </w:r>
    </w:p>
    <w:p>
      <w:pPr>
        <w:rPr>
          <w:noProof/>
        </w:rPr>
        <w:sectPr>
          <w:headerReference w:type="even" r:id="rId10"/>
          <w:headerReference w:type="default" r:id="rId11"/>
          <w:footerReference w:type="even" r:id="rId12"/>
          <w:footerReference w:type="default" r:id="rId13"/>
          <w:headerReference w:type="first" r:id="rId14"/>
          <w:footerReference w:type="first" r:id="rId15"/>
          <w:pgSz w:w="11907" w:h="16839"/>
          <w:pgMar w:top="1134" w:right="1417" w:bottom="1134" w:left="1417" w:header="709" w:footer="709" w:gutter="0"/>
          <w:pgNumType w:start="1"/>
          <w:cols w:space="720"/>
          <w:docGrid w:linePitch="360"/>
        </w:sectPr>
      </w:pPr>
    </w:p>
    <w:p>
      <w:pPr>
        <w:pStyle w:val="NormalCentered"/>
        <w:rPr>
          <w:rFonts w:eastAsia="Calibri"/>
          <w:noProof/>
        </w:rPr>
      </w:pPr>
      <w:bookmarkStart w:id="0" w:name="_GoBack"/>
      <w:bookmarkEnd w:id="0"/>
      <w:r>
        <w:rPr>
          <w:rFonts w:eastAsia="Calibri"/>
          <w:noProof/>
        </w:rPr>
        <w:lastRenderedPageBreak/>
        <w:t>LIST OF ANNEXES</w:t>
      </w:r>
    </w:p>
    <w:tbl>
      <w:tblPr>
        <w:tblW w:w="0" w:type="auto"/>
        <w:tblLayout w:type="fixed"/>
        <w:tblLook w:val="04A0" w:firstRow="1" w:lastRow="0" w:firstColumn="1" w:lastColumn="0" w:noHBand="0" w:noVBand="1"/>
      </w:tblPr>
      <w:tblGrid>
        <w:gridCol w:w="2124"/>
        <w:gridCol w:w="6574"/>
      </w:tblGrid>
      <w:tr>
        <w:trPr>
          <w:trHeight w:val="227"/>
        </w:trPr>
        <w:tc>
          <w:tcPr>
            <w:tcW w:w="2124" w:type="dxa"/>
            <w:hideMark/>
          </w:tcPr>
          <w:p>
            <w:pPr>
              <w:spacing w:before="60" w:after="60"/>
              <w:rPr>
                <w:rFonts w:eastAsia="Calibri"/>
                <w:noProof/>
                <w:lang w:val="en-US"/>
              </w:rPr>
            </w:pPr>
            <w:r>
              <w:rPr>
                <w:rFonts w:eastAsia="Calibri"/>
                <w:noProof/>
                <w:lang w:val="en-US"/>
              </w:rPr>
              <w:t>ANNEX I:</w:t>
            </w:r>
          </w:p>
        </w:tc>
        <w:tc>
          <w:tcPr>
            <w:tcW w:w="6574" w:type="dxa"/>
            <w:hideMark/>
          </w:tcPr>
          <w:p>
            <w:pPr>
              <w:spacing w:before="60" w:after="60"/>
              <w:rPr>
                <w:rFonts w:eastAsia="Calibri"/>
                <w:noProof/>
                <w:lang w:val="en-US"/>
              </w:rPr>
            </w:pPr>
            <w:r>
              <w:rPr>
                <w:rFonts w:eastAsia="Calibri"/>
                <w:noProof/>
                <w:lang w:val="en-US"/>
              </w:rPr>
              <w:t>TACs applicable to Union fishing vessels in areas where TACs exist by species and by area</w:t>
            </w:r>
          </w:p>
        </w:tc>
      </w:tr>
      <w:tr>
        <w:trPr>
          <w:trHeight w:val="227"/>
        </w:trPr>
        <w:tc>
          <w:tcPr>
            <w:tcW w:w="2124" w:type="dxa"/>
            <w:hideMark/>
          </w:tcPr>
          <w:p>
            <w:pPr>
              <w:spacing w:before="60" w:after="60"/>
              <w:rPr>
                <w:rFonts w:eastAsia="Calibri"/>
                <w:noProof/>
                <w:lang w:val="en-US"/>
              </w:rPr>
            </w:pPr>
            <w:r>
              <w:rPr>
                <w:rFonts w:eastAsia="Calibri"/>
                <w:noProof/>
                <w:lang w:val="en-US"/>
              </w:rPr>
              <w:t>ANNEX IA:</w:t>
            </w:r>
          </w:p>
        </w:tc>
        <w:tc>
          <w:tcPr>
            <w:tcW w:w="6574" w:type="dxa"/>
            <w:hideMark/>
          </w:tcPr>
          <w:p>
            <w:pPr>
              <w:spacing w:before="60" w:after="60"/>
              <w:rPr>
                <w:rFonts w:eastAsia="Calibri"/>
                <w:noProof/>
                <w:lang w:val="en-US"/>
              </w:rPr>
            </w:pPr>
            <w:r>
              <w:rPr>
                <w:rFonts w:eastAsia="Calibri"/>
                <w:noProof/>
                <w:lang w:val="en-US"/>
              </w:rPr>
              <w:t>Skagerrak, Kattegat, ICES subareas 1, 2, 3, 4, 5, 6, 7, 8, 9, 10, 12 and 14, Union waters of CECAF, French Guiana waters</w:t>
            </w:r>
          </w:p>
        </w:tc>
      </w:tr>
      <w:tr>
        <w:trPr>
          <w:trHeight w:val="227"/>
        </w:trPr>
        <w:tc>
          <w:tcPr>
            <w:tcW w:w="2124" w:type="dxa"/>
            <w:hideMark/>
          </w:tcPr>
          <w:p>
            <w:pPr>
              <w:spacing w:before="60" w:after="60"/>
              <w:rPr>
                <w:rFonts w:eastAsia="Calibri"/>
                <w:noProof/>
                <w:lang w:val="en-US"/>
              </w:rPr>
            </w:pPr>
            <w:r>
              <w:rPr>
                <w:rFonts w:eastAsia="Calibri"/>
                <w:noProof/>
                <w:lang w:val="en-US"/>
              </w:rPr>
              <w:t>ANNEX IB:</w:t>
            </w:r>
          </w:p>
        </w:tc>
        <w:tc>
          <w:tcPr>
            <w:tcW w:w="6574" w:type="dxa"/>
            <w:hideMark/>
          </w:tcPr>
          <w:p>
            <w:pPr>
              <w:spacing w:before="60" w:after="60"/>
              <w:rPr>
                <w:rFonts w:eastAsia="Calibri"/>
                <w:noProof/>
                <w:lang w:val="en-US"/>
              </w:rPr>
            </w:pPr>
            <w:r>
              <w:rPr>
                <w:rFonts w:eastAsia="Calibri"/>
                <w:noProof/>
                <w:lang w:val="en-US"/>
              </w:rPr>
              <w:t>North East Atlantic and Greenland, ICES subareas 1, 2, 5, 12 and 14 and Greenland waters of NAFO 1</w:t>
            </w:r>
          </w:p>
        </w:tc>
      </w:tr>
      <w:tr>
        <w:trPr>
          <w:trHeight w:val="227"/>
        </w:trPr>
        <w:tc>
          <w:tcPr>
            <w:tcW w:w="2124" w:type="dxa"/>
            <w:hideMark/>
          </w:tcPr>
          <w:p>
            <w:pPr>
              <w:spacing w:before="60" w:after="60"/>
              <w:rPr>
                <w:rFonts w:eastAsia="Calibri"/>
                <w:noProof/>
                <w:lang w:val="en-US"/>
              </w:rPr>
            </w:pPr>
            <w:r>
              <w:rPr>
                <w:rFonts w:eastAsia="Calibri"/>
                <w:noProof/>
                <w:lang w:val="en-US"/>
              </w:rPr>
              <w:t>ANNEX IC:</w:t>
            </w:r>
          </w:p>
        </w:tc>
        <w:tc>
          <w:tcPr>
            <w:tcW w:w="6574" w:type="dxa"/>
            <w:hideMark/>
          </w:tcPr>
          <w:p>
            <w:pPr>
              <w:spacing w:before="60" w:after="60"/>
              <w:rPr>
                <w:rFonts w:eastAsia="Calibri"/>
                <w:noProof/>
                <w:lang w:val="en-US"/>
              </w:rPr>
            </w:pPr>
            <w:r>
              <w:rPr>
                <w:rFonts w:eastAsia="Calibri"/>
                <w:noProof/>
                <w:lang w:val="en-US"/>
              </w:rPr>
              <w:t>North West Atlantic – NAFO Convention Area</w:t>
            </w:r>
          </w:p>
        </w:tc>
      </w:tr>
      <w:tr>
        <w:trPr>
          <w:trHeight w:val="227"/>
        </w:trPr>
        <w:tc>
          <w:tcPr>
            <w:tcW w:w="2124" w:type="dxa"/>
            <w:hideMark/>
          </w:tcPr>
          <w:p>
            <w:pPr>
              <w:spacing w:before="60" w:after="60"/>
              <w:rPr>
                <w:rFonts w:eastAsia="Calibri"/>
                <w:noProof/>
                <w:lang w:val="en-US"/>
              </w:rPr>
            </w:pPr>
            <w:r>
              <w:rPr>
                <w:rFonts w:eastAsia="Calibri"/>
                <w:noProof/>
                <w:lang w:val="en-US"/>
              </w:rPr>
              <w:t>ANNEX ID:</w:t>
            </w:r>
          </w:p>
        </w:tc>
        <w:tc>
          <w:tcPr>
            <w:tcW w:w="6574" w:type="dxa"/>
            <w:hideMark/>
          </w:tcPr>
          <w:p>
            <w:pPr>
              <w:spacing w:before="60" w:after="60"/>
              <w:rPr>
                <w:rFonts w:eastAsia="Calibri"/>
                <w:noProof/>
                <w:lang w:val="en-US"/>
              </w:rPr>
            </w:pPr>
            <w:r>
              <w:rPr>
                <w:rFonts w:eastAsia="Calibri"/>
                <w:noProof/>
                <w:lang w:val="en-US"/>
              </w:rPr>
              <w:t>ICCAT Convention Area</w:t>
            </w:r>
          </w:p>
        </w:tc>
      </w:tr>
      <w:tr>
        <w:trPr>
          <w:trHeight w:val="227"/>
        </w:trPr>
        <w:tc>
          <w:tcPr>
            <w:tcW w:w="2124" w:type="dxa"/>
            <w:hideMark/>
          </w:tcPr>
          <w:p>
            <w:pPr>
              <w:spacing w:before="60" w:after="60"/>
              <w:rPr>
                <w:rFonts w:eastAsia="Calibri"/>
                <w:noProof/>
                <w:lang w:val="en-US"/>
              </w:rPr>
            </w:pPr>
            <w:r>
              <w:rPr>
                <w:rFonts w:eastAsia="Calibri"/>
                <w:noProof/>
                <w:lang w:val="en-US"/>
              </w:rPr>
              <w:t>ANNEX IE:</w:t>
            </w:r>
          </w:p>
        </w:tc>
        <w:tc>
          <w:tcPr>
            <w:tcW w:w="6574" w:type="dxa"/>
            <w:hideMark/>
          </w:tcPr>
          <w:p>
            <w:pPr>
              <w:spacing w:before="60" w:after="60"/>
              <w:rPr>
                <w:rFonts w:eastAsia="Calibri"/>
                <w:noProof/>
                <w:lang w:val="en-US"/>
              </w:rPr>
            </w:pPr>
            <w:r>
              <w:rPr>
                <w:rFonts w:eastAsia="Calibri"/>
                <w:noProof/>
                <w:lang w:val="en-US"/>
              </w:rPr>
              <w:t>South-East Atlantic Ocean – SEAFO Convention Area</w:t>
            </w:r>
          </w:p>
        </w:tc>
      </w:tr>
      <w:tr>
        <w:trPr>
          <w:trHeight w:val="227"/>
        </w:trPr>
        <w:tc>
          <w:tcPr>
            <w:tcW w:w="2124" w:type="dxa"/>
            <w:hideMark/>
          </w:tcPr>
          <w:p>
            <w:pPr>
              <w:spacing w:before="60" w:after="60"/>
              <w:rPr>
                <w:rFonts w:eastAsia="Calibri"/>
                <w:noProof/>
                <w:lang w:val="en-US"/>
              </w:rPr>
            </w:pPr>
            <w:r>
              <w:rPr>
                <w:rFonts w:eastAsia="Calibri"/>
                <w:noProof/>
                <w:lang w:val="en-US"/>
              </w:rPr>
              <w:t>ANNEX IF:</w:t>
            </w:r>
          </w:p>
        </w:tc>
        <w:tc>
          <w:tcPr>
            <w:tcW w:w="6574" w:type="dxa"/>
            <w:hideMark/>
          </w:tcPr>
          <w:p>
            <w:pPr>
              <w:spacing w:before="60" w:after="60"/>
              <w:rPr>
                <w:rFonts w:eastAsia="Calibri"/>
                <w:noProof/>
                <w:lang w:val="en-US"/>
              </w:rPr>
            </w:pPr>
            <w:r>
              <w:rPr>
                <w:rFonts w:eastAsia="Calibri"/>
                <w:noProof/>
                <w:lang w:val="en-US"/>
              </w:rPr>
              <w:t>Southern bluefin tuna – areas of distribution</w:t>
            </w:r>
          </w:p>
        </w:tc>
      </w:tr>
      <w:tr>
        <w:trPr>
          <w:trHeight w:val="227"/>
        </w:trPr>
        <w:tc>
          <w:tcPr>
            <w:tcW w:w="2124" w:type="dxa"/>
            <w:hideMark/>
          </w:tcPr>
          <w:p>
            <w:pPr>
              <w:spacing w:before="60" w:after="60"/>
              <w:rPr>
                <w:rFonts w:eastAsia="Calibri"/>
                <w:noProof/>
                <w:lang w:val="en-US"/>
              </w:rPr>
            </w:pPr>
            <w:r>
              <w:rPr>
                <w:rFonts w:eastAsia="Calibri"/>
                <w:noProof/>
                <w:lang w:val="en-US"/>
              </w:rPr>
              <w:t>ANNEX IG:</w:t>
            </w:r>
          </w:p>
        </w:tc>
        <w:tc>
          <w:tcPr>
            <w:tcW w:w="6574" w:type="dxa"/>
            <w:hideMark/>
          </w:tcPr>
          <w:p>
            <w:pPr>
              <w:spacing w:before="60" w:after="60"/>
              <w:rPr>
                <w:rFonts w:eastAsia="Calibri"/>
                <w:noProof/>
                <w:lang w:val="en-US"/>
              </w:rPr>
            </w:pPr>
            <w:r>
              <w:rPr>
                <w:rFonts w:eastAsia="Calibri"/>
                <w:noProof/>
                <w:lang w:val="en-US"/>
              </w:rPr>
              <w:t>WCPFC Convention Area</w:t>
            </w:r>
          </w:p>
        </w:tc>
      </w:tr>
      <w:tr>
        <w:trPr>
          <w:trHeight w:val="227"/>
        </w:trPr>
        <w:tc>
          <w:tcPr>
            <w:tcW w:w="2124" w:type="dxa"/>
            <w:hideMark/>
          </w:tcPr>
          <w:p>
            <w:pPr>
              <w:spacing w:before="60" w:after="60"/>
              <w:rPr>
                <w:rFonts w:eastAsia="Calibri"/>
                <w:noProof/>
                <w:lang w:val="en-US"/>
              </w:rPr>
            </w:pPr>
            <w:r>
              <w:rPr>
                <w:rFonts w:eastAsia="Calibri"/>
                <w:noProof/>
                <w:lang w:val="en-US"/>
              </w:rPr>
              <w:t>ANNEX IH:</w:t>
            </w:r>
          </w:p>
        </w:tc>
        <w:tc>
          <w:tcPr>
            <w:tcW w:w="6574" w:type="dxa"/>
            <w:hideMark/>
          </w:tcPr>
          <w:p>
            <w:pPr>
              <w:spacing w:before="60" w:after="60"/>
              <w:rPr>
                <w:rFonts w:eastAsia="Calibri"/>
                <w:noProof/>
                <w:lang w:val="en-US"/>
              </w:rPr>
            </w:pPr>
            <w:r>
              <w:rPr>
                <w:rFonts w:eastAsia="Calibri"/>
                <w:noProof/>
                <w:lang w:val="en-US"/>
              </w:rPr>
              <w:t>SPRFMO Convention Area</w:t>
            </w:r>
          </w:p>
        </w:tc>
      </w:tr>
      <w:tr>
        <w:trPr>
          <w:trHeight w:val="227"/>
        </w:trPr>
        <w:tc>
          <w:tcPr>
            <w:tcW w:w="2124" w:type="dxa"/>
            <w:hideMark/>
          </w:tcPr>
          <w:p>
            <w:pPr>
              <w:spacing w:before="60" w:after="60"/>
              <w:rPr>
                <w:rFonts w:eastAsia="Calibri"/>
                <w:noProof/>
                <w:lang w:val="en-US"/>
              </w:rPr>
            </w:pPr>
            <w:r>
              <w:rPr>
                <w:rFonts w:eastAsia="Calibri"/>
                <w:noProof/>
                <w:lang w:val="en-US"/>
              </w:rPr>
              <w:t>ANNEX IJ:</w:t>
            </w:r>
          </w:p>
        </w:tc>
        <w:tc>
          <w:tcPr>
            <w:tcW w:w="6574" w:type="dxa"/>
            <w:hideMark/>
          </w:tcPr>
          <w:p>
            <w:pPr>
              <w:spacing w:before="60" w:after="60"/>
              <w:rPr>
                <w:rFonts w:eastAsia="Calibri"/>
                <w:noProof/>
                <w:lang w:val="en-US"/>
              </w:rPr>
            </w:pPr>
            <w:r>
              <w:rPr>
                <w:rFonts w:eastAsia="Calibri"/>
                <w:noProof/>
                <w:lang w:val="en-US"/>
              </w:rPr>
              <w:t>IOTC Area of Competence</w:t>
            </w:r>
          </w:p>
        </w:tc>
      </w:tr>
      <w:tr>
        <w:trPr>
          <w:trHeight w:val="227"/>
        </w:trPr>
        <w:tc>
          <w:tcPr>
            <w:tcW w:w="2124" w:type="dxa"/>
            <w:hideMark/>
          </w:tcPr>
          <w:p>
            <w:pPr>
              <w:spacing w:before="60" w:after="60"/>
              <w:rPr>
                <w:rFonts w:eastAsia="Calibri"/>
                <w:noProof/>
                <w:lang w:val="en-US"/>
              </w:rPr>
            </w:pPr>
            <w:r>
              <w:rPr>
                <w:rFonts w:eastAsia="Calibri"/>
                <w:noProof/>
                <w:lang w:val="en-US"/>
              </w:rPr>
              <w:t>ANNEX IK:</w:t>
            </w:r>
          </w:p>
        </w:tc>
        <w:tc>
          <w:tcPr>
            <w:tcW w:w="6574" w:type="dxa"/>
            <w:hideMark/>
          </w:tcPr>
          <w:p>
            <w:pPr>
              <w:spacing w:before="60" w:after="60"/>
              <w:rPr>
                <w:rFonts w:eastAsia="Calibri"/>
                <w:noProof/>
                <w:lang w:val="en-US"/>
              </w:rPr>
            </w:pPr>
            <w:r>
              <w:rPr>
                <w:rFonts w:eastAsia="Calibri"/>
                <w:noProof/>
                <w:lang w:val="en-US"/>
              </w:rPr>
              <w:t>SIOFA Agreement Area</w:t>
            </w:r>
          </w:p>
        </w:tc>
      </w:tr>
      <w:tr>
        <w:trPr>
          <w:trHeight w:val="227"/>
        </w:trPr>
        <w:tc>
          <w:tcPr>
            <w:tcW w:w="2124" w:type="dxa"/>
            <w:hideMark/>
          </w:tcPr>
          <w:p>
            <w:pPr>
              <w:spacing w:before="60" w:after="60"/>
              <w:rPr>
                <w:rFonts w:eastAsia="Calibri"/>
                <w:noProof/>
                <w:lang w:val="en-US"/>
              </w:rPr>
            </w:pPr>
            <w:r>
              <w:rPr>
                <w:rFonts w:eastAsia="Calibri"/>
                <w:noProof/>
                <w:lang w:val="en-US"/>
              </w:rPr>
              <w:t>ANNEX IL:</w:t>
            </w:r>
          </w:p>
        </w:tc>
        <w:tc>
          <w:tcPr>
            <w:tcW w:w="6574" w:type="dxa"/>
            <w:hideMark/>
          </w:tcPr>
          <w:p>
            <w:pPr>
              <w:spacing w:before="60" w:after="60"/>
              <w:rPr>
                <w:rFonts w:eastAsia="Calibri"/>
                <w:noProof/>
                <w:lang w:val="en-US"/>
              </w:rPr>
            </w:pPr>
            <w:r>
              <w:rPr>
                <w:noProof/>
                <w:lang w:val="de-DE"/>
              </w:rPr>
              <w:t>IATTC Convention Area</w:t>
            </w:r>
          </w:p>
        </w:tc>
      </w:tr>
      <w:tr>
        <w:trPr>
          <w:trHeight w:val="227"/>
        </w:trPr>
        <w:tc>
          <w:tcPr>
            <w:tcW w:w="2124" w:type="dxa"/>
            <w:hideMark/>
          </w:tcPr>
          <w:p>
            <w:pPr>
              <w:spacing w:before="60" w:after="60"/>
              <w:rPr>
                <w:rFonts w:eastAsia="Calibri"/>
                <w:noProof/>
                <w:lang w:val="en-US"/>
              </w:rPr>
            </w:pPr>
            <w:r>
              <w:rPr>
                <w:rFonts w:eastAsia="Calibri"/>
                <w:noProof/>
                <w:lang w:val="en-US"/>
              </w:rPr>
              <w:t>ANNEX II:</w:t>
            </w:r>
          </w:p>
        </w:tc>
        <w:tc>
          <w:tcPr>
            <w:tcW w:w="6574" w:type="dxa"/>
            <w:hideMark/>
          </w:tcPr>
          <w:p>
            <w:pPr>
              <w:spacing w:before="60" w:after="60"/>
              <w:rPr>
                <w:rFonts w:eastAsia="Calibri"/>
                <w:noProof/>
                <w:lang w:val="en-US"/>
              </w:rPr>
            </w:pPr>
            <w:r>
              <w:rPr>
                <w:rFonts w:eastAsia="Calibri"/>
                <w:noProof/>
                <w:lang w:val="en-US"/>
              </w:rPr>
              <w:t>Fishing effort for vessels in the context of the management of Western Channel sole stocks in ICES division 7e</w:t>
            </w:r>
          </w:p>
        </w:tc>
      </w:tr>
      <w:tr>
        <w:trPr>
          <w:trHeight w:val="227"/>
        </w:trPr>
        <w:tc>
          <w:tcPr>
            <w:tcW w:w="2124" w:type="dxa"/>
            <w:hideMark/>
          </w:tcPr>
          <w:p>
            <w:pPr>
              <w:spacing w:before="60" w:after="60"/>
              <w:rPr>
                <w:rFonts w:eastAsia="Calibri"/>
                <w:noProof/>
                <w:lang w:val="en-US"/>
              </w:rPr>
            </w:pPr>
            <w:r>
              <w:rPr>
                <w:rFonts w:eastAsia="Calibri"/>
                <w:noProof/>
                <w:lang w:val="en-US"/>
              </w:rPr>
              <w:t>ANNEX III:</w:t>
            </w:r>
          </w:p>
        </w:tc>
        <w:tc>
          <w:tcPr>
            <w:tcW w:w="6574" w:type="dxa"/>
            <w:hideMark/>
          </w:tcPr>
          <w:p>
            <w:pPr>
              <w:spacing w:before="60" w:after="60"/>
              <w:rPr>
                <w:rFonts w:eastAsia="Calibri"/>
                <w:noProof/>
                <w:lang w:val="en-US"/>
              </w:rPr>
            </w:pPr>
            <w:r>
              <w:rPr>
                <w:rFonts w:eastAsia="Calibri"/>
                <w:noProof/>
                <w:lang w:val="en-US"/>
              </w:rPr>
              <w:t>Management areas for sandeel in ICES divisions 2a, 3a and ICES subarea 4</w:t>
            </w:r>
          </w:p>
        </w:tc>
      </w:tr>
      <w:tr>
        <w:trPr>
          <w:trHeight w:val="227"/>
        </w:trPr>
        <w:tc>
          <w:tcPr>
            <w:tcW w:w="2124" w:type="dxa"/>
            <w:hideMark/>
          </w:tcPr>
          <w:p>
            <w:pPr>
              <w:spacing w:before="60" w:after="60"/>
              <w:rPr>
                <w:rFonts w:eastAsia="Calibri"/>
                <w:noProof/>
                <w:lang w:val="en-US"/>
              </w:rPr>
            </w:pPr>
            <w:r>
              <w:rPr>
                <w:rFonts w:eastAsia="Calibri"/>
                <w:noProof/>
                <w:lang w:val="en-US"/>
              </w:rPr>
              <w:t>ANNEX IV:</w:t>
            </w:r>
          </w:p>
        </w:tc>
        <w:tc>
          <w:tcPr>
            <w:tcW w:w="6574" w:type="dxa"/>
            <w:hideMark/>
          </w:tcPr>
          <w:p>
            <w:pPr>
              <w:spacing w:before="60" w:after="60"/>
              <w:rPr>
                <w:rFonts w:eastAsia="Calibri"/>
                <w:noProof/>
                <w:lang w:val="en-US"/>
              </w:rPr>
            </w:pPr>
            <w:r>
              <w:rPr>
                <w:noProof/>
                <w:lang w:val="de-DE" w:eastAsia="en-GB"/>
              </w:rPr>
              <w:t>Seasonal closures to protect spawning cod</w:t>
            </w:r>
          </w:p>
        </w:tc>
      </w:tr>
      <w:tr>
        <w:trPr>
          <w:trHeight w:val="227"/>
        </w:trPr>
        <w:tc>
          <w:tcPr>
            <w:tcW w:w="2124" w:type="dxa"/>
            <w:hideMark/>
          </w:tcPr>
          <w:p>
            <w:pPr>
              <w:pageBreakBefore/>
              <w:spacing w:before="60" w:after="60"/>
              <w:rPr>
                <w:rFonts w:eastAsia="Calibri"/>
                <w:noProof/>
                <w:lang w:val="en-US"/>
              </w:rPr>
            </w:pPr>
            <w:r>
              <w:rPr>
                <w:rFonts w:eastAsia="Calibri"/>
                <w:noProof/>
                <w:lang w:val="en-US"/>
              </w:rPr>
              <w:t>ANNEX V:</w:t>
            </w:r>
          </w:p>
        </w:tc>
        <w:tc>
          <w:tcPr>
            <w:tcW w:w="6574" w:type="dxa"/>
            <w:hideMark/>
          </w:tcPr>
          <w:p>
            <w:pPr>
              <w:spacing w:before="60" w:after="60"/>
              <w:rPr>
                <w:rFonts w:eastAsia="Calibri"/>
                <w:noProof/>
                <w:lang w:val="en-US"/>
              </w:rPr>
            </w:pPr>
            <w:r>
              <w:rPr>
                <w:rFonts w:eastAsia="Calibri"/>
                <w:noProof/>
                <w:lang w:val="en-US"/>
              </w:rPr>
              <w:t>Fishing authorisations</w:t>
            </w:r>
          </w:p>
        </w:tc>
      </w:tr>
      <w:tr>
        <w:trPr>
          <w:trHeight w:val="227"/>
        </w:trPr>
        <w:tc>
          <w:tcPr>
            <w:tcW w:w="2124" w:type="dxa"/>
            <w:hideMark/>
          </w:tcPr>
          <w:p>
            <w:pPr>
              <w:spacing w:before="60" w:after="60"/>
              <w:rPr>
                <w:rFonts w:eastAsia="Calibri"/>
                <w:noProof/>
                <w:lang w:val="en-US"/>
              </w:rPr>
            </w:pPr>
            <w:r>
              <w:rPr>
                <w:rFonts w:eastAsia="Calibri"/>
                <w:noProof/>
                <w:lang w:val="en-US"/>
              </w:rPr>
              <w:t>ANNEX VI:</w:t>
            </w:r>
          </w:p>
        </w:tc>
        <w:tc>
          <w:tcPr>
            <w:tcW w:w="6574" w:type="dxa"/>
            <w:hideMark/>
          </w:tcPr>
          <w:p>
            <w:pPr>
              <w:spacing w:before="60" w:after="60"/>
              <w:rPr>
                <w:rFonts w:eastAsia="Calibri"/>
                <w:noProof/>
                <w:lang w:val="en-US"/>
              </w:rPr>
            </w:pPr>
            <w:r>
              <w:rPr>
                <w:rFonts w:eastAsia="Calibri"/>
                <w:noProof/>
                <w:lang w:val="en-US"/>
              </w:rPr>
              <w:t>ICCAT Convention Area</w:t>
            </w:r>
          </w:p>
        </w:tc>
      </w:tr>
      <w:tr>
        <w:trPr>
          <w:trHeight w:val="227"/>
        </w:trPr>
        <w:tc>
          <w:tcPr>
            <w:tcW w:w="2124" w:type="dxa"/>
            <w:hideMark/>
          </w:tcPr>
          <w:p>
            <w:pPr>
              <w:spacing w:before="60" w:after="60"/>
              <w:rPr>
                <w:rFonts w:eastAsia="Calibri"/>
                <w:noProof/>
                <w:lang w:val="en-US"/>
              </w:rPr>
            </w:pPr>
            <w:r>
              <w:rPr>
                <w:rFonts w:eastAsia="Calibri"/>
                <w:noProof/>
                <w:lang w:val="en-US"/>
              </w:rPr>
              <w:t>ANNEX VII:</w:t>
            </w:r>
          </w:p>
        </w:tc>
        <w:tc>
          <w:tcPr>
            <w:tcW w:w="6574" w:type="dxa"/>
            <w:hideMark/>
          </w:tcPr>
          <w:p>
            <w:pPr>
              <w:spacing w:before="60" w:after="60"/>
              <w:rPr>
                <w:rFonts w:eastAsia="Calibri"/>
                <w:noProof/>
                <w:lang w:val="en-US"/>
              </w:rPr>
            </w:pPr>
            <w:r>
              <w:rPr>
                <w:rFonts w:eastAsia="Calibri"/>
                <w:noProof/>
                <w:lang w:val="en-US"/>
              </w:rPr>
              <w:t>CCAMLR Convention Area</w:t>
            </w:r>
          </w:p>
        </w:tc>
      </w:tr>
      <w:tr>
        <w:trPr>
          <w:trHeight w:val="227"/>
        </w:trPr>
        <w:tc>
          <w:tcPr>
            <w:tcW w:w="2124" w:type="dxa"/>
            <w:hideMark/>
          </w:tcPr>
          <w:p>
            <w:pPr>
              <w:spacing w:before="60" w:after="60"/>
              <w:rPr>
                <w:rFonts w:eastAsia="Calibri"/>
                <w:noProof/>
                <w:lang w:val="en-US"/>
              </w:rPr>
            </w:pPr>
            <w:r>
              <w:rPr>
                <w:rFonts w:eastAsia="Calibri"/>
                <w:noProof/>
                <w:lang w:val="en-US"/>
              </w:rPr>
              <w:t>ANNEX VIII:</w:t>
            </w:r>
          </w:p>
        </w:tc>
        <w:tc>
          <w:tcPr>
            <w:tcW w:w="6574" w:type="dxa"/>
            <w:hideMark/>
          </w:tcPr>
          <w:p>
            <w:pPr>
              <w:spacing w:before="60" w:after="60"/>
              <w:rPr>
                <w:rFonts w:eastAsia="Calibri"/>
                <w:noProof/>
                <w:lang w:val="en-US"/>
              </w:rPr>
            </w:pPr>
            <w:r>
              <w:rPr>
                <w:rFonts w:eastAsia="Calibri"/>
                <w:noProof/>
                <w:lang w:val="en-US"/>
              </w:rPr>
              <w:t>IOTC Area of Competence</w:t>
            </w:r>
          </w:p>
        </w:tc>
      </w:tr>
      <w:tr>
        <w:trPr>
          <w:trHeight w:val="227"/>
        </w:trPr>
        <w:tc>
          <w:tcPr>
            <w:tcW w:w="2124" w:type="dxa"/>
            <w:hideMark/>
          </w:tcPr>
          <w:p>
            <w:pPr>
              <w:spacing w:before="60" w:after="60"/>
              <w:rPr>
                <w:rFonts w:eastAsia="Calibri"/>
                <w:noProof/>
                <w:lang w:val="en-US"/>
              </w:rPr>
            </w:pPr>
            <w:r>
              <w:rPr>
                <w:rFonts w:eastAsia="Calibri"/>
                <w:noProof/>
                <w:lang w:val="en-US"/>
              </w:rPr>
              <w:t>ANNEX IX:</w:t>
            </w:r>
          </w:p>
        </w:tc>
        <w:tc>
          <w:tcPr>
            <w:tcW w:w="6574" w:type="dxa"/>
            <w:hideMark/>
          </w:tcPr>
          <w:p>
            <w:pPr>
              <w:spacing w:before="60" w:after="60"/>
              <w:rPr>
                <w:rFonts w:eastAsia="Calibri"/>
                <w:noProof/>
                <w:lang w:val="en-US"/>
              </w:rPr>
            </w:pPr>
            <w:r>
              <w:rPr>
                <w:rFonts w:eastAsia="Calibri"/>
                <w:noProof/>
                <w:lang w:val="en-US"/>
              </w:rPr>
              <w:t>WCPFC Convention Area</w:t>
            </w:r>
          </w:p>
        </w:tc>
      </w:tr>
    </w:tbl>
    <w:p>
      <w:pPr>
        <w:rPr>
          <w:rFonts w:eastAsia="Times New Roman"/>
          <w:noProof/>
        </w:rPr>
      </w:pPr>
    </w:p>
    <w:p>
      <w:pPr>
        <w:spacing w:before="0" w:after="0"/>
        <w:rPr>
          <w:noProof/>
        </w:rPr>
        <w:sectPr>
          <w:footerReference w:type="default" r:id="rId16"/>
          <w:footerReference w:type="first" r:id="rId17"/>
          <w:pgSz w:w="11907" w:h="16840"/>
          <w:pgMar w:top="1134" w:right="1134" w:bottom="1134" w:left="1134" w:header="567" w:footer="567" w:gutter="0"/>
          <w:pgNumType w:start="1"/>
          <w:cols w:space="720"/>
          <w:docGrid w:linePitch="326"/>
        </w:sectPr>
      </w:pPr>
    </w:p>
    <w:p>
      <w:pPr>
        <w:pStyle w:val="Annexetitre"/>
        <w:rPr>
          <w:noProof/>
        </w:rPr>
      </w:pPr>
      <w:r>
        <w:rPr>
          <w:noProof/>
        </w:rPr>
        <w:t>ANNEX I</w:t>
      </w:r>
    </w:p>
    <w:p>
      <w:pPr>
        <w:pStyle w:val="NormalCentered"/>
        <w:rPr>
          <w:noProof/>
        </w:rPr>
      </w:pPr>
      <w:r>
        <w:rPr>
          <w:noProof/>
        </w:rPr>
        <w:t xml:space="preserve">TACs APPLICABLE TO UNION FISHING VESSELS </w:t>
      </w:r>
      <w:r>
        <w:rPr>
          <w:noProof/>
        </w:rPr>
        <w:br/>
        <w:t>IN AREAS WHERE TACs EXIST BY SPECIES AND BY AREA</w:t>
      </w:r>
    </w:p>
    <w:p>
      <w:pPr>
        <w:rPr>
          <w:noProof/>
        </w:rPr>
      </w:pPr>
      <w:r>
        <w:rPr>
          <w:noProof/>
        </w:rPr>
        <w:t>The tables in this Annex set out the TACs and quotas (in tonnes live weight, except where otherwise specified) by stock, and, where appropriate, the conditions functionally linked thereto.</w:t>
      </w:r>
    </w:p>
    <w:p>
      <w:pPr>
        <w:rPr>
          <w:noProof/>
        </w:rPr>
      </w:pPr>
      <w:r>
        <w:rPr>
          <w:noProof/>
        </w:rPr>
        <w:t>All fishing opportunities set out in this Annex shall be subject to the rules set out in Regulation (EC) No 1224/2009, and in particular Articles 33 and 34 of that Regulation.</w:t>
      </w:r>
    </w:p>
    <w:p>
      <w:pPr>
        <w:rPr>
          <w:noProof/>
        </w:rPr>
      </w:pPr>
      <w:r>
        <w:rPr>
          <w:noProof/>
        </w:rPr>
        <w:t>The references to fishing zones are references to ICES zones, unless otherwise specified. Within each area, fish stocks are referred to according to the alphabetical order of the Latin names of the species. Only Latin names identify species for regulatory purposes; vernacular names are provided for ease of reference.</w:t>
      </w:r>
    </w:p>
    <w:p>
      <w:pPr>
        <w:rPr>
          <w:noProof/>
        </w:rPr>
      </w:pPr>
      <w:r>
        <w:rPr>
          <w:noProof/>
        </w:rPr>
        <w:br w:type="page"/>
        <w:t>For the purposes of this Regulation, the following comparative table of scientifc names and common names is provided: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1701"/>
        <w:gridCol w:w="3793"/>
      </w:tblGrid>
      <w:tr>
        <w:trPr>
          <w:cantSplit/>
          <w:tblHeader/>
        </w:trPr>
        <w:tc>
          <w:tcPr>
            <w:tcW w:w="436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lang w:val="en-US"/>
              </w:rPr>
            </w:pPr>
            <w:r>
              <w:rPr>
                <w:noProof/>
                <w:lang w:val="en-US"/>
              </w:rPr>
              <w:t>Scientific name</w:t>
            </w:r>
          </w:p>
        </w:tc>
        <w:tc>
          <w:tcPr>
            <w:tcW w:w="170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lang w:val="en-US"/>
              </w:rPr>
            </w:pPr>
            <w:r>
              <w:rPr>
                <w:noProof/>
                <w:lang w:val="en-US"/>
              </w:rPr>
              <w:t>Alpha</w:t>
            </w:r>
            <w:r>
              <w:rPr>
                <w:noProof/>
                <w:lang w:val="en-US"/>
              </w:rPr>
              <w:noBreakHyphen/>
              <w:t>3 code</w:t>
            </w:r>
          </w:p>
        </w:tc>
        <w:tc>
          <w:tcPr>
            <w:tcW w:w="3793"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lang w:val="en-US"/>
              </w:rPr>
            </w:pPr>
            <w:r>
              <w:rPr>
                <w:noProof/>
                <w:lang w:val="en-US"/>
              </w:rPr>
              <w:t>Common name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Amblyraja</w:t>
            </w:r>
            <w:r>
              <w:rPr>
                <w:noProof/>
                <w:lang w:val="en-US"/>
              </w:rPr>
              <w:t xml:space="preserve"> </w:t>
            </w:r>
            <w:r>
              <w:rPr>
                <w:i/>
                <w:iCs/>
                <w:noProof/>
                <w:lang w:val="en-US"/>
              </w:rPr>
              <w:t>radiata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Starry ray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Ammodytes</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SAN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Sandeels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Argentina</w:t>
            </w:r>
            <w:r>
              <w:rPr>
                <w:noProof/>
                <w:lang w:val="en-US"/>
              </w:rPr>
              <w:t xml:space="preserve"> </w:t>
            </w:r>
            <w:r>
              <w:rPr>
                <w:i/>
                <w:iCs/>
                <w:noProof/>
                <w:lang w:val="en-US"/>
              </w:rPr>
              <w:t>silus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ARU</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Greater silver smelt</w:t>
            </w:r>
          </w:p>
        </w:tc>
      </w:tr>
      <w:tr>
        <w:trPr>
          <w:cantSplit/>
        </w:trPr>
        <w:tc>
          <w:tcPr>
            <w:tcW w:w="4361" w:type="dxa"/>
            <w:tcBorders>
              <w:top w:val="single" w:sz="4" w:space="0" w:color="auto"/>
              <w:left w:val="single" w:sz="4" w:space="0" w:color="auto"/>
              <w:bottom w:val="single" w:sz="4" w:space="0" w:color="auto"/>
              <w:right w:val="single" w:sz="4" w:space="0" w:color="auto"/>
            </w:tcBorders>
          </w:tcPr>
          <w:p>
            <w:pPr>
              <w:spacing w:before="60" w:after="60"/>
              <w:rPr>
                <w:noProof/>
                <w:lang w:val="en-US"/>
              </w:rPr>
            </w:pPr>
            <w:r>
              <w:rPr>
                <w:i/>
                <w:iCs/>
                <w:noProof/>
                <w:lang w:val="en-US"/>
              </w:rPr>
              <w:t>Beryx</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tcPr>
          <w:p>
            <w:pPr>
              <w:spacing w:before="60" w:after="60"/>
              <w:rPr>
                <w:noProof/>
                <w:lang w:val="en-US"/>
              </w:rPr>
            </w:pPr>
            <w:r>
              <w:rPr>
                <w:noProof/>
                <w:lang w:val="en-US"/>
              </w:rPr>
              <w:t>ALF</w:t>
            </w:r>
          </w:p>
        </w:tc>
        <w:tc>
          <w:tcPr>
            <w:tcW w:w="3793" w:type="dxa"/>
            <w:tcBorders>
              <w:top w:val="single" w:sz="4" w:space="0" w:color="auto"/>
              <w:left w:val="single" w:sz="4" w:space="0" w:color="auto"/>
              <w:bottom w:val="single" w:sz="4" w:space="0" w:color="auto"/>
              <w:right w:val="single" w:sz="4" w:space="0" w:color="auto"/>
            </w:tcBorders>
          </w:tcPr>
          <w:p>
            <w:pPr>
              <w:spacing w:before="60" w:after="60"/>
              <w:rPr>
                <w:noProof/>
                <w:lang w:val="en-US"/>
              </w:rPr>
            </w:pPr>
            <w:r>
              <w:rPr>
                <w:noProof/>
                <w:lang w:val="en-US"/>
              </w:rPr>
              <w:t>Alfonsinos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Brosme</w:t>
            </w:r>
            <w:r>
              <w:rPr>
                <w:noProof/>
                <w:lang w:val="en-US"/>
              </w:rPr>
              <w:t xml:space="preserve"> </w:t>
            </w:r>
            <w:r>
              <w:rPr>
                <w:i/>
                <w:iCs/>
                <w:noProof/>
                <w:lang w:val="en-US"/>
              </w:rPr>
              <w:t>brosme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USK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Tusk</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Caproidae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Boarfish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Centrophorus</w:t>
            </w:r>
            <w:r>
              <w:rPr>
                <w:noProof/>
                <w:lang w:val="en-US"/>
              </w:rPr>
              <w:t xml:space="preserve"> </w:t>
            </w:r>
            <w:r>
              <w:rPr>
                <w:i/>
                <w:iCs/>
                <w:noProof/>
                <w:lang w:val="en-US"/>
              </w:rPr>
              <w:t>squamosus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GUQ</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Leafscale gulper shark</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Centroscymnus</w:t>
            </w:r>
            <w:r>
              <w:rPr>
                <w:noProof/>
                <w:lang w:val="en-US"/>
              </w:rPr>
              <w:t xml:space="preserve"> </w:t>
            </w:r>
            <w:r>
              <w:rPr>
                <w:i/>
                <w:iCs/>
                <w:noProof/>
                <w:lang w:val="en-US"/>
              </w:rPr>
              <w:t>coelolepis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CYO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Portuguese dogfish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Chaceon</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Deep sea red crab</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Chaenocephalus</w:t>
            </w:r>
            <w:r>
              <w:rPr>
                <w:noProof/>
                <w:lang w:val="en-US"/>
              </w:rPr>
              <w:t xml:space="preserve"> </w:t>
            </w:r>
            <w:r>
              <w:rPr>
                <w:i/>
                <w:iCs/>
                <w:noProof/>
                <w:lang w:val="en-US"/>
              </w:rPr>
              <w:t>aceratus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SSI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Blackfin icefish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Champsocephalus</w:t>
            </w:r>
            <w:r>
              <w:rPr>
                <w:noProof/>
                <w:lang w:val="en-US"/>
              </w:rPr>
              <w:t xml:space="preserve"> </w:t>
            </w:r>
            <w:r>
              <w:rPr>
                <w:i/>
                <w:iCs/>
                <w:noProof/>
                <w:lang w:val="en-US"/>
              </w:rPr>
              <w:t>gunnari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Mackerel icefish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Channichthys</w:t>
            </w:r>
            <w:r>
              <w:rPr>
                <w:noProof/>
                <w:lang w:val="en-US"/>
              </w:rPr>
              <w:t xml:space="preserve"> </w:t>
            </w:r>
            <w:r>
              <w:rPr>
                <w:i/>
                <w:iCs/>
                <w:noProof/>
                <w:lang w:val="en-US"/>
              </w:rPr>
              <w:t>rhinoceratus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LIC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Unicorn icefish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Chionoecetes</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PCR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Snow crab</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Clupea</w:t>
            </w:r>
            <w:r>
              <w:rPr>
                <w:noProof/>
                <w:lang w:val="en-US"/>
              </w:rPr>
              <w:t xml:space="preserve"> </w:t>
            </w:r>
            <w:r>
              <w:rPr>
                <w:i/>
                <w:iCs/>
                <w:noProof/>
                <w:lang w:val="en-US"/>
              </w:rPr>
              <w:t>harengus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Herring</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Coryphaenoides</w:t>
            </w:r>
            <w:r>
              <w:rPr>
                <w:noProof/>
                <w:lang w:val="en-US"/>
              </w:rPr>
              <w:t xml:space="preserve"> </w:t>
            </w:r>
            <w:r>
              <w:rPr>
                <w:i/>
                <w:iCs/>
                <w:noProof/>
                <w:lang w:val="en-US"/>
              </w:rPr>
              <w:t>rupestris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RNG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Roundnose grenadier</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Dalatias</w:t>
            </w:r>
            <w:r>
              <w:rPr>
                <w:noProof/>
                <w:lang w:val="en-US"/>
              </w:rPr>
              <w:t xml:space="preserve"> </w:t>
            </w:r>
            <w:r>
              <w:rPr>
                <w:i/>
                <w:iCs/>
                <w:noProof/>
                <w:lang w:val="en-US"/>
              </w:rPr>
              <w:t>licha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SCK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Kitefin shark</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Deania</w:t>
            </w:r>
            <w:r>
              <w:rPr>
                <w:noProof/>
                <w:lang w:val="en-US"/>
              </w:rPr>
              <w:t xml:space="preserve"> </w:t>
            </w:r>
            <w:r>
              <w:rPr>
                <w:i/>
                <w:iCs/>
                <w:noProof/>
                <w:lang w:val="en-US"/>
              </w:rPr>
              <w:t>calcea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DCA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Birdbeak dogfish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Dicentrarchus</w:t>
            </w:r>
            <w:r>
              <w:rPr>
                <w:noProof/>
                <w:lang w:val="en-US"/>
              </w:rPr>
              <w:t xml:space="preserve"> </w:t>
            </w:r>
            <w:r>
              <w:rPr>
                <w:i/>
                <w:iCs/>
                <w:noProof/>
                <w:lang w:val="en-US"/>
              </w:rPr>
              <w:t>labrax</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BSS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European seabass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lang w:val="en-US"/>
              </w:rPr>
            </w:pPr>
            <w:r>
              <w:rPr>
                <w:i/>
                <w:iCs/>
                <w:noProof/>
                <w:lang w:val="en-US"/>
              </w:rPr>
              <w:t>Dipturus</w:t>
            </w:r>
            <w:r>
              <w:rPr>
                <w:noProof/>
                <w:lang w:val="en-US"/>
              </w:rPr>
              <w:t xml:space="preserve"> </w:t>
            </w:r>
            <w:r>
              <w:rPr>
                <w:i/>
                <w:iCs/>
                <w:noProof/>
                <w:lang w:val="en-US"/>
              </w:rPr>
              <w:t>batis</w:t>
            </w:r>
            <w:r>
              <w:rPr>
                <w:noProof/>
                <w:lang w:val="en-US"/>
              </w:rPr>
              <w:t xml:space="preserve"> (</w:t>
            </w:r>
            <w:r>
              <w:rPr>
                <w:i/>
                <w:iCs/>
                <w:noProof/>
                <w:lang w:val="en-US"/>
              </w:rPr>
              <w:t>Dipturus</w:t>
            </w:r>
            <w:r>
              <w:rPr>
                <w:noProof/>
                <w:lang w:val="en-US"/>
              </w:rPr>
              <w:t xml:space="preserve"> cf. </w:t>
            </w:r>
            <w:r>
              <w:rPr>
                <w:i/>
                <w:iCs/>
                <w:noProof/>
                <w:lang w:val="en-US"/>
              </w:rPr>
              <w:t>flossada</w:t>
            </w:r>
            <w:r>
              <w:rPr>
                <w:noProof/>
                <w:lang w:val="en-US"/>
              </w:rPr>
              <w:t xml:space="preserve"> and </w:t>
            </w:r>
            <w:r>
              <w:rPr>
                <w:i/>
                <w:iCs/>
                <w:noProof/>
                <w:lang w:val="en-US"/>
              </w:rPr>
              <w:t>Dipturus</w:t>
            </w:r>
            <w:r>
              <w:rPr>
                <w:noProof/>
                <w:lang w:val="en-US"/>
              </w:rPr>
              <w:t xml:space="preserve"> cf. </w:t>
            </w:r>
            <w:r>
              <w:rPr>
                <w:i/>
                <w:iCs/>
                <w:noProof/>
                <w:lang w:val="en-US"/>
              </w:rPr>
              <w:t>intermedia</w:t>
            </w:r>
            <w:r>
              <w:rPr>
                <w:noProof/>
                <w:lang w:val="en-US"/>
              </w:rPr>
              <w: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Common skate complex</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Dissostichus</w:t>
            </w:r>
            <w:r>
              <w:rPr>
                <w:noProof/>
                <w:lang w:val="en-US"/>
              </w:rPr>
              <w:t xml:space="preserve"> </w:t>
            </w:r>
            <w:r>
              <w:rPr>
                <w:i/>
                <w:iCs/>
                <w:noProof/>
                <w:lang w:val="en-US"/>
              </w:rPr>
              <w:t>eleginoides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Patagonian toothfish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Dissostichus</w:t>
            </w:r>
            <w:r>
              <w:rPr>
                <w:noProof/>
                <w:lang w:val="en-US"/>
              </w:rPr>
              <w:t xml:space="preserve"> </w:t>
            </w:r>
            <w:r>
              <w:rPr>
                <w:i/>
                <w:iCs/>
                <w:noProof/>
                <w:lang w:val="en-US"/>
              </w:rPr>
              <w:t>mawsoni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TOA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Antarctic toothfish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Dissostichus</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TOT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Toothfish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Engraulis</w:t>
            </w:r>
            <w:r>
              <w:rPr>
                <w:noProof/>
                <w:lang w:val="en-US"/>
              </w:rPr>
              <w:t xml:space="preserve"> </w:t>
            </w:r>
            <w:r>
              <w:rPr>
                <w:i/>
                <w:iCs/>
                <w:noProof/>
                <w:lang w:val="en-US"/>
              </w:rPr>
              <w:t>encrasicolus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Anchovy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Etmopterus</w:t>
            </w:r>
            <w:r>
              <w:rPr>
                <w:noProof/>
                <w:lang w:val="en-US"/>
              </w:rPr>
              <w:t xml:space="preserve"> </w:t>
            </w:r>
            <w:r>
              <w:rPr>
                <w:i/>
                <w:iCs/>
                <w:noProof/>
                <w:lang w:val="en-US"/>
              </w:rPr>
              <w:t>princeps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ETR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Great lanternshark</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Etmopterus</w:t>
            </w:r>
            <w:r>
              <w:rPr>
                <w:noProof/>
                <w:lang w:val="en-US"/>
              </w:rPr>
              <w:t xml:space="preserve"> </w:t>
            </w:r>
            <w:r>
              <w:rPr>
                <w:i/>
                <w:iCs/>
                <w:noProof/>
                <w:lang w:val="en-US"/>
              </w:rPr>
              <w:t>pusillus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ETP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Smooth lanternshark</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Euphausia superba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KRI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Krill</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Gadus morhua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COD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Cod</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Galeorhinus galeus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GAG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Tope shark</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Glyptocephalus cynoglossus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WIT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Witch flounder</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Hippoglossoides platessoides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PLA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American plaice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Hoplostethus atlanticus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ORY</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Orange roughy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Illex illecebrosus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SQI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Shortfin squid</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Lamna nasus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Porbeagle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Lepidorhombus</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LEZ</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Megrims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Leucoraja naevus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Cuckoo ray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Limanda ferruginea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YEL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Yellowtail flounder</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Lophiidae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Anglerfish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lang w:val="en-US"/>
              </w:rPr>
            </w:pPr>
            <w:r>
              <w:rPr>
                <w:i/>
                <w:iCs/>
                <w:noProof/>
                <w:lang w:val="en-US"/>
              </w:rPr>
              <w:t>Macrourus</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GRV</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Grenadiers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Makaira nigricans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BUM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Blue marlin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Mallotus villosus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CAP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Capelin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Manta birostris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RMB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Giant manta ray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Martialia hyadesi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SQS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Squid</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Melanogrammus aeglefinus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Haddock</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Merlangius merlangus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Whiting</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Merluccius merluccius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HKE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Hake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Micromesistius poutassou</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Blue whiting</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Microstomus kitt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LEM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Lemon sole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Molva dypterygia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Blue ling</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Molva molva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LIN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Ling</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Nephrops norvegicus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NEP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Norway lobster</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noProof/>
                <w:lang w:val="en-US"/>
              </w:rPr>
              <w:t>Notothenia gibberifrons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Humped rockcod</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Notothenia rossii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Marbled rockcod</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noProof/>
                <w:lang w:val="en-US"/>
              </w:rPr>
              <w:t>Notothenia squamifrons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Grey rockcod</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Pandalus borealis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PRA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Northern prawn</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Paralomis</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PAI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Crabs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Penaeus</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PEN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‘Penaeus’ shrimps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i/>
                <w:iCs/>
                <w:noProof/>
                <w:lang w:val="en-US"/>
              </w:rPr>
            </w:pPr>
            <w:r>
              <w:rPr>
                <w:i/>
                <w:iCs/>
                <w:noProof/>
                <w:lang w:val="en-US"/>
              </w:rPr>
              <w:t>Pleuronectes platessa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PLE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Plaice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Pleuronectiformes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FLX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Flatfish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Pollachius pollachius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Pollack</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Pollachius virens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Saithe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Psetta maxima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TUR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Turbot</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Pseudochaenichthys georgianus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SGI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South Georgia icefish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Pseudopentaceros</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EDW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Pelagic armourhead</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Raja</w:t>
            </w:r>
            <w:r>
              <w:rPr>
                <w:noProof/>
                <w:lang w:val="en-US"/>
              </w:rPr>
              <w:t xml:space="preserve"> </w:t>
            </w:r>
            <w:r>
              <w:rPr>
                <w:i/>
                <w:iCs/>
                <w:noProof/>
                <w:lang w:val="en-US"/>
              </w:rPr>
              <w:t>alba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 xml:space="preserve">White skate </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brachyura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RJH</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Blonde ray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 xml:space="preserve">Raja circularis </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Sandy ray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clavata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Thornback ray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 xml:space="preserve">Raja fullonica </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Shagreen ray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 xml:space="preserve">Raja </w:t>
            </w:r>
            <w:r>
              <w:rPr>
                <w:noProof/>
                <w:lang w:val="en-US"/>
              </w:rPr>
              <w:t>(</w:t>
            </w:r>
            <w:r>
              <w:rPr>
                <w:i/>
                <w:iCs/>
                <w:noProof/>
                <w:lang w:val="en-US"/>
              </w:rPr>
              <w:t>Dipturus</w:t>
            </w:r>
            <w:r>
              <w:rPr>
                <w:noProof/>
                <w:lang w:val="en-US"/>
              </w:rPr>
              <w:t>)</w:t>
            </w:r>
            <w:r>
              <w:rPr>
                <w:i/>
                <w:iCs/>
                <w:noProof/>
                <w:lang w:val="en-US"/>
              </w:rPr>
              <w:t xml:space="preserve"> nidarosiensis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JAD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Norwegian skate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microocellata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Small</w:t>
            </w:r>
            <w:r>
              <w:rPr>
                <w:noProof/>
                <w:lang w:val="en-US"/>
              </w:rPr>
              <w:noBreakHyphen/>
              <w:t>eyed ray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montagui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Spotted ray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undulata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RJU</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Undulate ray</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Rajiformes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SRX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Skates and rays</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Reinhardtius hippoglossoides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GHL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Greenland halibut</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Sardina pilchardus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PIL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Sardine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Scomber scombrus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MAC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Mackerel</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Scophthalmus rhombus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Brill</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lang w:val="en-US"/>
              </w:rPr>
            </w:pPr>
            <w:r>
              <w:rPr>
                <w:i/>
                <w:iCs/>
                <w:noProof/>
                <w:lang w:val="en-US"/>
              </w:rPr>
              <w:t>Sebastes</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RED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Redfish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Solea</w:t>
            </w:r>
            <w:r>
              <w:rPr>
                <w:noProof/>
                <w:lang w:val="en-US"/>
              </w:rPr>
              <w:t xml:space="preserve"> </w:t>
            </w:r>
            <w:r>
              <w:rPr>
                <w:i/>
                <w:iCs/>
                <w:noProof/>
                <w:lang w:val="en-US"/>
              </w:rPr>
              <w:t>solea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Common sole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Solea</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SOO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Sole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Sprattus sprattus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SPR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Sprat</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Squalus acanthias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DGS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Picked dogfish</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Tetrapturus albidus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White marlin</w:t>
            </w:r>
          </w:p>
        </w:tc>
      </w:tr>
      <w:tr>
        <w:trPr>
          <w:cantSplit/>
        </w:trPr>
        <w:tc>
          <w:tcPr>
            <w:tcW w:w="4361" w:type="dxa"/>
            <w:tcBorders>
              <w:top w:val="single" w:sz="4" w:space="0" w:color="auto"/>
              <w:left w:val="single" w:sz="4" w:space="0" w:color="auto"/>
              <w:bottom w:val="single" w:sz="4" w:space="0" w:color="auto"/>
              <w:right w:val="single" w:sz="4" w:space="0" w:color="auto"/>
            </w:tcBorders>
          </w:tcPr>
          <w:p>
            <w:pPr>
              <w:spacing w:before="60" w:after="60"/>
              <w:rPr>
                <w:i/>
                <w:iCs/>
                <w:noProof/>
                <w:lang w:val="en-US"/>
              </w:rPr>
            </w:pPr>
            <w:r>
              <w:rPr>
                <w:i/>
                <w:iCs/>
                <w:noProof/>
                <w:lang w:val="en-US"/>
              </w:rPr>
              <w:t>Thunnus alalunga</w:t>
            </w:r>
          </w:p>
        </w:tc>
        <w:tc>
          <w:tcPr>
            <w:tcW w:w="1701" w:type="dxa"/>
            <w:tcBorders>
              <w:top w:val="single" w:sz="4" w:space="0" w:color="auto"/>
              <w:left w:val="single" w:sz="4" w:space="0" w:color="auto"/>
              <w:bottom w:val="single" w:sz="4" w:space="0" w:color="auto"/>
              <w:right w:val="single" w:sz="4" w:space="0" w:color="auto"/>
            </w:tcBorders>
          </w:tcPr>
          <w:p>
            <w:pPr>
              <w:spacing w:before="60" w:after="60"/>
              <w:rPr>
                <w:noProof/>
                <w:lang w:val="en-US"/>
              </w:rPr>
            </w:pPr>
            <w:r>
              <w:rPr>
                <w:noProof/>
                <w:lang w:val="en-US"/>
              </w:rPr>
              <w:t>ALB</w:t>
            </w:r>
          </w:p>
        </w:tc>
        <w:tc>
          <w:tcPr>
            <w:tcW w:w="3793" w:type="dxa"/>
            <w:tcBorders>
              <w:top w:val="single" w:sz="4" w:space="0" w:color="auto"/>
              <w:left w:val="single" w:sz="4" w:space="0" w:color="auto"/>
              <w:bottom w:val="single" w:sz="4" w:space="0" w:color="auto"/>
              <w:right w:val="single" w:sz="4" w:space="0" w:color="auto"/>
            </w:tcBorders>
          </w:tcPr>
          <w:p>
            <w:pPr>
              <w:spacing w:before="60" w:after="60"/>
              <w:rPr>
                <w:noProof/>
                <w:lang w:val="en-US"/>
              </w:rPr>
            </w:pPr>
            <w:r>
              <w:rPr>
                <w:noProof/>
                <w:lang w:val="en-US"/>
              </w:rPr>
              <w:t>Albacore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Thunnus maccoyii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SBF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Southern bluefin tuna</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Thunnus obesus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BET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Bigeye tuna</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Thunnus thynnus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BFT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Bluefin tuna</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Trachurus murphyi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Jack mackerel</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Trachurus</w:t>
            </w:r>
            <w:r>
              <w:rPr>
                <w:noProof/>
                <w:lang w:val="en-US"/>
              </w:rPr>
              <w:t xml:space="preserve"> spp.</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JAX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Horse mackerel</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Trisopterus esmarkii</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Norway pout</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Urophycis tenuis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HKW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White hake</w:t>
            </w:r>
          </w:p>
        </w:tc>
      </w:tr>
      <w:tr>
        <w:trPr>
          <w:cantSplit/>
        </w:trPr>
        <w:tc>
          <w:tcPr>
            <w:tcW w:w="4361"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Xiphias gladius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SWO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Swordfish</w:t>
            </w:r>
          </w:p>
        </w:tc>
      </w:tr>
    </w:tbl>
    <w:p>
      <w:pPr>
        <w:rPr>
          <w:noProof/>
        </w:rPr>
      </w:pPr>
    </w:p>
    <w:p>
      <w:pPr>
        <w:rPr>
          <w:noProof/>
        </w:rPr>
      </w:pPr>
      <w:r>
        <w:rPr>
          <w:noProof/>
        </w:rPr>
        <w:br w:type="page"/>
        <w:t>The following comparative table of common names and scientific names is provided exclusively for explanatory purposes: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1701"/>
        <w:gridCol w:w="3793"/>
      </w:tblGrid>
      <w:tr>
        <w:trPr>
          <w:tblHeader/>
        </w:trPr>
        <w:tc>
          <w:tcPr>
            <w:tcW w:w="436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lang w:val="en-US"/>
              </w:rPr>
            </w:pPr>
            <w:r>
              <w:rPr>
                <w:noProof/>
                <w:lang w:val="en-US"/>
              </w:rPr>
              <w:t>Common name</w:t>
            </w:r>
          </w:p>
        </w:tc>
        <w:tc>
          <w:tcPr>
            <w:tcW w:w="170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lang w:val="en-US"/>
              </w:rPr>
            </w:pPr>
            <w:r>
              <w:rPr>
                <w:noProof/>
                <w:lang w:val="en-US"/>
              </w:rPr>
              <w:t>Alpha</w:t>
            </w:r>
            <w:r>
              <w:rPr>
                <w:noProof/>
                <w:lang w:val="en-US"/>
              </w:rPr>
              <w:noBreakHyphen/>
              <w:t>3 code</w:t>
            </w:r>
          </w:p>
        </w:tc>
        <w:tc>
          <w:tcPr>
            <w:tcW w:w="3793"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lang w:val="en-US"/>
              </w:rPr>
            </w:pPr>
            <w:r>
              <w:rPr>
                <w:noProof/>
                <w:lang w:val="en-US"/>
              </w:rPr>
              <w:t>Scientific name</w:t>
            </w:r>
          </w:p>
        </w:tc>
      </w:tr>
      <w:tr>
        <w:tc>
          <w:tcPr>
            <w:tcW w:w="4361" w:type="dxa"/>
            <w:tcBorders>
              <w:top w:val="single" w:sz="4" w:space="0" w:color="auto"/>
              <w:left w:val="single" w:sz="4" w:space="0" w:color="auto"/>
              <w:bottom w:val="single" w:sz="4" w:space="0" w:color="auto"/>
              <w:right w:val="single" w:sz="4" w:space="0" w:color="auto"/>
            </w:tcBorders>
          </w:tcPr>
          <w:p>
            <w:pPr>
              <w:spacing w:before="60" w:after="60"/>
              <w:rPr>
                <w:noProof/>
                <w:lang w:val="en-US"/>
              </w:rPr>
            </w:pPr>
            <w:r>
              <w:rPr>
                <w:noProof/>
                <w:lang w:val="en-US"/>
              </w:rPr>
              <w:t>Albacore</w:t>
            </w:r>
          </w:p>
        </w:tc>
        <w:tc>
          <w:tcPr>
            <w:tcW w:w="1701" w:type="dxa"/>
            <w:tcBorders>
              <w:top w:val="single" w:sz="4" w:space="0" w:color="auto"/>
              <w:left w:val="single" w:sz="4" w:space="0" w:color="auto"/>
              <w:bottom w:val="single" w:sz="4" w:space="0" w:color="auto"/>
              <w:right w:val="single" w:sz="4" w:space="0" w:color="auto"/>
            </w:tcBorders>
          </w:tcPr>
          <w:p>
            <w:pPr>
              <w:spacing w:before="60" w:after="60"/>
              <w:rPr>
                <w:noProof/>
                <w:lang w:val="en-US"/>
              </w:rPr>
            </w:pPr>
            <w:r>
              <w:rPr>
                <w:noProof/>
                <w:lang w:val="en-US"/>
              </w:rPr>
              <w:t>ALB</w:t>
            </w:r>
          </w:p>
        </w:tc>
        <w:tc>
          <w:tcPr>
            <w:tcW w:w="3793" w:type="dxa"/>
            <w:tcBorders>
              <w:top w:val="single" w:sz="4" w:space="0" w:color="auto"/>
              <w:left w:val="single" w:sz="4" w:space="0" w:color="auto"/>
              <w:bottom w:val="single" w:sz="4" w:space="0" w:color="auto"/>
              <w:right w:val="single" w:sz="4" w:space="0" w:color="auto"/>
            </w:tcBorders>
          </w:tcPr>
          <w:p>
            <w:pPr>
              <w:spacing w:before="60" w:after="60"/>
              <w:rPr>
                <w:i/>
                <w:iCs/>
                <w:noProof/>
                <w:lang w:val="en-US"/>
              </w:rPr>
            </w:pPr>
            <w:r>
              <w:rPr>
                <w:i/>
                <w:iCs/>
                <w:noProof/>
                <w:lang w:val="en-US"/>
              </w:rPr>
              <w:t>Thunnus alalunga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Alfonsinos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ALF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Beryx</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American plaice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PLA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Hippoglossoides platessoides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Anchovy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Engraulis encrasicolus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Anglerfish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Lophiidae</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Antarctic toothfish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TOA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Dissostichus mawsoni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Bigeye tuna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BET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Thunnus obesus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Birdbeak dogfish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DCA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Deania calcea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Blackfin icefish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SSI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Chaenocephalus aceratus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Blonde ray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RJH</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brachyura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Blue ling</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Molva dypterygia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Blue marlin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BUM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Makaira nigricans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Blue whiting</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Micromesistius poutassou</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Bluefin tuna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BFT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Thunnus thynnus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Boarfish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Caproidae</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Brill</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BLL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Scophthalmus rhombus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Capelin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CAP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Mallotus villosus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Cod</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COD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Gadus morhua</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lang w:val="en-US"/>
              </w:rPr>
            </w:pPr>
            <w:r>
              <w:rPr>
                <w:noProof/>
                <w:lang w:val="en-US"/>
              </w:rPr>
              <w:t>Common skate complex</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Dipturus</w:t>
            </w:r>
            <w:r>
              <w:rPr>
                <w:noProof/>
                <w:lang w:val="en-US"/>
              </w:rPr>
              <w:t xml:space="preserve"> </w:t>
            </w:r>
            <w:r>
              <w:rPr>
                <w:i/>
                <w:iCs/>
                <w:noProof/>
                <w:lang w:val="en-US"/>
              </w:rPr>
              <w:t>batis</w:t>
            </w:r>
            <w:r>
              <w:rPr>
                <w:noProof/>
                <w:lang w:val="en-US"/>
              </w:rPr>
              <w:t xml:space="preserve"> (</w:t>
            </w:r>
            <w:r>
              <w:rPr>
                <w:i/>
                <w:iCs/>
                <w:noProof/>
                <w:lang w:val="en-US"/>
              </w:rPr>
              <w:t>Dipturus</w:t>
            </w:r>
            <w:r>
              <w:rPr>
                <w:noProof/>
                <w:lang w:val="en-US"/>
              </w:rPr>
              <w:t xml:space="preserve"> cf. </w:t>
            </w:r>
            <w:r>
              <w:rPr>
                <w:i/>
                <w:iCs/>
                <w:noProof/>
                <w:lang w:val="en-US"/>
              </w:rPr>
              <w:t>flossada</w:t>
            </w:r>
            <w:r>
              <w:rPr>
                <w:noProof/>
                <w:lang w:val="en-US"/>
              </w:rPr>
              <w:t xml:space="preserve"> and </w:t>
            </w:r>
            <w:r>
              <w:rPr>
                <w:i/>
                <w:iCs/>
                <w:noProof/>
                <w:lang w:val="en-US"/>
              </w:rPr>
              <w:t>Dipturus</w:t>
            </w:r>
            <w:r>
              <w:rPr>
                <w:noProof/>
                <w:lang w:val="en-US"/>
              </w:rPr>
              <w:t xml:space="preserve"> cf. </w:t>
            </w:r>
            <w:r>
              <w:rPr>
                <w:i/>
                <w:iCs/>
                <w:noProof/>
                <w:lang w:val="en-US"/>
              </w:rPr>
              <w:t>intermedia</w:t>
            </w:r>
            <w:r>
              <w:rPr>
                <w:noProof/>
                <w:lang w:val="en-US"/>
              </w:rPr>
              <w:t>)</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Common sole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Solea solea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Crabs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PAI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Paralomis</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Cuckoo ray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Leucoraja naevus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Deep sea red crab</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Chaceon</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European seabass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BSS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Dicentrarchus labrax</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Flatfish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FLX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Pleuronectiformes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Giant manta ray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RMB</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Manta birostris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Great lanternshark</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ETR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Etmopterus princeps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Greater silver smelt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ARU</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Argentina silus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Greenland halibut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GHL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Reinhardtius hippoglossoides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Grenadiers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GRV</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Macrourus</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Grey rockcod</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Notothenia squamifrons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Haddock</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Melanogrammus aeglefinus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Hake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HKE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Merluccius merluccius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Herring</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HER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Clupea harengus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Horse mackerel</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JAX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Trachurus</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Humped rockcod</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Notothenia gibberifrons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Jack mackerel</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Trachurus murphyi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Kitefin shark</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SCK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Dalatias licha</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lang w:val="en-US"/>
              </w:rPr>
            </w:pPr>
            <w:r>
              <w:rPr>
                <w:noProof/>
                <w:lang w:val="en-US"/>
              </w:rPr>
              <w:t>Krill</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KRI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Euphausia superba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Leafscale gulper shark</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GUQ</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Centrophorus squamosus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Lemon sole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LEM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Microstomus kitt</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Ling</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LIN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Molva molva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Mackerel</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MAC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Scomber scombrus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Mackerel icefish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ANI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Champsocephalus gunnari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Marbled rockcod</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Notothenia</w:t>
            </w:r>
            <w:r>
              <w:rPr>
                <w:noProof/>
                <w:lang w:val="en-US"/>
              </w:rPr>
              <w:t xml:space="preserve"> </w:t>
            </w:r>
            <w:r>
              <w:rPr>
                <w:i/>
                <w:iCs/>
                <w:noProof/>
                <w:lang w:val="en-US"/>
              </w:rPr>
              <w:t>rossii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Megrims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LEZ</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Lepidorhombus</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Northern prawn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PRA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Pandalus borealis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Norway lobster</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NEP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Nephrops norvegicus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Norway pout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Trisopterus esmarkii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Norwegian skate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JAD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 xml:space="preserve">Raja </w:t>
            </w:r>
            <w:r>
              <w:rPr>
                <w:noProof/>
                <w:lang w:val="en-US"/>
              </w:rPr>
              <w:t>(</w:t>
            </w:r>
            <w:r>
              <w:rPr>
                <w:i/>
                <w:iCs/>
                <w:noProof/>
                <w:lang w:val="en-US"/>
              </w:rPr>
              <w:t>Dipturus</w:t>
            </w:r>
            <w:r>
              <w:rPr>
                <w:noProof/>
                <w:lang w:val="en-US"/>
              </w:rPr>
              <w:t>)</w:t>
            </w:r>
            <w:r>
              <w:rPr>
                <w:i/>
                <w:iCs/>
                <w:noProof/>
                <w:lang w:val="en-US"/>
              </w:rPr>
              <w:t xml:space="preserve"> nidarosiensis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Orange roughy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ORY</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Hoplostethus atlanticus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Patagonian toothfish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TOP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Dissostichus eleginoides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Pelagic armourhead</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EDW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Pseudopentaceros</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‘Penaeus’ shrimps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PEN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Penaeus</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Picked dogfish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DGS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Squalus acanthias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Plaice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PLE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Pleuronectes platessa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Pollack</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Pollachius pollachius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Porbeagle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Lamna nasus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Portuguese dogfish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CYO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Centroscymnus coelolepis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Redfish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RED</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Sebastes</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lang w:val="en-US"/>
              </w:rPr>
            </w:pPr>
            <w:r>
              <w:rPr>
                <w:noProof/>
                <w:lang w:val="en-US"/>
              </w:rPr>
              <w:t>Roundnose grenadier</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RNG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Coryphaenoides rupestris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Saithe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POK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Pollachius virens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Sandeels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SAN</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Ammodytes</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Sandy ray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circularis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Sardine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PIL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Sardina pilchardus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Shagreen ray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fullonica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Shortfin squid</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SQI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Illex illecebrosus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Skates and rays</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SRX</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Rajiformes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Small</w:t>
            </w:r>
            <w:r>
              <w:rPr>
                <w:noProof/>
                <w:lang w:val="en-US"/>
              </w:rPr>
              <w:noBreakHyphen/>
              <w:t>eyed ray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RJE</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microocellata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Smooth lanternshark</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ETP</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Etmopterus pusillus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Snow crab</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PCR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Chionoecetes</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Sole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SOO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Solea</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South Georgia icefish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SGI</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Pseudochaenichthys georgianus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Southern bluefin tuna</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SBF</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Thunnus maccoyii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Spotted ray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montagui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Sprat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SPR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Sprattus sprattus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Squid</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SQS</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Martialia hyadesi</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Starry ray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Amblyraja radiata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Swordfish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SWO</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Xiphias gladius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Thornback ray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clavata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Toothfish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TOT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i/>
                <w:iCs/>
                <w:noProof/>
                <w:lang w:val="en-US"/>
              </w:rPr>
              <w:t>Dissostichus</w:t>
            </w:r>
            <w:r>
              <w:rPr>
                <w:noProof/>
                <w:lang w:val="en-US"/>
              </w:rPr>
              <w:t xml:space="preserve"> spp.</w:t>
            </w:r>
          </w:p>
        </w:tc>
      </w:tr>
      <w:tr>
        <w:tc>
          <w:tcPr>
            <w:tcW w:w="4361" w:type="dxa"/>
            <w:tcBorders>
              <w:top w:val="single" w:sz="4" w:space="0" w:color="auto"/>
              <w:left w:val="single" w:sz="4" w:space="0" w:color="auto"/>
              <w:bottom w:val="single" w:sz="4" w:space="0" w:color="auto"/>
              <w:right w:val="single" w:sz="4" w:space="0" w:color="auto"/>
            </w:tcBorders>
            <w:hideMark/>
          </w:tcPr>
          <w:p>
            <w:pPr>
              <w:pageBreakBefore/>
              <w:spacing w:before="60" w:after="60"/>
              <w:rPr>
                <w:noProof/>
                <w:lang w:val="en-US"/>
              </w:rPr>
            </w:pPr>
            <w:r>
              <w:rPr>
                <w:noProof/>
                <w:lang w:val="en-US"/>
              </w:rPr>
              <w:t>Tope shark</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GAG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Galeorhinus galeus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Turbot</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TUR</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Psetta maxima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Tusk</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USK</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Brosme brosme</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Undulate ray</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RJU</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undulata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Unicorn icefish</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LIC</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Channichthys rhinoceratus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White hake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HKW</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Urophycis tenuis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White marlin</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WHM</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Tetrapturus albidus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White skate</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RJA</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Raja alba</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Whiting</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WHG</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Merlangius merlangus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Witch flounder</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WIT</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Glyptocephalus cynoglossus</w:t>
            </w:r>
          </w:p>
        </w:tc>
      </w:tr>
      <w:tr>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Yellowtail flounder</w:t>
            </w:r>
          </w:p>
        </w:tc>
        <w:tc>
          <w:tcPr>
            <w:tcW w:w="1701" w:type="dxa"/>
            <w:tcBorders>
              <w:top w:val="single" w:sz="4" w:space="0" w:color="auto"/>
              <w:left w:val="single" w:sz="4" w:space="0" w:color="auto"/>
              <w:bottom w:val="single" w:sz="4" w:space="0" w:color="auto"/>
              <w:right w:val="single" w:sz="4" w:space="0" w:color="auto"/>
            </w:tcBorders>
            <w:hideMark/>
          </w:tcPr>
          <w:p>
            <w:pPr>
              <w:spacing w:before="60" w:after="60"/>
              <w:rPr>
                <w:noProof/>
                <w:lang w:val="en-US"/>
              </w:rPr>
            </w:pPr>
            <w:r>
              <w:rPr>
                <w:noProof/>
                <w:lang w:val="en-US"/>
              </w:rPr>
              <w:t>YEL</w:t>
            </w:r>
          </w:p>
        </w:tc>
        <w:tc>
          <w:tcPr>
            <w:tcW w:w="3793" w:type="dxa"/>
            <w:tcBorders>
              <w:top w:val="single" w:sz="4" w:space="0" w:color="auto"/>
              <w:left w:val="single" w:sz="4" w:space="0" w:color="auto"/>
              <w:bottom w:val="single" w:sz="4" w:space="0" w:color="auto"/>
              <w:right w:val="single" w:sz="4" w:space="0" w:color="auto"/>
            </w:tcBorders>
            <w:hideMark/>
          </w:tcPr>
          <w:p>
            <w:pPr>
              <w:spacing w:before="60" w:after="60"/>
              <w:rPr>
                <w:i/>
                <w:iCs/>
                <w:noProof/>
                <w:lang w:val="en-US"/>
              </w:rPr>
            </w:pPr>
            <w:r>
              <w:rPr>
                <w:i/>
                <w:iCs/>
                <w:noProof/>
                <w:lang w:val="en-US"/>
              </w:rPr>
              <w:t>Limanda ferruginea</w:t>
            </w:r>
          </w:p>
        </w:tc>
      </w:tr>
    </w:tbl>
    <w:p>
      <w:pPr>
        <w:pStyle w:val="Lignefinal"/>
        <w:rPr>
          <w:noProof/>
          <w:szCs w:val="22"/>
        </w:rPr>
      </w:pPr>
    </w:p>
    <w:p>
      <w:pPr>
        <w:spacing w:before="0" w:after="0"/>
        <w:rPr>
          <w:b/>
          <w:noProof/>
          <w:u w:val="single"/>
        </w:rPr>
        <w:sectPr>
          <w:pgSz w:w="11907" w:h="16840"/>
          <w:pgMar w:top="1134" w:right="1134" w:bottom="1134" w:left="1134" w:header="567" w:footer="567" w:gutter="0"/>
          <w:pgNumType w:start="3"/>
          <w:cols w:space="720"/>
          <w:docGrid w:linePitch="326"/>
        </w:sectPr>
      </w:pPr>
    </w:p>
    <w:p>
      <w:pPr>
        <w:jc w:val="center"/>
        <w:rPr>
          <w:b/>
          <w:noProof/>
          <w:szCs w:val="24"/>
        </w:rPr>
      </w:pPr>
      <w:r>
        <w:rPr>
          <w:b/>
          <w:noProof/>
        </w:rPr>
        <w:t>ANNEX IA</w:t>
      </w:r>
    </w:p>
    <w:p>
      <w:pPr>
        <w:pStyle w:val="NormalCentered"/>
        <w:rPr>
          <w:noProof/>
        </w:rPr>
      </w:pPr>
      <w:r>
        <w:rPr>
          <w:noProof/>
        </w:rPr>
        <w:t xml:space="preserve">SKAGERRAK, KATTEGAT, ICES SUBAREAS 1, 2, 3, 4, 5, </w:t>
      </w:r>
      <w:r>
        <w:rPr>
          <w:noProof/>
        </w:rPr>
        <w:br/>
        <w:t xml:space="preserve">6, 7, 8, 9, 10, 12 AND 14, UNION WATERS OF CECAF, </w:t>
      </w:r>
      <w:r>
        <w:rPr>
          <w:noProof/>
        </w:rPr>
        <w:br/>
        <w:t>FRENCH GUIANA WATERS</w:t>
      </w:r>
    </w:p>
    <w:tbl>
      <w:tblPr>
        <w:tblW w:w="10241" w:type="dxa"/>
        <w:tblInd w:w="108" w:type="dxa"/>
        <w:tblLook w:val="04A0" w:firstRow="1" w:lastRow="0" w:firstColumn="1" w:lastColumn="0" w:noHBand="0" w:noVBand="1"/>
      </w:tblPr>
      <w:tblGrid>
        <w:gridCol w:w="1426"/>
        <w:gridCol w:w="1436"/>
        <w:gridCol w:w="1283"/>
        <w:gridCol w:w="1134"/>
        <w:gridCol w:w="1276"/>
        <w:gridCol w:w="1137"/>
        <w:gridCol w:w="1273"/>
        <w:gridCol w:w="1276"/>
      </w:tblGrid>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Sandeel and associated by-catches</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3a and 4(1)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Ammodytes spp.</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0</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sz w:val="20"/>
                <w:szCs w:val="20"/>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r>
              <w:rPr>
                <w:rFonts w:eastAsia="Times New Roman"/>
                <w:noProof/>
                <w:sz w:val="20"/>
                <w:szCs w:val="20"/>
                <w:lang w:eastAsia="en-GB"/>
              </w:rPr>
              <w:t>0</w:t>
            </w:r>
          </w:p>
        </w:tc>
        <w:tc>
          <w:tcPr>
            <w:tcW w:w="1134" w:type="dxa"/>
            <w:tcBorders>
              <w:top w:val="nil"/>
              <w:left w:val="nil"/>
              <w:bottom w:val="nil"/>
              <w:right w:val="nil"/>
            </w:tcBorders>
            <w:shd w:val="clear" w:color="auto" w:fill="auto"/>
            <w:noWrap/>
            <w:hideMark/>
          </w:tcPr>
          <w:p>
            <w:pPr>
              <w:spacing w:after="0"/>
              <w:jc w:val="left"/>
              <w:rPr>
                <w:rFonts w:eastAsia="Times New Roman"/>
                <w:noProof/>
                <w:sz w:val="20"/>
                <w:szCs w:val="20"/>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0</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Excluding waters within six nautical miles of the UK baselines at Shetland, Fair Isle and Foula.</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Up to 2 % of the quota may consist of by-catches of whiting and mackerel (OT1/*2A3A4X). By-catches of whiting and mackerel counted against the quota pursuant to this provision and by-catches of species counted against the quota pursuant to Article 15(8) of Regulation (EU) No 1380/2013 shall, together, not exceed 9% of the quota.</w:t>
            </w: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 in the following sandeel management areas, as defined in Annex III:</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6266" w:type="dxa"/>
            <w:gridSpan w:val="5"/>
            <w:tcBorders>
              <w:top w:val="nil"/>
              <w:left w:val="nil"/>
              <w:bottom w:val="nil"/>
              <w:right w:val="nil"/>
            </w:tcBorders>
            <w:shd w:val="clear" w:color="auto" w:fill="auto"/>
            <w:noWrap/>
            <w:hideMark/>
          </w:tcPr>
          <w:p>
            <w:pPr>
              <w:spacing w:after="0"/>
              <w:rPr>
                <w:rFonts w:eastAsia="Times New Roman"/>
                <w:b/>
                <w:bCs/>
                <w:noProof/>
                <w:sz w:val="18"/>
                <w:szCs w:val="18"/>
                <w:lang w:eastAsia="en-GB"/>
              </w:rPr>
            </w:pPr>
            <w:r>
              <w:rPr>
                <w:rFonts w:eastAsia="Times New Roman"/>
                <w:b/>
                <w:bCs/>
                <w:noProof/>
                <w:sz w:val="18"/>
                <w:szCs w:val="18"/>
                <w:lang w:eastAsia="en-GB"/>
              </w:rPr>
              <w:t>Zone: Union waters of sandeel management areas</w:t>
            </w:r>
          </w:p>
        </w:tc>
        <w:tc>
          <w:tcPr>
            <w:tcW w:w="1273" w:type="dxa"/>
            <w:tcBorders>
              <w:top w:val="nil"/>
              <w:left w:val="nil"/>
              <w:bottom w:val="nil"/>
              <w:right w:val="nil"/>
            </w:tcBorders>
            <w:shd w:val="clear" w:color="auto" w:fill="auto"/>
            <w:noWrap/>
            <w:hideMark/>
          </w:tcPr>
          <w:p>
            <w:pPr>
              <w:spacing w:after="0"/>
              <w:rPr>
                <w:rFonts w:eastAsia="Times New Roman"/>
                <w:b/>
                <w:bCs/>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4" w:space="0" w:color="auto"/>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lang w:eastAsia="en-GB"/>
              </w:rPr>
            </w:pPr>
            <w:r>
              <w:rPr>
                <w:rFonts w:eastAsia="Times New Roman"/>
                <w:noProof/>
                <w:color w:val="000000"/>
                <w:sz w:val="14"/>
                <w:szCs w:val="14"/>
                <w:lang w:eastAsia="en-GB"/>
              </w:rPr>
              <w:t> </w:t>
            </w:r>
          </w:p>
        </w:tc>
        <w:tc>
          <w:tcPr>
            <w:tcW w:w="1436"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sz w:val="14"/>
                <w:szCs w:val="14"/>
                <w:lang w:eastAsia="en-GB"/>
              </w:rPr>
            </w:pPr>
            <w:r>
              <w:rPr>
                <w:rFonts w:eastAsia="Times New Roman"/>
                <w:b/>
                <w:bCs/>
                <w:noProof/>
                <w:sz w:val="14"/>
                <w:szCs w:val="14"/>
                <w:lang w:eastAsia="en-GB"/>
              </w:rPr>
              <w:t>1r</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lang w:eastAsia="en-GB"/>
              </w:rPr>
            </w:pPr>
            <w:r>
              <w:rPr>
                <w:rFonts w:eastAsia="Times New Roman"/>
                <w:b/>
                <w:bCs/>
                <w:noProof/>
                <w:color w:val="000000"/>
                <w:sz w:val="14"/>
                <w:szCs w:val="14"/>
                <w:lang w:eastAsia="en-GB"/>
              </w:rPr>
              <w:t>2r</w:t>
            </w:r>
          </w:p>
        </w:tc>
        <w:tc>
          <w:tcPr>
            <w:tcW w:w="1134"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lang w:eastAsia="en-GB"/>
              </w:rPr>
            </w:pPr>
            <w:r>
              <w:rPr>
                <w:rFonts w:eastAsia="Times New Roman"/>
                <w:b/>
                <w:bCs/>
                <w:noProof/>
                <w:color w:val="000000"/>
                <w:sz w:val="14"/>
                <w:szCs w:val="14"/>
                <w:lang w:eastAsia="en-GB"/>
              </w:rPr>
              <w:t>3r</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lang w:eastAsia="en-GB"/>
              </w:rPr>
            </w:pPr>
            <w:r>
              <w:rPr>
                <w:rFonts w:eastAsia="Times New Roman"/>
                <w:b/>
                <w:bCs/>
                <w:noProof/>
                <w:color w:val="000000"/>
                <w:sz w:val="14"/>
                <w:szCs w:val="14"/>
                <w:lang w:eastAsia="en-GB"/>
              </w:rPr>
              <w:t>4</w:t>
            </w:r>
          </w:p>
        </w:tc>
        <w:tc>
          <w:tcPr>
            <w:tcW w:w="1137"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lang w:eastAsia="en-GB"/>
              </w:rPr>
            </w:pPr>
            <w:r>
              <w:rPr>
                <w:rFonts w:eastAsia="Times New Roman"/>
                <w:b/>
                <w:bCs/>
                <w:noProof/>
                <w:color w:val="000000"/>
                <w:sz w:val="14"/>
                <w:szCs w:val="14"/>
                <w:lang w:eastAsia="en-GB"/>
              </w:rPr>
              <w:t>5r</w:t>
            </w:r>
          </w:p>
        </w:tc>
        <w:tc>
          <w:tcPr>
            <w:tcW w:w="1273"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lang w:eastAsia="en-GB"/>
              </w:rPr>
            </w:pPr>
            <w:r>
              <w:rPr>
                <w:rFonts w:eastAsia="Times New Roman"/>
                <w:b/>
                <w:bCs/>
                <w:noProof/>
                <w:color w:val="000000"/>
                <w:sz w:val="14"/>
                <w:szCs w:val="14"/>
                <w:lang w:eastAsia="en-GB"/>
              </w:rPr>
              <w:t>6</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jc w:val="center"/>
              <w:rPr>
                <w:rFonts w:eastAsia="Times New Roman"/>
                <w:b/>
                <w:bCs/>
                <w:noProof/>
                <w:color w:val="000000"/>
                <w:sz w:val="14"/>
                <w:szCs w:val="14"/>
                <w:lang w:eastAsia="en-GB"/>
              </w:rPr>
            </w:pPr>
            <w:r>
              <w:rPr>
                <w:rFonts w:eastAsia="Times New Roman"/>
                <w:b/>
                <w:bCs/>
                <w:noProof/>
                <w:color w:val="000000"/>
                <w:sz w:val="14"/>
                <w:szCs w:val="14"/>
                <w:lang w:eastAsia="en-GB"/>
              </w:rPr>
              <w:t>7r</w:t>
            </w:r>
          </w:p>
        </w:tc>
      </w:tr>
      <w:tr>
        <w:trPr>
          <w:trHeight w:val="540"/>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lang w:eastAsia="en-GB"/>
              </w:rPr>
            </w:pPr>
            <w:r>
              <w:rPr>
                <w:rFonts w:eastAsia="Times New Roman"/>
                <w:noProof/>
                <w:color w:val="000000"/>
                <w:sz w:val="14"/>
                <w:szCs w:val="14"/>
                <w:lang w:eastAsia="en-GB"/>
              </w:rPr>
              <w:t> </w:t>
            </w:r>
          </w:p>
        </w:tc>
        <w:tc>
          <w:tcPr>
            <w:tcW w:w="1436"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sz w:val="14"/>
                <w:szCs w:val="14"/>
                <w:lang w:eastAsia="en-GB"/>
              </w:rPr>
            </w:pPr>
            <w:r>
              <w:rPr>
                <w:rFonts w:eastAsia="Times New Roman"/>
                <w:noProof/>
                <w:sz w:val="14"/>
                <w:szCs w:val="14"/>
                <w:lang w:eastAsia="en-GB"/>
              </w:rPr>
              <w:t>(SAN/234_1R)</w:t>
            </w:r>
          </w:p>
        </w:tc>
        <w:tc>
          <w:tcPr>
            <w:tcW w:w="1283" w:type="dxa"/>
            <w:tcBorders>
              <w:top w:val="nil"/>
              <w:left w:val="nil"/>
              <w:bottom w:val="single" w:sz="4" w:space="0" w:color="auto"/>
              <w:right w:val="single" w:sz="4" w:space="0" w:color="auto"/>
            </w:tcBorders>
            <w:shd w:val="clear" w:color="auto" w:fill="auto"/>
            <w:hideMark/>
          </w:tcPr>
          <w:p>
            <w:pPr>
              <w:spacing w:after="0"/>
              <w:jc w:val="center"/>
              <w:rPr>
                <w:rFonts w:eastAsia="Times New Roman"/>
                <w:noProof/>
                <w:color w:val="000000"/>
                <w:sz w:val="14"/>
                <w:szCs w:val="14"/>
                <w:lang w:eastAsia="en-GB"/>
              </w:rPr>
            </w:pPr>
            <w:r>
              <w:rPr>
                <w:rFonts w:eastAsia="Times New Roman"/>
                <w:noProof/>
                <w:color w:val="000000"/>
                <w:sz w:val="14"/>
                <w:szCs w:val="14"/>
                <w:lang w:eastAsia="en-GB"/>
              </w:rPr>
              <w:t>(SAN/234_2R)</w:t>
            </w:r>
          </w:p>
        </w:tc>
        <w:tc>
          <w:tcPr>
            <w:tcW w:w="1134" w:type="dxa"/>
            <w:tcBorders>
              <w:top w:val="nil"/>
              <w:left w:val="nil"/>
              <w:bottom w:val="single" w:sz="4" w:space="0" w:color="auto"/>
              <w:right w:val="single" w:sz="4" w:space="0" w:color="auto"/>
            </w:tcBorders>
            <w:shd w:val="clear" w:color="auto" w:fill="auto"/>
            <w:hideMark/>
          </w:tcPr>
          <w:p>
            <w:pPr>
              <w:spacing w:after="0"/>
              <w:jc w:val="center"/>
              <w:rPr>
                <w:rFonts w:eastAsia="Times New Roman"/>
                <w:noProof/>
                <w:color w:val="000000"/>
                <w:sz w:val="14"/>
                <w:szCs w:val="14"/>
                <w:lang w:eastAsia="en-GB"/>
              </w:rPr>
            </w:pPr>
            <w:r>
              <w:rPr>
                <w:rFonts w:eastAsia="Times New Roman"/>
                <w:noProof/>
                <w:color w:val="000000"/>
                <w:sz w:val="14"/>
                <w:szCs w:val="14"/>
                <w:lang w:eastAsia="en-GB"/>
              </w:rPr>
              <w:t xml:space="preserve"> (SAN/234_3R)</w:t>
            </w:r>
          </w:p>
        </w:tc>
        <w:tc>
          <w:tcPr>
            <w:tcW w:w="1276"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lang w:eastAsia="en-GB"/>
              </w:rPr>
            </w:pPr>
            <w:r>
              <w:rPr>
                <w:rFonts w:eastAsia="Times New Roman"/>
                <w:noProof/>
                <w:color w:val="000000"/>
                <w:sz w:val="14"/>
                <w:szCs w:val="14"/>
                <w:lang w:eastAsia="en-GB"/>
              </w:rPr>
              <w:t xml:space="preserve">(SAN/234_4) </w:t>
            </w:r>
          </w:p>
        </w:tc>
        <w:tc>
          <w:tcPr>
            <w:tcW w:w="1137"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lang w:eastAsia="en-GB"/>
              </w:rPr>
            </w:pPr>
            <w:r>
              <w:rPr>
                <w:rFonts w:eastAsia="Times New Roman"/>
                <w:noProof/>
                <w:color w:val="000000"/>
                <w:sz w:val="14"/>
                <w:szCs w:val="14"/>
                <w:lang w:eastAsia="en-GB"/>
              </w:rPr>
              <w:t xml:space="preserve">(SAN/234_5R) </w:t>
            </w:r>
          </w:p>
        </w:tc>
        <w:tc>
          <w:tcPr>
            <w:tcW w:w="1273"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lang w:eastAsia="en-GB"/>
              </w:rPr>
            </w:pPr>
            <w:r>
              <w:rPr>
                <w:rFonts w:eastAsia="Times New Roman"/>
                <w:noProof/>
                <w:color w:val="000000"/>
                <w:sz w:val="14"/>
                <w:szCs w:val="14"/>
                <w:lang w:eastAsia="en-GB"/>
              </w:rPr>
              <w:t xml:space="preserve">(SAN/234_6) </w:t>
            </w:r>
          </w:p>
        </w:tc>
        <w:tc>
          <w:tcPr>
            <w:tcW w:w="1276" w:type="dxa"/>
            <w:tcBorders>
              <w:top w:val="nil"/>
              <w:left w:val="nil"/>
              <w:bottom w:val="single" w:sz="4" w:space="0" w:color="auto"/>
              <w:right w:val="single" w:sz="4" w:space="0" w:color="auto"/>
            </w:tcBorders>
            <w:shd w:val="clear" w:color="auto" w:fill="auto"/>
            <w:noWrap/>
            <w:hideMark/>
          </w:tcPr>
          <w:p>
            <w:pPr>
              <w:spacing w:after="0"/>
              <w:jc w:val="center"/>
              <w:rPr>
                <w:rFonts w:eastAsia="Times New Roman"/>
                <w:noProof/>
                <w:color w:val="000000"/>
                <w:sz w:val="14"/>
                <w:szCs w:val="14"/>
                <w:lang w:eastAsia="en-GB"/>
              </w:rPr>
            </w:pPr>
            <w:r>
              <w:rPr>
                <w:rFonts w:eastAsia="Times New Roman"/>
                <w:noProof/>
                <w:color w:val="000000"/>
                <w:sz w:val="14"/>
                <w:szCs w:val="14"/>
                <w:lang w:eastAsia="en-GB"/>
              </w:rPr>
              <w:t>(SAN/234_7R)</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lang w:eastAsia="en-GB"/>
              </w:rPr>
            </w:pPr>
            <w:r>
              <w:rPr>
                <w:rFonts w:eastAsia="Times New Roman"/>
                <w:noProof/>
                <w:color w:val="000000"/>
                <w:sz w:val="14"/>
                <w:szCs w:val="14"/>
                <w:lang w:eastAsia="en-GB"/>
              </w:rPr>
              <w:t>Denmark</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lang w:eastAsia="en-GB"/>
              </w:rPr>
            </w:pPr>
            <w:r>
              <w:rPr>
                <w:rFonts w:eastAsia="Times New Roman"/>
                <w:noProof/>
                <w:sz w:val="14"/>
                <w:szCs w:val="14"/>
                <w:lang w:eastAsia="en-GB"/>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lang w:eastAsia="en-GB"/>
              </w:rPr>
            </w:pPr>
            <w:r>
              <w:rPr>
                <w:rFonts w:eastAsia="Times New Roman"/>
                <w:noProof/>
                <w:color w:val="000000"/>
                <w:sz w:val="14"/>
                <w:szCs w:val="14"/>
                <w:lang w:eastAsia="en-GB"/>
              </w:rPr>
              <w:t>Germany</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lang w:eastAsia="en-GB"/>
              </w:rPr>
            </w:pPr>
            <w:r>
              <w:rPr>
                <w:rFonts w:eastAsia="Times New Roman"/>
                <w:noProof/>
                <w:sz w:val="14"/>
                <w:szCs w:val="14"/>
                <w:lang w:eastAsia="en-GB"/>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lang w:eastAsia="en-GB"/>
              </w:rPr>
            </w:pPr>
            <w:r>
              <w:rPr>
                <w:rFonts w:eastAsia="Times New Roman"/>
                <w:noProof/>
                <w:color w:val="000000"/>
                <w:sz w:val="14"/>
                <w:szCs w:val="14"/>
                <w:lang w:eastAsia="en-GB"/>
              </w:rPr>
              <w:t>Sweden</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lang w:eastAsia="en-GB"/>
              </w:rPr>
            </w:pPr>
            <w:r>
              <w:rPr>
                <w:rFonts w:eastAsia="Times New Roman"/>
                <w:noProof/>
                <w:sz w:val="14"/>
                <w:szCs w:val="14"/>
                <w:lang w:eastAsia="en-GB"/>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lang w:eastAsia="en-GB"/>
              </w:rPr>
            </w:pPr>
            <w:r>
              <w:rPr>
                <w:rFonts w:eastAsia="Times New Roman"/>
                <w:noProof/>
                <w:color w:val="000000"/>
                <w:sz w:val="14"/>
                <w:szCs w:val="14"/>
                <w:lang w:eastAsia="en-GB"/>
              </w:rPr>
              <w:t>Union</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lang w:eastAsia="en-GB"/>
              </w:rPr>
            </w:pPr>
            <w:r>
              <w:rPr>
                <w:rFonts w:eastAsia="Times New Roman"/>
                <w:noProof/>
                <w:sz w:val="14"/>
                <w:szCs w:val="14"/>
                <w:lang w:eastAsia="en-GB"/>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lang w:eastAsia="en-GB"/>
              </w:rPr>
            </w:pPr>
            <w:r>
              <w:rPr>
                <w:rFonts w:eastAsia="Times New Roman"/>
                <w:noProof/>
                <w:color w:val="000000"/>
                <w:sz w:val="14"/>
                <w:szCs w:val="14"/>
                <w:lang w:eastAsia="en-GB"/>
              </w:rPr>
              <w:t>United Kingdom</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lang w:eastAsia="en-GB"/>
              </w:rPr>
            </w:pPr>
            <w:r>
              <w:rPr>
                <w:rFonts w:eastAsia="Times New Roman"/>
                <w:noProof/>
                <w:sz w:val="14"/>
                <w:szCs w:val="14"/>
                <w:lang w:eastAsia="en-GB"/>
              </w:rPr>
              <w:t>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0</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lang w:eastAsia="en-GB"/>
              </w:rPr>
            </w:pPr>
            <w:r>
              <w:rPr>
                <w:rFonts w:eastAsia="Times New Roman"/>
                <w:noProof/>
                <w:color w:val="000000"/>
                <w:sz w:val="14"/>
                <w:szCs w:val="14"/>
                <w:lang w:eastAsia="en-GB"/>
              </w:rPr>
              <w:t> </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lang w:eastAsia="en-GB"/>
              </w:rPr>
            </w:pPr>
            <w:r>
              <w:rPr>
                <w:rFonts w:eastAsia="Times New Roman"/>
                <w:noProof/>
                <w:sz w:val="14"/>
                <w:szCs w:val="14"/>
                <w:lang w:eastAsia="en-GB"/>
              </w:rPr>
              <w:t> </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w:t>
            </w: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4"/>
                <w:szCs w:val="14"/>
                <w:lang w:eastAsia="en-GB"/>
              </w:rPr>
            </w:pPr>
            <w:r>
              <w:rPr>
                <w:rFonts w:eastAsia="Times New Roman"/>
                <w:noProof/>
                <w:color w:val="000000"/>
                <w:sz w:val="14"/>
                <w:szCs w:val="14"/>
                <w:lang w:eastAsia="en-GB"/>
              </w:rPr>
              <w:t>Total</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sz w:val="14"/>
                <w:szCs w:val="14"/>
                <w:lang w:eastAsia="en-GB"/>
              </w:rPr>
            </w:pPr>
            <w:r>
              <w:rPr>
                <w:rFonts w:eastAsia="Times New Roman"/>
                <w:noProof/>
                <w:sz w:val="14"/>
                <w:szCs w:val="14"/>
                <w:lang w:eastAsia="en-GB"/>
              </w:rPr>
              <w:t xml:space="preserve"> 0</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4"/>
                <w:szCs w:val="14"/>
                <w:lang w:eastAsia="en-GB"/>
              </w:rPr>
            </w:pPr>
            <w:r>
              <w:rPr>
                <w:rFonts w:eastAsia="Times New Roman"/>
                <w:noProof/>
                <w:color w:val="000000"/>
                <w:sz w:val="14"/>
                <w:szCs w:val="14"/>
                <w:lang w:eastAsia="en-GB"/>
              </w:rPr>
              <w:t xml:space="preserve"> 0</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Greater silver smelt</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1 and 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Argentina silus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(ARU/1/2.)</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Greater silver smelt</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3a and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Argentina silus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(ARU/3A4-C)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Greater silver smelt</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5, 6 and 7</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Argentina silus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(ARU/567.)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Tusk</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1, 2 and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(USK/1214EI)</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Others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by-catches. No directed fisheries are permitted under this quota. Catches to be counted against this shared quota shall be reported separately (USK/1214EI_AMS).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Tusk</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(USK/04-C.)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Others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by-catches. No directed fisheries are permitted under this quota. Catches to be counted against this shared quota shall be reported separately (USK/04-C_AMS).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Tusk</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5, 6 and 7</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(USK/567EI.)</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Others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(2)(3)(4)(5)</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by-catches. No directed fisheries are permitted under this quota. Catches to be counted against this shared quota shall be reported separately (USK/567EI_AMS).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To be fished in Union waters of 2a, 4, 5b, 6 and 7 (USK/*24X7C).</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of which an incidental catch of other species of 25 % per ship, at any moment, is authorised in 5b, 6 and 7. However, this percentage may be exceeded in the first 24 hours following the beginning of the fishing on a specific ground. The total incidental catch of other species in 5b, 6 and 7 shall not exceed the amount below in tonnes (OTH/*5B67-). By-catch of cod under this provision in area 6a may not be more than 5%.</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Including ling. The following quotas for Norway shall only be fished with long-lines in 5b, 6 and 7:</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single" w:sz="4" w:space="0" w:color="auto"/>
              <w:left w:val="single" w:sz="4" w:space="0" w:color="auto"/>
              <w:bottom w:val="single" w:sz="4" w:space="0" w:color="auto"/>
              <w:right w:val="single" w:sz="4" w:space="0" w:color="auto"/>
            </w:tcBorders>
            <w:shd w:val="clear" w:color="auto" w:fill="auto"/>
            <w:noWrap/>
            <w:hideMark/>
          </w:tcPr>
          <w:p>
            <w:pPr>
              <w:spacing w:after="0"/>
              <w:rPr>
                <w:rFonts w:eastAsia="Times New Roman"/>
                <w:b/>
                <w:bCs/>
                <w:noProof/>
                <w:sz w:val="18"/>
                <w:szCs w:val="18"/>
                <w:lang w:eastAsia="en-GB"/>
              </w:rPr>
            </w:pPr>
            <w:r>
              <w:rPr>
                <w:rFonts w:eastAsia="Times New Roman"/>
                <w:b/>
                <w:bCs/>
                <w:noProof/>
                <w:sz w:val="18"/>
                <w:szCs w:val="18"/>
                <w:vertAlign w:val="superscript"/>
                <w:lang w:eastAsia="en-GB"/>
              </w:rPr>
              <w:t>Ling  (LIN/*5B67-)</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sz w:val="18"/>
                <w:szCs w:val="18"/>
                <w:lang w:eastAsia="en-GB"/>
              </w:rPr>
            </w:pPr>
            <w:r>
              <w:rPr>
                <w:rFonts w:eastAsia="Times New Roman"/>
                <w:b/>
                <w:bCs/>
                <w:noProof/>
                <w:sz w:val="18"/>
                <w:szCs w:val="18"/>
                <w:vertAlign w:val="superscript"/>
                <w:lang w:eastAsia="en-GB"/>
              </w:rPr>
              <w:t>Tusk  (USK/*5B67-)</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(5)</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The tusk and ling quotas for Norway are interchangeable up to the following amount, in tonnes: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Tusk</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Brosme brosme</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(USK/04-N.)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Boarfish</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6, 7 and 8</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Caproidae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(BOR/678-)</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Catches of herring taken in fisheries using nets with mesh sizes equal to or larger than 32 mm.</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up to pm % of this amount may be fished in Union waters of 4 (HER/*04-C.).</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436" w:type="dxa"/>
            <w:tcBorders>
              <w:top w:val="nil"/>
              <w:left w:val="nil"/>
              <w:bottom w:val="nil"/>
              <w:right w:val="nil"/>
            </w:tcBorders>
            <w:shd w:val="clear" w:color="auto" w:fill="auto"/>
            <w:noWrap/>
            <w:vAlign w:val="bottom"/>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May only be fished in the Skagerrak (HER/*03AN.).</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Norwegian waters of 4 north of 53º30' 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(HER/4AB.)</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Catches of herring taken in fisheries using nets with mesh sizes equal to or larger than 32 mm.</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xml:space="preserve">Catches taken within this quota are to be deducted from Norway's share of the TAC. Within the limit of this quota, no more than the quantity given below may be taken in Union waters of 4a and 4b (HER/*4AB-C). An additional quantity of maximum 10 000 tonnes will be granted if such an increase is called for by Norway.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Special condition: within the limits of the abovementioned quotas, no more than the quantities given below may be taken by the Union in Norwegian waters south of 62°N. An additional quantity of maximum 10 000 tonnes will be granted if such an increase is called for by the European Union.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1680"/>
        </w:trPr>
        <w:tc>
          <w:tcPr>
            <w:tcW w:w="4145" w:type="dxa"/>
            <w:gridSpan w:val="3"/>
            <w:tcBorders>
              <w:top w:val="nil"/>
              <w:left w:val="nil"/>
              <w:bottom w:val="single" w:sz="4" w:space="0" w:color="auto"/>
              <w:right w:val="nil"/>
            </w:tcBorders>
            <w:shd w:val="clear" w:color="auto" w:fill="auto"/>
            <w:hideMark/>
          </w:tcPr>
          <w:p>
            <w:pPr>
              <w:spacing w:after="0"/>
              <w:rPr>
                <w:rFonts w:ascii="Calibri" w:eastAsia="Times New Roman" w:hAnsi="Calibri" w:cs="Calibri"/>
                <w:noProof/>
                <w:color w:val="000000"/>
                <w:sz w:val="18"/>
                <w:szCs w:val="18"/>
                <w:lang w:eastAsia="en-GB"/>
              </w:rPr>
            </w:pPr>
            <w:r>
              <w:rPr>
                <w:rFonts w:eastAsia="Times New Roman"/>
                <w:noProof/>
                <w:color w:val="000000"/>
                <w:sz w:val="18"/>
                <w:szCs w:val="18"/>
                <w:lang w:eastAsia="en-GB"/>
              </w:rPr>
              <w:t>Norwegian waters south of 62ºN (HER/*4N-S62)</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xml:space="preserve">Herring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south of 62ºN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By-catches of cod, haddock, pollack and whiting and saithe are to be counted against the quota for these species.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(HER/03A-BC)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catches of herring taken as by-catch in fisheries using nets with mesh sizes smaller than 32 mm.</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4, 7d and Union waters of 2a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(HER/2A47DX)</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sz w:val="18"/>
                <w:szCs w:val="18"/>
                <w:vertAlign w:val="superscript"/>
                <w:lang w:eastAsia="en-GB"/>
              </w:rPr>
              <w:t>Exclusively for catches of herring taken as by-catch in fisheries using nets with mesh sizes smaller than 32 mm.</w:t>
            </w:r>
            <w:r>
              <w:rPr>
                <w:rFonts w:eastAsia="Times New Roman"/>
                <w:noProof/>
                <w:color w:val="000000"/>
                <w:sz w:val="18"/>
                <w:szCs w:val="18"/>
                <w:lang w:eastAsia="en-GB"/>
              </w:rPr>
              <w:t> </w:t>
            </w:r>
          </w:p>
        </w:tc>
      </w:tr>
      <w:tr>
        <w:trPr>
          <w:trHeight w:val="270"/>
        </w:trPr>
        <w:tc>
          <w:tcPr>
            <w:tcW w:w="142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auto"/>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 (1)</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4c, 7d(2)</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(HER/4CXB7D)</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catches of herring taken in fisheries using nets with mesh sizes equal to or larger than 32 mm.</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Except Blackwater stock: reference is to the herring stock in the maritime region of the Thames estuary within a zone delimited by a rhumb line running due south from Landguard Point (51° 56' N, 1° 19,1' E) to latitude 51° 33' N and hence due west to a point on the coast of the United Kingdom.</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up to 50 % of this quota may be taken in 4b (HER/*04B.).</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5b, 6b and 6aN(1)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(HER/5B6ANB)</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xml:space="preserve">Reference is to the herring stock in the part of ICES zone 6a which lies east of the meridian of longitude 7ºW and north of the parallel of latitude 55ºN, or west of the meridian of longitude 7ºW and north of the parallel of latitude 56ºN, excluding the Clyde. </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single" w:sz="8" w:space="0" w:color="auto"/>
              <w:right w:val="nil"/>
            </w:tcBorders>
            <w:shd w:val="clear" w:color="auto" w:fill="auto"/>
            <w:noWrap/>
            <w:vAlign w:val="bottom"/>
            <w:hideMark/>
          </w:tcPr>
          <w:p>
            <w:pPr>
              <w:spacing w:after="0"/>
              <w:rPr>
                <w:rFonts w:eastAsia="Times New Roman"/>
                <w:noProof/>
                <w:sz w:val="18"/>
                <w:szCs w:val="18"/>
                <w:lang w:eastAsia="en-GB"/>
              </w:rPr>
            </w:pPr>
            <w:r>
              <w:rPr>
                <w:rFonts w:eastAsia="Times New Roman"/>
                <w:noProof/>
                <w:sz w:val="18"/>
                <w:szCs w:val="18"/>
                <w:vertAlign w:val="superscript"/>
                <w:lang w:eastAsia="en-GB"/>
              </w:rPr>
              <w:t>It shall be prohibited to target any herring in the part of the ICES zones subject to this TAC that lies between 56ºN and 57º30' N, with the exception of a six nautical mile belt measured from the baseline of the United Kingdom's territorial sea.</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6aS(1), 7b, 7c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(HER/6AS7BC)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single" w:sz="8" w:space="0" w:color="000000"/>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Reference is to the herring stock in 6a south of 56º00' N and west of 07º00' W.</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Clyde(1)</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(HER/06ACL.)</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2862"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Clyde stock: reference is to the herring stock in the maritime area situated to the north-east of a line drawn between: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xml:space="preserve">- the Mull of Kintyre (55°17.9'N, 05°47.8'W); </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a point at position 55°04'N, 05°23'W, and;</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Corsewall Point (55°00.5'N, 05°09.4'W).</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7a(1)</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(HER/07A/MM)</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United Kingdom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This zone is reduced by the area bounded:</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to the north by latitude 52º30' N,</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to the south by latitude 52º00' N,</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to the west by the coast of Ireland,</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to the east by the coast of the United Kingdom.</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7e and 7f</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(HER/7EF.)</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Union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Herring</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7g(1), 7h(1), 7j(1) and 7k(1)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Clupea harengus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(HER/7G-K.)</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Union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This zone is increased by the area bounded:</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to the north by latitude 52º30' N,</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to the south by latitude 52º00' N,</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to the west by the coast of Ireland,</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to the east by the coast of the United Kingdom.</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This quota may only be allocated to vessels participating in the sentinel fishery to allow fisheries-based data collection for this stock as assessed by ICES. The Member States concerned shall communicate the name(s) of the vessel(s) to the Commission before allowing any catches.</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Anchovy</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Engraulis encrasicolus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(ANE/08.)</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vAlign w:val="bottom"/>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vAlign w:val="bottom"/>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Anchovy</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9 and 10; Union waters of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Engraulis encrasicolus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(ANE/9/3411)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xml:space="preserve">The quota may only be fished from 1 July 2021 to 30 June 2022. </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Skagerrak</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(COD/03AN.)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Kattegat</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(COD/03AS.)</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by-catches. No directed fisheries are permitted under this quota.</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4; Union waters of 2a; that part of 3a not covered by the Skagerrak and Kattegat</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(COD/2A3AX4)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5129"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Special condition: of which up to 5 % may be fished in: 7d (COD/*07D.).</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May be taken in Union waters. Catches taken within this quota are to be deducted from Norway's share of the TAC.</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  in the following zone:</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5279" w:type="dxa"/>
            <w:gridSpan w:val="4"/>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4 (COD/*04N-)</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nil"/>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Cod</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south of 62ºN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Gadus morhua</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(COD/4N-S62)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By-catches of haddock, pollack and whiting and saithe are to be counted against the quota for these species.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6b; Union and international waters of 5b west of 12º00' W and of 12 and 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Gadus morhua</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(COD/5W6-14)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6a; Union and international waters of 5b east of 12º00' W</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Gadus morhua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(COD/5BE6A)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United Kingdom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lang w:eastAsia="en-GB"/>
              </w:rPr>
            </w:pPr>
            <w:r>
              <w:rPr>
                <w:rFonts w:ascii="Cambria" w:eastAsia="Times New Roman" w:hAnsi="Cambria" w:cs="Arial"/>
                <w:noProof/>
                <w:sz w:val="20"/>
                <w:szCs w:val="20"/>
                <w:vertAlign w:val="superscript"/>
                <w:lang w:eastAsia="en-GB"/>
              </w:rPr>
              <w:t>Exclusively for by-catches of cod in fisheries for other species. No directed fisheries for cod are permitted under this quota.</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Gadus morhua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(COD/07A.)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Union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by-catches. No directed fisheries are permitted under this quota.</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7b, 7c, 7e-k, 8, 9 and 10; Union waters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Gadus morhua</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of CECAF 34.1.1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(COD/7XAD34)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single" w:sz="8" w:space="0" w:color="auto"/>
              <w:right w:val="nil"/>
            </w:tcBorders>
            <w:shd w:val="clear" w:color="auto" w:fill="auto"/>
            <w:noWrap/>
            <w:vAlign w:val="bottom"/>
            <w:hideMark/>
          </w:tcPr>
          <w:p>
            <w:pPr>
              <w:spacing w:after="0"/>
              <w:rPr>
                <w:rFonts w:eastAsia="Times New Roman"/>
                <w:noProof/>
                <w:color w:val="000000"/>
                <w:sz w:val="18"/>
                <w:szCs w:val="18"/>
                <w:lang w:eastAsia="en-GB"/>
              </w:rPr>
            </w:pPr>
            <w:r>
              <w:rPr>
                <w:rFonts w:ascii="Cambria" w:eastAsia="Times New Roman" w:hAnsi="Cambria" w:cs="Arial"/>
                <w:noProof/>
                <w:sz w:val="20"/>
                <w:szCs w:val="20"/>
                <w:vertAlign w:val="superscript"/>
                <w:lang w:eastAsia="en-GB"/>
              </w:rPr>
              <w:t>Exclusively for by-catches of cod in fisheries for other species. No directed fisheries for cod are permitted under this quota.</w:t>
            </w:r>
            <w:r>
              <w:rPr>
                <w:rFonts w:eastAsia="Times New Roman"/>
                <w:noProof/>
                <w:color w:val="000000"/>
                <w:sz w:val="18"/>
                <w:szCs w:val="18"/>
                <w:lang w:eastAsia="en-GB"/>
              </w:rPr>
              <w:t> </w:t>
            </w:r>
          </w:p>
        </w:tc>
      </w:tr>
      <w:tr>
        <w:trPr>
          <w:trHeight w:val="270"/>
        </w:trPr>
        <w:tc>
          <w:tcPr>
            <w:tcW w:w="142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auto"/>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auto"/>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7d</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Gadus morhua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(COD/07D.)</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Union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Special condition: of which up to 5 % may be fished in: 4; Union waters of 2a; that part of 3a not covered by the Skagerrak and Kattegat (COD/*2A3X4).</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Megrims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Lepidorhombus spp.</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(LEZ/2AC4-C)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Megrims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5b; 6;</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Lepidorhombus spp.</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international waters of 12 and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(LEZ/56-14)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United Kingdom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Special condition: of which up to 5 % may be fished in: Union waters of 2a and 4 (LEZ/*2AC4C).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Megrims</w:t>
            </w: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sz w:val="18"/>
                <w:szCs w:val="18"/>
                <w:lang w:eastAsia="en-GB"/>
              </w:rPr>
              <w:t>Lepidorhombus spp.</w:t>
            </w: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(LEZ/07.)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auto"/>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single" w:sz="8" w:space="0" w:color="auto"/>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10 % of this quota may be used in 8a, 8b, 8d and 8e (LEZ/*8ABDE) for by-catches in directed fisheries for sole.</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35 % of this quota may be fished in 8a, 8b, 8d and 8e (LEZ/*8ABDE).</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Megrims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8a, 8b, 8d and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Lepidorhombus spp.</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(LEZ/8ABDE.)</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Megrims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8c, 9 and 10; Union waters of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Lepidorhombus spp.</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(LEZ/8C3411)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1 912</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96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64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2 072</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2 158</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Anglerfish</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Lophiidae</w:t>
            </w:r>
          </w:p>
        </w:tc>
        <w:tc>
          <w:tcPr>
            <w:tcW w:w="1283"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(ANF/2AC4-C)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Special condition: of which up to 10 % may be fished in: 6; Union and international waters of 5b; international waters of 12 and 14 (ANF/*56-14).</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Anglerfish</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Lophiidae</w:t>
            </w:r>
          </w:p>
        </w:tc>
        <w:tc>
          <w:tcPr>
            <w:tcW w:w="1283"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(ANF/04-N.)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Anglerfish</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Union and international waters of 5b; international waters of 12 and 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Lophiidae</w:t>
            </w:r>
          </w:p>
        </w:tc>
        <w:tc>
          <w:tcPr>
            <w:tcW w:w="1283"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(ANF/56-14)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Special condition: of which up to 5 % may be fished in: Union waters of 2a and 4 (ANF/*2AC4C).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Anglerfish</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Lophiidae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(ANF/07.)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of which up to 10 % may be fished in 8a, 8b, 8d and 8e (ANF/*8ABDE).</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Anglerfish</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8a, 8b, 8d and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Lophiidae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(ANF/8ABDE.)</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Anglerfish</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8c, 9 and 10; Union waters of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Lophiidae</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(ANF/8C3411)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2 934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3</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584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3 521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3 672</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Haddock</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sz w:val="18"/>
                <w:szCs w:val="18"/>
                <w:lang w:eastAsia="en-GB"/>
              </w:rPr>
            </w:pPr>
            <w:r>
              <w:rPr>
                <w:rFonts w:eastAsia="Times New Roman"/>
                <w:i/>
                <w:iCs/>
                <w:noProof/>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(HAD/03A.)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Haddock</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4; Union waters of 2a</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Melanogrammus aeglefinus</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(HAD/2AC4.)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Sweden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  in the following zones: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4145" w:type="dxa"/>
            <w:gridSpan w:val="3"/>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4 (HAD/*04N-)</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Haddock</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south of 62ºN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(HAD/4N-S62)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By-catches of cod, pollack, whiting and saithe are to be counted against the quota for these species.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Haddock</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6b, 12 and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(HAD/6B1214)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Haddock</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5b and 6a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(HAD/5BC6A.)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Not more than 10 % of this quota may be fished in 4; Union waters of 2a (HAD/*2AC4.).</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Haddock</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7b-k, 8, 9 and 10; Union waters of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(HAD/7X7A34)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Haddock</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Melanogrammus aeglefinus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(HAD/07A.)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nil"/>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Whiting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Merlangius merlangus</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(WHG/03A.)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nil"/>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Whiting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4; Union waters of 2a</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Merlangius merlangus</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(WHG/2AC4.)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Sweden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May be taken in Union waters. Catches taken within this quota are to be deducted from Norway's share of the TAC.</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  in the following zones: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4145" w:type="dxa"/>
            <w:gridSpan w:val="3"/>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4 (WHG/*04N-)</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Whiting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Union and international waters of 5b; international waters of 12 and 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Merlangius merlangus</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(WHG/56-14)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lang w:eastAsia="en-GB"/>
              </w:rPr>
            </w:pPr>
            <w:r>
              <w:rPr>
                <w:rFonts w:ascii="Cambria" w:eastAsia="Times New Roman" w:hAnsi="Cambria" w:cs="Arial"/>
                <w:noProof/>
                <w:sz w:val="20"/>
                <w:szCs w:val="20"/>
                <w:vertAlign w:val="superscript"/>
                <w:lang w:eastAsia="en-GB"/>
              </w:rPr>
              <w:t>Exclusively for by-catches of whiting in fisheries for other species. No directed fisheries for whiting are permitted under this quota.</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Whiting</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Merlangius merlangus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(WHG/07A.)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lang w:eastAsia="en-GB"/>
              </w:rPr>
            </w:pPr>
            <w:r>
              <w:rPr>
                <w:rFonts w:ascii="Cambria" w:eastAsia="Times New Roman" w:hAnsi="Cambria" w:cs="Arial"/>
                <w:noProof/>
                <w:sz w:val="20"/>
                <w:szCs w:val="20"/>
                <w:vertAlign w:val="superscript"/>
                <w:lang w:eastAsia="en-GB"/>
              </w:rPr>
              <w:t>Exclusively for by-catches of whiting in fisheries for other species. No directed fisheries for whiting are permitted under this quota.</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Whiting</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val="pt-PT" w:eastAsia="en-GB"/>
              </w:rPr>
            </w:pPr>
            <w:r>
              <w:rPr>
                <w:rFonts w:eastAsia="Times New Roman"/>
                <w:noProof/>
                <w:color w:val="000000"/>
                <w:sz w:val="18"/>
                <w:szCs w:val="18"/>
                <w:lang w:val="pt-PT" w:eastAsia="en-GB"/>
              </w:rPr>
              <w:t>7b, 7c, 7d, 7e, 7f, 7g, 7h, 7j and 7k</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val="pt-PT" w:eastAsia="en-GB"/>
              </w:rPr>
            </w:pPr>
            <w:r>
              <w:rPr>
                <w:rFonts w:eastAsia="Times New Roman"/>
                <w:noProof/>
                <w:color w:val="000000"/>
                <w:sz w:val="18"/>
                <w:szCs w:val="18"/>
                <w:lang w:val="pt-PT"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Merlangius merlangus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(WHG/7X7A-C)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Union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Whiting</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Merlangius merlangus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(WHG/08.)</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Whiting and pollack</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south of 62ºN</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Merlangius merlangus and</w:t>
            </w:r>
          </w:p>
        </w:tc>
        <w:tc>
          <w:tcPr>
            <w:tcW w:w="1276" w:type="dxa"/>
            <w:tcBorders>
              <w:top w:val="nil"/>
              <w:left w:val="single" w:sz="8" w:space="0" w:color="000000"/>
              <w:bottom w:val="nil"/>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(W/P/4N-S62)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Pollachius pollachius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By-catches of cod, haddock and saithe are to be counted against the quota for these species.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Hake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(HKE/03A.)</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Transfers of this quota may be effected to Union waters of 2a and 4. However, such transfers shall be notified in advance to the Commission.</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85"/>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Hake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(HKE/2AC4-C)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Not more than 10 % of this quota may be used for by-catch in 3a (HKE/*03A.).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Hake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and 7; Union and international waters of 5b;</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Merluccius merluccius</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international waters of 12 and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(HKE/571214)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Transfers of this quota may be effected to Union waters of 2a and 4. However, such transfers shall be notified in advance to the Commission.</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  in the following zones: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1200"/>
        </w:trPr>
        <w:tc>
          <w:tcPr>
            <w:tcW w:w="4145" w:type="dxa"/>
            <w:gridSpan w:val="3"/>
            <w:tcBorders>
              <w:top w:val="nil"/>
              <w:left w:val="nil"/>
              <w:bottom w:val="single" w:sz="4" w:space="0" w:color="auto"/>
              <w:right w:val="nil"/>
            </w:tcBorders>
            <w:shd w:val="clear" w:color="auto" w:fill="auto"/>
            <w:hideMark/>
          </w:tcPr>
          <w:p>
            <w:pPr>
              <w:spacing w:after="0"/>
              <w:rPr>
                <w:rFonts w:ascii="Calibri" w:eastAsia="Times New Roman" w:hAnsi="Calibri" w:cs="Calibri"/>
                <w:noProof/>
                <w:color w:val="000000"/>
                <w:sz w:val="18"/>
                <w:szCs w:val="18"/>
                <w:lang w:eastAsia="en-GB"/>
              </w:rPr>
            </w:pPr>
            <w:r>
              <w:rPr>
                <w:rFonts w:eastAsia="Times New Roman"/>
                <w:noProof/>
                <w:color w:val="000000"/>
                <w:sz w:val="18"/>
                <w:szCs w:val="18"/>
                <w:lang w:eastAsia="en-GB"/>
              </w:rPr>
              <w:t>8a, 8b, 8d and 8e (HKE/*8ABDE)</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Hake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8a, 8b, 8d and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(HKE/8ABDE.)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Transfers of this quota may be effected to 4 and Union waters of 2a. However, such transfers shall be notified in advance to the Commission.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  in the following zones:</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and 7; Union and international waters of 5b; international waters of 12 and 14 (HKE/*57-14)</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Hake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8c, 9 and 10; Union waters of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Merluccius merluccius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(HKE/8C3411)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4 889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469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2 281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7 639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7 825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Blue whiting</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2 and 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(WHB/24-N.)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Blue whiting</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Union and international waters of 1, 2, 3, 4, 5, 6, 7, 8a, 8b, 8d, 8e, 12 and 14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(WHB/1X14)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tcPr>
          <w:p>
            <w:pPr>
              <w:spacing w:after="0"/>
              <w:jc w:val="left"/>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0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within a total access quantity of pm tonnes for the Union, Member States may fish up to the following percentage of their quotas in Faroese waters (WHB/*05-F.): pm</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Transfers of this quota may be effected to 8c, 9 and 10; Union waters of CECAF 34.1.1. However, such transfers shall be notified in advance to the Commission.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from the EU quotas in Union and international waters of 1, 2, 3, 4, 5, 6, 7, 8a, 8b, 8d, 8e, 12 and 14 (WHB/*NZJM1) and in 8c, 9 and 10; Union waters of CECAF 34.1.1 (WHB/*NZJM2), the following quantity may be fished in the Norwegian Economic Zone or in the fishery zone around Jan Mayen: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Blue whiting</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8c, 9 and 10; Union waters of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(WHB/8C3411)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from the EU quotas in Union and international waters of 1, 2, 3, 4, 5, 6, 7, 8a, 8b, 8d, 8e, 12 and 14 (WHB/*NZJM1) and in 8c, 9 and 10; Union waters of CECAF 34.1.1 (WHB/*NZJM2), the following quantity may be fished in the Norwegian Economic Zone or in the fishery zone around Jan Mayen: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Blue whiting</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 4a, 5, 6 north of 56° 30' N and 7 west of 12° W</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Micromesistius poutassou</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(WHB/24A567)</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 (4)</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To be counted against Norway's catch limits established under the Coastal States arrangement.</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the catch in 4a shall be no more than the following amount (WHB/*04A-C):</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This catch limit in 4a amounts to the following percentage of Norway's access quota:</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5129" w:type="dxa"/>
            <w:gridSpan w:val="4"/>
            <w:tcBorders>
              <w:top w:val="nil"/>
              <w:left w:val="nil"/>
              <w:bottom w:val="nil"/>
              <w:right w:val="nil"/>
            </w:tcBorders>
            <w:shd w:val="clear" w:color="auto" w:fill="auto"/>
            <w:noWrap/>
            <w:vAlign w:val="bottom"/>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To be counted against the catch limits of the Faroe Islands.</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(4)</w:t>
            </w:r>
          </w:p>
        </w:tc>
        <w:tc>
          <w:tcPr>
            <w:tcW w:w="8815" w:type="dxa"/>
            <w:gridSpan w:val="7"/>
            <w:tcBorders>
              <w:top w:val="nil"/>
              <w:left w:val="nil"/>
              <w:bottom w:val="nil"/>
              <w:right w:val="nil"/>
            </w:tcBorders>
            <w:shd w:val="clear" w:color="auto" w:fill="auto"/>
            <w:noWrap/>
            <w:vAlign w:val="bottom"/>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conditions: may also be fished in 6b (WHB/*06B-C). The catch in 4a shall be no more than the following amount (WHB/*04A-C):</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vAlign w:val="bottom"/>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Lemon sole and witch flounder</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Microstomus kitt and</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(L/W/2AC4-C)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Glyptocephalus cynoglossus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Blue ling</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5b, 6 and 7</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(BLI/5B67-)</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Estonia</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Lithuania</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Others</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sz w:val="20"/>
                <w:szCs w:val="20"/>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r>
              <w:rPr>
                <w:rFonts w:eastAsia="Times New Roman"/>
                <w:noProof/>
                <w:sz w:val="20"/>
                <w:szCs w:val="20"/>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by-catches. No directed fisheries are permitted under this quota. Catches to be counted against this shared quota shall be reported separately (BLI/5B67_AMS).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To be fished in Union waters of 2a, 4, 5b, 6 and 7 (BLI/*24X7C).</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By-catches of roundnose grenadier and black scabbardfish to be counted against this quota. To be fished in Union waters of 6a north of 56° 30′N and 6b. This provision shall not apply for catches subject to the landing obligation.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Blue ling</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International waters of 12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(BLI/12INT-)</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Estonia</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Lithuania</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Others</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by-catches. No directed fisheries are permitted under this quota. Catches to be counted against this shared quota shall be reported separately (BLI/12INT_AMS).</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Blue ling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2 and 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(BLI/24-)</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Others</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by-catches. No directed fisheries are permitted under this quota. Catches to be counted against this shared quota shall be reported separately (BLI/24_AMS).</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Blue ling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3a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Molva dypterygia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(BLI/03A-)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Ling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1 and 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(LIN/1/2.)</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Others</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Exclusively for by-catches. No directed fisheries are permitted under this quota. Catches to be counted against this shared quota shall be reported separately (LIN/1/2_AMS).</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Ling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3a</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(LIN/03A-C.)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Ling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(LIN/04-C.)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Special condition: of which up to 25 % but no more than 75t may be fished in: Union waters of 3a (LIN/*03A-C).</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Ling</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5</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(LIN/05EI.)</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Ling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6, 7, 8, 9, 10, 12 and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(LIN/6X14.)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(5)(6)</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Special condition: of which up to 35 % may be fished in: Union waters of 4 (LIN/*04-C.).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of which an incidental catch of other species of 25 % per vessel, at any moment, is authorised in 5b, 6 and 7. However, this percentage may be exceeded in the first 24 hours following the beginning of the fishing on a specific ground. The total incidental catch of other species in 5b, 6 and 7 shall not exceed the amount below in tonnes (OTH/*6X14.). By-catch of cod under this provision in area 6a may not be more than 5%.</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Including tusk. The quotas for Norway shall only be fished with long-lines in 5b, 6 and 7, and they amount to:</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pPr>
              <w:spacing w:after="0"/>
              <w:rPr>
                <w:rFonts w:eastAsia="Times New Roman"/>
                <w:noProof/>
                <w:sz w:val="18"/>
                <w:szCs w:val="18"/>
                <w:lang w:eastAsia="en-GB"/>
              </w:rPr>
            </w:pPr>
            <w:r>
              <w:rPr>
                <w:rFonts w:eastAsia="Times New Roman"/>
                <w:noProof/>
                <w:sz w:val="18"/>
                <w:szCs w:val="18"/>
                <w:vertAlign w:val="superscript"/>
                <w:lang w:eastAsia="en-GB"/>
              </w:rPr>
              <w:t>Ling (LIN/*5B67-)</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single" w:sz="4" w:space="0" w:color="auto"/>
              <w:bottom w:val="single" w:sz="4" w:space="0" w:color="auto"/>
              <w:right w:val="single" w:sz="4" w:space="0" w:color="auto"/>
            </w:tcBorders>
            <w:shd w:val="clear" w:color="auto" w:fill="auto"/>
            <w:noWrap/>
            <w:vAlign w:val="center"/>
            <w:hideMark/>
          </w:tcPr>
          <w:p>
            <w:pPr>
              <w:spacing w:after="0"/>
              <w:rPr>
                <w:rFonts w:eastAsia="Times New Roman"/>
                <w:noProof/>
                <w:sz w:val="18"/>
                <w:szCs w:val="18"/>
                <w:lang w:eastAsia="en-GB"/>
              </w:rPr>
            </w:pPr>
            <w:r>
              <w:rPr>
                <w:rFonts w:eastAsia="Times New Roman"/>
                <w:noProof/>
                <w:sz w:val="18"/>
                <w:szCs w:val="18"/>
                <w:vertAlign w:val="superscript"/>
                <w:lang w:eastAsia="en-GB"/>
              </w:rPr>
              <w:t>Tusk (USK/*5B67-)</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(4)</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The ling and tusk quotas for Norway are interchangeable up to the following amount, in tonnes:</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(5)</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Including tusk. To be fished in 6b and 6a north of 56º30' N (LIN/*6BAN.).</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(6)</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of which an incidental catch of other species of 20 % per vessel, at any moment, is authorised in 6a and 6b. However, this percentage may be exceeded in the first 24 hours following the beginning of the fishing on a specific ground. The total incidental catch of other species in 6a and 6b shall not exceed the following amount in tonnes (OTH/*6AB.):</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vertAlign w:val="superscript"/>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Ling</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Molva molva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(LIN/04-N.)</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Norway lobster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(NEP/03A.)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Denmark </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0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Norway lobster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(NEP/2AC4-C)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4"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Norway lobster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(NEP/04-N.)</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2862" w:type="dxa"/>
            <w:gridSpan w:val="2"/>
            <w:tcBorders>
              <w:top w:val="nil"/>
              <w:left w:val="nil"/>
              <w:bottom w:val="nil"/>
              <w:right w:val="nil"/>
            </w:tcBorders>
            <w:shd w:val="clear" w:color="auto" w:fill="auto"/>
            <w:noWrap/>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Norway lobster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Union and international waters of 5b</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(NEP/5BC6.)</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Norway lobster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(NEP/07.)</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  in the following zone:</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5279" w:type="dxa"/>
            <w:gridSpan w:val="4"/>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Functional Unit 16 of ICES Subarea 7 (NEP/*07U16):</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tcPr>
          <w:p>
            <w:pPr>
              <w:spacing w:after="0"/>
              <w:rPr>
                <w:rFonts w:eastAsia="Times New Roman"/>
                <w:noProof/>
                <w:color w:val="000000"/>
                <w:sz w:val="18"/>
                <w:szCs w:val="18"/>
                <w:vertAlign w:val="superscript"/>
                <w:lang w:eastAsia="en-GB"/>
              </w:rPr>
            </w:pPr>
            <w:r>
              <w:rPr>
                <w:rFonts w:eastAsia="Times New Roman"/>
                <w:noProof/>
                <w:color w:val="000000"/>
                <w:sz w:val="18"/>
                <w:szCs w:val="18"/>
                <w:vertAlign w:val="superscript"/>
                <w:lang w:eastAsia="en-GB"/>
              </w:rPr>
              <w:t>United Kingdom</w:t>
            </w:r>
          </w:p>
        </w:tc>
        <w:tc>
          <w:tcPr>
            <w:tcW w:w="1436" w:type="dxa"/>
            <w:tcBorders>
              <w:top w:val="nil"/>
              <w:left w:val="nil"/>
              <w:bottom w:val="nil"/>
              <w:right w:val="nil"/>
            </w:tcBorders>
            <w:shd w:val="clear" w:color="auto" w:fill="auto"/>
            <w:noWrap/>
          </w:tcPr>
          <w:p>
            <w:pPr>
              <w:spacing w:after="0"/>
              <w:rPr>
                <w:rFonts w:eastAsia="Times New Roman"/>
                <w:noProof/>
                <w:color w:val="000000"/>
                <w:sz w:val="18"/>
                <w:szCs w:val="18"/>
                <w:vertAlign w:val="superscript"/>
                <w:lang w:eastAsia="en-GB"/>
              </w:rPr>
            </w:pPr>
          </w:p>
        </w:tc>
        <w:tc>
          <w:tcPr>
            <w:tcW w:w="1283" w:type="dxa"/>
            <w:tcBorders>
              <w:top w:val="nil"/>
              <w:left w:val="nil"/>
              <w:bottom w:val="nil"/>
              <w:right w:val="nil"/>
            </w:tcBorders>
            <w:shd w:val="clear" w:color="auto" w:fill="auto"/>
            <w:noWrap/>
          </w:tcPr>
          <w:p>
            <w:pPr>
              <w:spacing w:after="0"/>
              <w:jc w:val="center"/>
              <w:rPr>
                <w:rFonts w:eastAsia="Times New Roman"/>
                <w:noProof/>
                <w:color w:val="000000"/>
                <w:sz w:val="18"/>
                <w:szCs w:val="18"/>
                <w:vertAlign w:val="superscript"/>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center"/>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Norway lobster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8a, 8b, 8d and 8e</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(NEP/8ABDE.)</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Norway lobster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(NEP/08C.)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2,4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0,0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2,4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2,4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0241" w:type="dxa"/>
            <w:gridSpan w:val="8"/>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Exclusively for catches taken as part of a sentinel fishery to collect catch per unit effort (CPUE) data with vessels carrying observers on board:</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6266" w:type="dxa"/>
            <w:gridSpan w:val="5"/>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xml:space="preserve"> 1,7 tonnes in functional unit 25 during five trips per month in August and September;</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3853"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0,7 tonnes in  functional unit 31 during 7 days in July.</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Norway lobster</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9 and 10; Union waters of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Nephrops norvegicus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(NEP/9/3411)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Of which no more than 6% may  be taken in Functional Units 26 and 27 of ICES division 9a (NEP/*9U267).</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Within the limits of the abovementioned TAC, no more than the following amount may be taken in Functional Unit 30 of ICES division 9a (NEP/*9U30):</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jc w:val="center"/>
              <w:rPr>
                <w:rFonts w:eastAsia="Times New Roman"/>
                <w:noProof/>
                <w:sz w:val="18"/>
                <w:szCs w:val="18"/>
                <w:lang w:eastAsia="en-GB"/>
              </w:rPr>
            </w:pPr>
            <w:r>
              <w:rPr>
                <w:rFonts w:eastAsia="Times New Roman"/>
                <w:noProof/>
                <w:sz w:val="18"/>
                <w:szCs w:val="18"/>
                <w:vertAlign w:val="superscript"/>
                <w:lang w:eastAsia="en-GB"/>
              </w:rPr>
              <w:t>pm</w:t>
            </w:r>
          </w:p>
        </w:tc>
        <w:tc>
          <w:tcPr>
            <w:tcW w:w="1283" w:type="dxa"/>
            <w:tcBorders>
              <w:top w:val="nil"/>
              <w:left w:val="nil"/>
              <w:bottom w:val="nil"/>
              <w:right w:val="nil"/>
            </w:tcBorders>
            <w:shd w:val="clear" w:color="auto" w:fill="auto"/>
            <w:noWrap/>
            <w:hideMark/>
          </w:tcPr>
          <w:p>
            <w:pPr>
              <w:spacing w:after="0"/>
              <w:jc w:val="center"/>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Northern prawn</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Pandalus borealis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(PRA/03A.)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Northern prawn</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Pandalus borealis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(PRA/2AC4-C)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Northern prawn</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south of 62ºN</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Pandalus borealis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(PRA/4N-S62)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By-catches of cod, haddock, pollack, whiting and saithe are to be counted against the quotas for these species.</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‘Penaeus’ shrimps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French Guiana waters</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Penaeus spp.</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(PEN/FGU.)</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to be established</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to be established</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6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to be established</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Fishing for shrimps Penaeus subtilis and Penaeus brasiliensis is prohibited in waters less than 30 metres deep.</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Fixed at the same quantity as the quota of France.</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Plaice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Skagerrak</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(PLE/03AN.)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28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Plaice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Kattegat</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(PLE/03AS.)</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311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3</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35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349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719</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Plaice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4; Union waters of 2a; that part of 3a not covered by the Skagerrak and the Kattegat</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Pleuronectes platessa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(PLE/2A3AX4)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00"/>
        </w:trPr>
        <w:tc>
          <w:tcPr>
            <w:tcW w:w="1426" w:type="dxa"/>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lang w:eastAsia="en-GB"/>
              </w:rPr>
            </w:pPr>
            <w:r>
              <w:rPr>
                <w:rFonts w:ascii="Cambria" w:eastAsia="Times New Roman" w:hAnsi="Cambria" w:cs="Arial"/>
                <w:noProof/>
                <w:sz w:val="20"/>
                <w:szCs w:val="20"/>
                <w:vertAlign w:val="superscript"/>
                <w:lang w:eastAsia="en-GB"/>
              </w:rPr>
              <w:t>(1)</w:t>
            </w:r>
          </w:p>
        </w:tc>
        <w:tc>
          <w:tcPr>
            <w:tcW w:w="6266" w:type="dxa"/>
            <w:gridSpan w:val="5"/>
            <w:tcBorders>
              <w:top w:val="nil"/>
              <w:left w:val="nil"/>
              <w:bottom w:val="nil"/>
              <w:right w:val="nil"/>
            </w:tcBorders>
            <w:shd w:val="clear" w:color="auto" w:fill="auto"/>
            <w:noWrap/>
            <w:vAlign w:val="bottom"/>
            <w:hideMark/>
          </w:tcPr>
          <w:p>
            <w:pPr>
              <w:spacing w:after="0"/>
              <w:rPr>
                <w:rFonts w:ascii="Cambria" w:eastAsia="Times New Roman" w:hAnsi="Cambria" w:cs="Arial"/>
                <w:noProof/>
                <w:sz w:val="20"/>
                <w:szCs w:val="20"/>
                <w:lang w:eastAsia="en-GB"/>
              </w:rPr>
            </w:pPr>
            <w:r>
              <w:rPr>
                <w:rFonts w:ascii="Cambria" w:eastAsia="Times New Roman" w:hAnsi="Cambria" w:cs="Arial"/>
                <w:noProof/>
                <w:sz w:val="20"/>
                <w:szCs w:val="20"/>
                <w:vertAlign w:val="superscript"/>
                <w:lang w:eastAsia="en-GB"/>
              </w:rPr>
              <w:t>Of which no more than pm tonnes may be fished in the Skagerrak (PLE/*03AN.)</w:t>
            </w:r>
          </w:p>
        </w:tc>
        <w:tc>
          <w:tcPr>
            <w:tcW w:w="1273" w:type="dxa"/>
            <w:tcBorders>
              <w:top w:val="nil"/>
              <w:left w:val="nil"/>
              <w:bottom w:val="nil"/>
              <w:right w:val="nil"/>
            </w:tcBorders>
            <w:shd w:val="clear" w:color="auto" w:fill="auto"/>
            <w:noWrap/>
            <w:hideMark/>
          </w:tcPr>
          <w:p>
            <w:pPr>
              <w:spacing w:after="0"/>
              <w:rPr>
                <w:rFonts w:ascii="Cambria" w:eastAsia="Times New Roman" w:hAnsi="Cambria" w:cs="Arial"/>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 in the following zone:</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4145"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4 (PLE/*04N-)</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Plaice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Union and international waters of 5b;</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Pleuronectes platessa</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international waters of 12 and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(PLE/56-14)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Plaice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(PLE/07A.)</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Plaice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7b and 7c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Pleuronectes platessa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(PLE/7BC.)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4</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19</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Plaice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7d and 7e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(PLE/7DE.)</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single" w:sz="8" w:space="0" w:color="auto"/>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single" w:sz="8" w:space="0" w:color="auto"/>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single" w:sz="8" w:space="0" w:color="auto"/>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single" w:sz="8" w:space="0" w:color="auto"/>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Plaice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7f and 7g</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(PLE/7FG.)</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Plaice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7h, 7j and 7k</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Pleuronectes platessa</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(PLE/7HJK.)</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31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single" w:sz="8" w:space="0" w:color="auto"/>
              <w:right w:val="nil"/>
            </w:tcBorders>
            <w:shd w:val="clear" w:color="auto" w:fill="auto"/>
            <w:noWrap/>
            <w:vAlign w:val="bottom"/>
            <w:hideMark/>
          </w:tcPr>
          <w:p>
            <w:pPr>
              <w:spacing w:after="0"/>
              <w:rPr>
                <w:rFonts w:ascii="Cambria" w:eastAsia="Times New Roman" w:hAnsi="Cambria" w:cs="Arial"/>
                <w:noProof/>
                <w:sz w:val="20"/>
                <w:szCs w:val="20"/>
                <w:lang w:eastAsia="en-GB"/>
              </w:rPr>
            </w:pPr>
            <w:r>
              <w:rPr>
                <w:rFonts w:ascii="Cambria" w:eastAsia="Times New Roman" w:hAnsi="Cambria" w:cs="Arial"/>
                <w:noProof/>
                <w:sz w:val="20"/>
                <w:szCs w:val="20"/>
                <w:vertAlign w:val="superscript"/>
                <w:lang w:eastAsia="en-GB"/>
              </w:rPr>
              <w:t>Exclusively for by-catches of plaice in fisheries for other species. No directed fisheries for plaice are permitted under this quota.</w:t>
            </w:r>
          </w:p>
        </w:tc>
      </w:tr>
      <w:tr>
        <w:trPr>
          <w:trHeight w:val="270"/>
        </w:trPr>
        <w:tc>
          <w:tcPr>
            <w:tcW w:w="1426" w:type="dxa"/>
            <w:tcBorders>
              <w:top w:val="nil"/>
              <w:left w:val="nil"/>
              <w:bottom w:val="nil"/>
              <w:right w:val="nil"/>
            </w:tcBorders>
            <w:shd w:val="clear" w:color="auto" w:fill="auto"/>
            <w:noWrap/>
            <w:hideMark/>
          </w:tcPr>
          <w:p>
            <w:pPr>
              <w:spacing w:after="0"/>
              <w:rPr>
                <w:rFonts w:ascii="Cambria" w:eastAsia="Times New Roman" w:hAnsi="Cambria" w:cs="Arial"/>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Plaice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 9 and 10; Union waters of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Pleuronectes platessa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(PLE/8/3411)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26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103</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26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155</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155</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Pollack</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Union and international waters of 5b; international waters of 12 and 14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(POL/56-14)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Pollack</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(POL/07.)</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Special condition: of which up to pm % may be fished in: 8a, 8b, 8d and 8e (POL/*8ABDE).</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Pollack</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8a, 8b, 8d and 8e</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(POL/8ABDE.)</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176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861</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1 037</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1 037</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Pollack</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(POL/08C.)</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149</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17</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166</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166</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Pollack</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9 and 10; Union waters of CECAF 34.1.1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Pollachius pollachius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(POL/9/3411)</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196</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7</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203</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203</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of which up to 5% may be fished in Union waters of 8c (POL/*08C.).</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In addition to this TAC, Portugal may fish quantities of pollack not exceeding 98 tonnes (POL/93411P).</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Saithe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 and 4; Union waters of 2a</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(POK/2C3A4)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May only be taken in Union waters of 4 and in 3a (POK/*3A4-C). Catches taken within this quota are to be deducted from Norway's share of the TAC.</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Saithe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Union and international waters of 5b, 12 and 14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(POK/56-14)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To be fished north of 56º30' N (POK/*5614N).</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6"/>
                <w:szCs w:val="16"/>
                <w:lang w:eastAsia="en-GB"/>
              </w:rPr>
            </w:pPr>
            <w:r>
              <w:rPr>
                <w:rFonts w:ascii="Calibri" w:eastAsia="Times New Roman" w:hAnsi="Calibri" w:cs="Calibri"/>
                <w:noProof/>
                <w:sz w:val="16"/>
                <w:szCs w:val="16"/>
                <w:lang w:eastAsia="en-GB"/>
              </w:rPr>
              <w:t> </w:t>
            </w:r>
          </w:p>
        </w:tc>
        <w:tc>
          <w:tcPr>
            <w:tcW w:w="128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Saithe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south of 62ºN</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(POK/4N-S62)</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By-catches of cod, haddock, pollack and whiting are to be counted against the quota for these species.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28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Saithe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7, 8, 9 and 10; Union waters of CECAF 34.1.1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Pollachius virens</w:t>
            </w:r>
          </w:p>
        </w:tc>
        <w:tc>
          <w:tcPr>
            <w:tcW w:w="1134" w:type="dxa"/>
            <w:tcBorders>
              <w:top w:val="nil"/>
              <w:left w:val="nil"/>
              <w:bottom w:val="single" w:sz="8" w:space="0" w:color="auto"/>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(POK/7/3411)</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Turbot and brill</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Psetta maxima and</w:t>
            </w:r>
          </w:p>
        </w:tc>
        <w:tc>
          <w:tcPr>
            <w:tcW w:w="1134" w:type="dxa"/>
            <w:tcBorders>
              <w:top w:val="nil"/>
              <w:left w:val="nil"/>
              <w:bottom w:val="nil"/>
              <w:right w:val="nil"/>
            </w:tcBorders>
            <w:shd w:val="clear" w:color="auto" w:fill="auto"/>
            <w:noWrap/>
            <w:hideMark/>
          </w:tcPr>
          <w:p>
            <w:pPr>
              <w:spacing w:after="0"/>
              <w:rPr>
                <w:rFonts w:eastAsia="Times New Roman"/>
                <w:i/>
                <w:iCs/>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(T/B/2AC4-C)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Scophthalmus rhombus</w:t>
            </w:r>
          </w:p>
        </w:tc>
        <w:tc>
          <w:tcPr>
            <w:tcW w:w="1134" w:type="dxa"/>
            <w:tcBorders>
              <w:top w:val="nil"/>
              <w:left w:val="nil"/>
              <w:bottom w:val="single" w:sz="8" w:space="0" w:color="auto"/>
              <w:right w:val="single" w:sz="8" w:space="0" w:color="000000"/>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Skates and rays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(SRX/2AC4-C)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Catches of blonde ray (Raja brachyura) in Union waters of 4 (RJH/04-C.), cuckoo ray (Leucoraja naevus) (RJN/2AC4-C), thornback ray (Raja clavata) (RJC/2AC4</w:t>
            </w:r>
            <w:r>
              <w:rPr>
                <w:rFonts w:eastAsia="Times New Roman"/>
                <w:noProof/>
                <w:sz w:val="18"/>
                <w:szCs w:val="18"/>
                <w:vertAlign w:val="superscript"/>
                <w:lang w:eastAsia="en-GB"/>
              </w:rPr>
              <w:noBreakHyphen/>
              <w:t>C) and spotted ray (Raja montagui) (RJM/2AC4-C) shall be reported separately.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By-catch quota. These species shall not comprise more than 25 % by live weight of the catch retained on board per fishing trip. This condition applies only to vessels over 15 metres' length overall.  This provision shall not apply for catches subject to the landing obligation as set out in Article 15(1) of Regulation (EU) No 1380/2013.</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Shall not apply to blonde ray (Raja brachyura) in Union waters of 2a and small-eyed ray (Raja microocellata) in Union waters of 2a and 4. When accidentally caught, these species shall not be harmed. Specimens shall be promptly released. Fishermen shall be encouraged to develop and use techniques and equipment to facilitate the rapid and safe release of the species.</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of which up to 10 % may be fished in Union waters of 7d (SRX/*07D2.), without prejudice to the prohibitions set out in Articles 13 and 48 of this Regulation for the areas specified therein. Catches of blonde ray (Raja brachyura) (RJH/*07D2.), cuckoo ray (Leucoraja naevus) (RJN/*07D2.), thornback ray (Raja clavata) (RJC/*07D2.) and spotted ray (Raja montagui) (RJM/*07D2.) shall be reported separately. This special condition shall not apply to small-eyed ray (Raja microocellata) and undulate ray (Raja undulata).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Skates and rays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3a</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(SRX/03A-C.)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Catches of cuckoo ray (Leucoraja naevus) (RJN/03A-C.), blonde ray (Raja brachyura) (RJH/03A-C.) and spotted ray (Raja montagui) (RJM/03A-C.) shall be reported separately.</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Skates and rays</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6a, 6b, 7a-c and 7e-k</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(SRX/67AKXD)</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Estonia</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Lithuania</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Catches of cuckoo ray (Leucoraja naevus) (RJN/67AKXD), thornback ray (Raja clavata) (RJC/67AKXD), blonde ray (Raja brachyura) (RJH/67AKXD), spotted ray (Raja montagui) (RJM/67AKXD), sandy ray (Raja circularis) (RJI/67AKXD) and shagreen ray (Raja fullonica) (RJF/67AKXD) shall be reported separately.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of which up to 5 % may be fished in Union waters of 7d (SRX/*07D.), without prejudice to the prohibitions set out in Articles 13 and 48 of this Regulation for the areas specified therein. Catches of cuckoo ray (Leucoraja naevus) (RJN/*07D.), thornback ray (Raja clavata) (RJC/*07D.), blonde ray (Raja brachyura) (RJH/*07D.), spotted ray (Raja montagui) (RJM/*07D.), sandy ray (Raja circularis) (RJI/*07D.) and shagreen ray (Raja fullonica) (RJF/*07D.) shall be reported separately. This special condition shall not apply to small-eyed ray (Raja microocellata) and undulate ray (Raja undulata).</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Shall not apply to small-eyed ray (Raja microocellata), except in Union waters of 7f and 7g. When accidentally caught, this species shall not be harmed. Specimens shall be promptly released. Fishermen shall be encouraged to develop and use techniques and equipment to facilitate the rapid and safe release of the species. Within the limits of the abovementioned quotas, no more than the quantities of small-eyed ray in Union waters of 7f and 7g (RJE/7FG.) provided below may be taken: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417"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Small-eyed ray</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7f and 7g</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7"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Raja microocellata</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(RJE/7FG.)</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Estonia</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Lithuania</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color w:val="000000"/>
                <w:sz w:val="16"/>
                <w:szCs w:val="16"/>
                <w:lang w:eastAsia="en-GB"/>
              </w:rPr>
            </w:pPr>
            <w:r>
              <w:rPr>
                <w:rFonts w:eastAsia="Times New Roman"/>
                <w:noProof/>
                <w:color w:val="000000"/>
                <w:sz w:val="16"/>
                <w:szCs w:val="16"/>
                <w:lang w:eastAsia="en-GB"/>
              </w:rPr>
              <w:t>Special condition: of which up to 5 % may be fished in Union waters of 7d and reported under the following code: (RJE/*07D.). This special condition is without prejudice to the prohibitions set out in Articles 13 and 48 of this Regulation for the areas specified therein.</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Shall not apply to undulate ray (Raja undulata).</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Skates and rays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7d</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(SRX/07D.)</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 (4)</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Catches of cuckoo ray (Leucoraja naevus) (RJN/07D.), thornback ray (Raja clavata) (RJC/07D.), blonde ray (Raja brachyura) (RJH/07D.), spotted ray (Raja montagui) (RJM/07D.) and small-eyed ray (Raja microocellata) (RJE/07D.) shall be reported separately.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of which up to 5 % may be fished in Union waters of 6a, 6b, 7a-c and 7e-k (SRX/*67AKD). Catches of cuckoo ray (Leucoraja naevus) (RJN/*67AKD), thornback ray (Raja clavata) (RJC/*67AKD), blonde ray (Raja brachyura) (RJH/*67AKD) and spotted ray (Raja montagui) (RJM/*67AKD) shall be reported separately. This special condition shall not apply to small-eyed ray (Raja microocellata) and to undulate ray (Raja undulata).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of which up to 10 % may be fished in Union waters of 2a and 4 (SRX/*2AC4C). Catches of blonde ray (Raja brachyura) in Union waters of 4 (RJH/*04-C.), cuckoo ray (Leucoraja naevus) (RJN/*2AC4C), thornback ray (Raja clavata) (RJC/*2AC4C) and spotted ray (Raja montagui) (RJM/*2AC4C) shall be reported separately. This special condition shall not apply to small-eyed ray (Raja microocellata).</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Shall not apply to undulate ray (Raja undulata).</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Undulate ray</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7d and 7e</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Raja undulata</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(RJU/7DE.)</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Estonia</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Lithuania</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This species shall not be targeted in the areas covered by this TAC. This species may only be landed whole or gutted. The former provisions are without prejudice to the prohibitions set out in Articles 13 and 48 of this Regulation for the areas specified therein.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Skates and rays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8 and 9</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Rajiformes</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(SRX/89-C.)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Catches of cuckoo ray (Leucoraja naevus) (RJN/89-C.), blonde ray (Raja brachyura) (RJH/89-C.) and thornback ray (Raja clavata) (RJC/89-C.) shall be reported separately.</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Shall not apply to undulate ray (Raja undulata). This species shall not be targeted in the areas covered by this TAC. In cases where it is not subject to the landing obligation, by-catch of undulate ray in subareas 8 and 9 may only be landed whole or gutted. The catches shall remain under the quotas shown in the table below. The above provisions are without prejudice to the prohibitions set out in Articles 13 and 48 of this Regulation for the areas specified therein. By-catches of undulate ray shall be reported separately under the  codes indicated in the tables below. Within the limits of the abovementioned quotas, no more than the quantities of undulate ray given below may be taken:</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417"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Undulate ray</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8</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7"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Raja undulata</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(RJU/8-C.)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417"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Undulate ray</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9</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7"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Raja undulata</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(RJU/9-C.)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2719"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vAlign w:val="center"/>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auto"/>
              <w:right w:val="nil"/>
            </w:tcBorders>
            <w:shd w:val="clear" w:color="auto" w:fill="auto"/>
            <w:noWrap/>
            <w:vAlign w:val="center"/>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85"/>
        </w:trPr>
        <w:tc>
          <w:tcPr>
            <w:tcW w:w="1426" w:type="dxa"/>
            <w:tcBorders>
              <w:top w:val="nil"/>
              <w:left w:val="single" w:sz="8" w:space="0" w:color="auto"/>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8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Greenland halibut</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 Union and international waters of 5b and 6</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3853" w:type="dxa"/>
            <w:gridSpan w:val="3"/>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Reinhardtius hippoglossoides</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(GHL/2A-C46)</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Estonia</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Lithuania</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To be taken in Union waters of 2a and 6. In 6 this quantity may only be fished with long-lines (GHL/*2A6-C).</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Mackerel</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 and 4; Union waters of 2a, 3b, 3c and Subdivisions 22-32</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(MAC/2A34.)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xml:space="preserve">Within the limits of the abovementioned quotas, no more than the quantities given below may also be taken in the two following zones: </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sz w:val="16"/>
                <w:szCs w:val="16"/>
                <w:lang w:eastAsia="en-GB"/>
              </w:rPr>
            </w:pPr>
            <w:r>
              <w:rPr>
                <w:rFonts w:ascii="Calibri" w:eastAsia="Times New Roman" w:hAnsi="Calibri" w:cs="Calibri"/>
                <w:noProof/>
                <w:sz w:val="16"/>
                <w:szCs w:val="16"/>
                <w:lang w:eastAsia="en-GB"/>
              </w:rPr>
              <w:t> </w:t>
            </w:r>
          </w:p>
        </w:tc>
        <w:tc>
          <w:tcPr>
            <w:tcW w:w="1283" w:type="dxa"/>
            <w:tcBorders>
              <w:top w:val="nil"/>
              <w:left w:val="nil"/>
              <w:bottom w:val="single" w:sz="4" w:space="0" w:color="auto"/>
              <w:right w:val="nil"/>
            </w:tcBorders>
            <w:shd w:val="clear" w:color="auto" w:fill="auto"/>
            <w:noWrap/>
            <w:hideMark/>
          </w:tcPr>
          <w:p>
            <w:pPr>
              <w:spacing w:after="0"/>
              <w:jc w:val="center"/>
              <w:rPr>
                <w:rFonts w:eastAsia="Times New Roman"/>
                <w:b/>
                <w:bCs/>
                <w:noProof/>
                <w:sz w:val="18"/>
                <w:szCs w:val="18"/>
                <w:lang w:eastAsia="en-GB"/>
              </w:rPr>
            </w:pPr>
            <w:r>
              <w:rPr>
                <w:rFonts w:eastAsia="Times New Roman"/>
                <w:b/>
                <w:bCs/>
                <w:noProof/>
                <w:sz w:val="18"/>
                <w:szCs w:val="18"/>
                <w:vertAlign w:val="superscript"/>
                <w:lang w:eastAsia="en-GB"/>
              </w:rPr>
              <w:t>Norwegian waters of 2a (MAC/*02AN-)</w:t>
            </w:r>
          </w:p>
        </w:tc>
        <w:tc>
          <w:tcPr>
            <w:tcW w:w="1134" w:type="dxa"/>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4" w:space="0" w:color="auto"/>
              <w:right w:val="nil"/>
            </w:tcBorders>
            <w:shd w:val="clear" w:color="auto" w:fill="auto"/>
            <w:noWrap/>
            <w:hideMark/>
          </w:tcPr>
          <w:p>
            <w:pPr>
              <w:spacing w:after="0"/>
              <w:rPr>
                <w:rFonts w:eastAsia="Times New Roman"/>
                <w:b/>
                <w:bCs/>
                <w:noProof/>
                <w:sz w:val="18"/>
                <w:szCs w:val="18"/>
                <w:lang w:eastAsia="en-GB"/>
              </w:rPr>
            </w:pPr>
            <w:r>
              <w:rPr>
                <w:rFonts w:eastAsia="Times New Roman"/>
                <w:b/>
                <w:bCs/>
                <w:noProof/>
                <w:sz w:val="18"/>
                <w:szCs w:val="18"/>
                <w:vertAlign w:val="superscript"/>
                <w:lang w:eastAsia="en-GB"/>
              </w:rPr>
              <w:t>Faroese waters (MAC/*FRO1)</w:t>
            </w:r>
          </w:p>
        </w:tc>
        <w:tc>
          <w:tcPr>
            <w:tcW w:w="1137" w:type="dxa"/>
            <w:tcBorders>
              <w:top w:val="nil"/>
              <w:left w:val="nil"/>
              <w:bottom w:val="nil"/>
              <w:right w:val="nil"/>
            </w:tcBorders>
            <w:shd w:val="clear" w:color="auto" w:fill="auto"/>
            <w:noWrap/>
            <w:hideMark/>
          </w:tcPr>
          <w:p>
            <w:pPr>
              <w:spacing w:after="0"/>
              <w:rPr>
                <w:rFonts w:eastAsia="Times New Roman"/>
                <w:b/>
                <w:bCs/>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Belgium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Denmark</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Germany</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France</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Sweden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Union</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7"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May also be taken in Norwegian waters of 4a (MAC/*4AN.).</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including the following tonnage to be taken in Norwegian waters of 2a and 4a (MAC/*2A4AN):</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8815" w:type="dxa"/>
            <w:gridSpan w:val="7"/>
            <w:tcBorders>
              <w:top w:val="nil"/>
              <w:left w:val="nil"/>
              <w:bottom w:val="nil"/>
              <w:right w:val="nil"/>
            </w:tcBorders>
            <w:shd w:val="clear" w:color="auto" w:fill="auto"/>
            <w:noWrap/>
            <w:vAlign w:val="bottom"/>
            <w:hideMark/>
          </w:tcPr>
          <w:p>
            <w:pPr>
              <w:spacing w:after="0"/>
              <w:rPr>
                <w:rFonts w:eastAsia="Times New Roman"/>
                <w:noProof/>
                <w:sz w:val="18"/>
                <w:szCs w:val="18"/>
                <w:lang w:eastAsia="en-GB"/>
              </w:rPr>
            </w:pPr>
            <w:r>
              <w:rPr>
                <w:rFonts w:eastAsia="Times New Roman"/>
                <w:noProof/>
                <w:sz w:val="18"/>
                <w:szCs w:val="18"/>
                <w:vertAlign w:val="superscript"/>
                <w:lang w:eastAsia="en-GB"/>
              </w:rPr>
              <w:t>When fishing under this special condition, by-catches of cod, haddock, pollack and whiting and saithe are to be counted against the quotas for those species.</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To be deducted from Norway's share of the TAC (access quota). This amount includes the following Norwegian share in the North Sea TAC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This quota may be fished in 4a only (MAC/*04A.), except for the following amount, in tonnes, which may be fished in 3a (MAC/*03A.):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w:t>
            </w:r>
          </w:p>
        </w:tc>
      </w:tr>
      <w:tr>
        <w:trPr>
          <w:trHeight w:val="255"/>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in the following zones:</w:t>
            </w:r>
          </w:p>
        </w:tc>
        <w:tc>
          <w:tcPr>
            <w:tcW w:w="128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4" w:space="0" w:color="auto"/>
              <w:left w:val="single" w:sz="4" w:space="0" w:color="auto"/>
              <w:bottom w:val="single" w:sz="4" w:space="0" w:color="auto"/>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436"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sz w:val="12"/>
                <w:szCs w:val="12"/>
                <w:lang w:eastAsia="en-GB"/>
              </w:rPr>
            </w:pPr>
            <w:r>
              <w:rPr>
                <w:rFonts w:eastAsia="Times New Roman"/>
                <w:b/>
                <w:bCs/>
                <w:noProof/>
                <w:sz w:val="12"/>
                <w:szCs w:val="12"/>
                <w:lang w:eastAsia="en-GB"/>
              </w:rPr>
              <w:t>3a</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rPr>
                <w:rFonts w:ascii="Calibri" w:eastAsia="Times New Roman" w:hAnsi="Calibri" w:cs="Calibri"/>
                <w:b/>
                <w:bCs/>
                <w:noProof/>
                <w:color w:val="000000"/>
                <w:sz w:val="12"/>
                <w:szCs w:val="12"/>
                <w:lang w:eastAsia="en-GB"/>
              </w:rPr>
            </w:pPr>
            <w:r>
              <w:rPr>
                <w:rFonts w:ascii="Calibri" w:eastAsia="Times New Roman" w:hAnsi="Calibri" w:cs="Calibri"/>
                <w:b/>
                <w:bCs/>
                <w:noProof/>
                <w:color w:val="000000"/>
                <w:sz w:val="12"/>
                <w:szCs w:val="12"/>
                <w:lang w:eastAsia="en-GB"/>
              </w:rPr>
              <w:t xml:space="preserve">3a and 4bc </w:t>
            </w:r>
          </w:p>
        </w:tc>
        <w:tc>
          <w:tcPr>
            <w:tcW w:w="1134" w:type="dxa"/>
            <w:tcBorders>
              <w:top w:val="single" w:sz="4" w:space="0" w:color="auto"/>
              <w:left w:val="nil"/>
              <w:bottom w:val="single" w:sz="4" w:space="0" w:color="auto"/>
              <w:right w:val="single" w:sz="4" w:space="0" w:color="auto"/>
            </w:tcBorders>
            <w:shd w:val="clear" w:color="auto" w:fill="auto"/>
            <w:noWrap/>
            <w:hideMark/>
          </w:tcPr>
          <w:p>
            <w:pPr>
              <w:spacing w:after="0"/>
              <w:rPr>
                <w:rFonts w:ascii="Calibri" w:eastAsia="Times New Roman" w:hAnsi="Calibri" w:cs="Calibri"/>
                <w:b/>
                <w:bCs/>
                <w:noProof/>
                <w:color w:val="000000"/>
                <w:sz w:val="12"/>
                <w:szCs w:val="12"/>
                <w:lang w:eastAsia="en-GB"/>
              </w:rPr>
            </w:pPr>
            <w:r>
              <w:rPr>
                <w:rFonts w:ascii="Calibri" w:eastAsia="Times New Roman" w:hAnsi="Calibri" w:cs="Calibri"/>
                <w:b/>
                <w:bCs/>
                <w:noProof/>
                <w:color w:val="000000"/>
                <w:sz w:val="12"/>
                <w:szCs w:val="12"/>
                <w:lang w:eastAsia="en-GB"/>
              </w:rPr>
              <w:t xml:space="preserve">4b </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4c</w:t>
            </w:r>
          </w:p>
        </w:tc>
        <w:tc>
          <w:tcPr>
            <w:tcW w:w="1137"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6, international waters of 2a, from 1 January to 15 February and from 1 September to 31 December</w:t>
            </w:r>
          </w:p>
        </w:tc>
        <w:tc>
          <w:tcPr>
            <w:tcW w:w="1273"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jc w:val="center"/>
              <w:rPr>
                <w:rFonts w:eastAsia="Times New Roman"/>
                <w:noProof/>
                <w:color w:val="000000"/>
                <w:sz w:val="12"/>
                <w:szCs w:val="12"/>
                <w:lang w:eastAsia="en-GB"/>
              </w:rPr>
            </w:pPr>
            <w:r>
              <w:rPr>
                <w:rFonts w:eastAsia="Times New Roman"/>
                <w:noProof/>
                <w:color w:val="000000"/>
                <w:sz w:val="12"/>
                <w:szCs w:val="12"/>
                <w:lang w:eastAsia="en-GB"/>
              </w:rPr>
              <w:t> </w:t>
            </w:r>
          </w:p>
        </w:tc>
        <w:tc>
          <w:tcPr>
            <w:tcW w:w="1436" w:type="dxa"/>
            <w:tcBorders>
              <w:top w:val="nil"/>
              <w:left w:val="nil"/>
              <w:bottom w:val="single" w:sz="4" w:space="0" w:color="auto"/>
              <w:right w:val="single" w:sz="4" w:space="0" w:color="auto"/>
            </w:tcBorders>
            <w:shd w:val="clear" w:color="auto" w:fill="auto"/>
            <w:noWrap/>
            <w:hideMark/>
          </w:tcPr>
          <w:p>
            <w:pPr>
              <w:spacing w:after="0"/>
              <w:rPr>
                <w:rFonts w:eastAsia="Times New Roman"/>
                <w:noProof/>
                <w:sz w:val="12"/>
                <w:szCs w:val="12"/>
                <w:lang w:eastAsia="en-GB"/>
              </w:rPr>
            </w:pPr>
            <w:r>
              <w:rPr>
                <w:rFonts w:eastAsia="Times New Roman"/>
                <w:noProof/>
                <w:sz w:val="12"/>
                <w:szCs w:val="12"/>
                <w:lang w:eastAsia="en-GB"/>
              </w:rPr>
              <w:t>(MAC/*03A.)</w:t>
            </w:r>
          </w:p>
        </w:tc>
        <w:tc>
          <w:tcPr>
            <w:tcW w:w="1283"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(MAC/*3A4BC)</w:t>
            </w:r>
          </w:p>
        </w:tc>
        <w:tc>
          <w:tcPr>
            <w:tcW w:w="1134"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(MAC/*04B.)</w:t>
            </w:r>
          </w:p>
        </w:tc>
        <w:tc>
          <w:tcPr>
            <w:tcW w:w="1276"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(MAC/*04C.)</w:t>
            </w:r>
          </w:p>
        </w:tc>
        <w:tc>
          <w:tcPr>
            <w:tcW w:w="1137"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(MAC/*2A6.)</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Denmark</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lang w:eastAsia="en-GB"/>
              </w:rPr>
            </w:pPr>
            <w:r>
              <w:rPr>
                <w:rFonts w:ascii="Calibri" w:eastAsia="Times New Roman" w:hAnsi="Calibri" w:cs="Calibri"/>
                <w:noProof/>
                <w:sz w:val="12"/>
                <w:szCs w:val="12"/>
                <w:lang w:eastAsia="en-GB"/>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France</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lang w:eastAsia="en-GB"/>
              </w:rPr>
            </w:pPr>
            <w:r>
              <w:rPr>
                <w:rFonts w:ascii="Calibri" w:eastAsia="Times New Roman" w:hAnsi="Calibri" w:cs="Calibri"/>
                <w:noProof/>
                <w:sz w:val="12"/>
                <w:szCs w:val="12"/>
                <w:lang w:eastAsia="en-GB"/>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The Netherlands</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lang w:eastAsia="en-GB"/>
              </w:rPr>
            </w:pPr>
            <w:r>
              <w:rPr>
                <w:rFonts w:ascii="Calibri" w:eastAsia="Times New Roman" w:hAnsi="Calibri" w:cs="Calibri"/>
                <w:noProof/>
                <w:sz w:val="12"/>
                <w:szCs w:val="12"/>
                <w:lang w:eastAsia="en-GB"/>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Sweden</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lang w:eastAsia="en-GB"/>
              </w:rPr>
            </w:pPr>
            <w:r>
              <w:rPr>
                <w:rFonts w:ascii="Calibri" w:eastAsia="Times New Roman" w:hAnsi="Calibri" w:cs="Calibri"/>
                <w:noProof/>
                <w:sz w:val="12"/>
                <w:szCs w:val="12"/>
                <w:lang w:eastAsia="en-GB"/>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Norway</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lang w:eastAsia="en-GB"/>
              </w:rPr>
            </w:pPr>
            <w:r>
              <w:rPr>
                <w:rFonts w:ascii="Calibri" w:eastAsia="Times New Roman" w:hAnsi="Calibri" w:cs="Calibri"/>
                <w:noProof/>
                <w:sz w:val="12"/>
                <w:szCs w:val="12"/>
                <w:lang w:eastAsia="en-GB"/>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single" w:sz="4" w:space="0" w:color="auto"/>
              <w:bottom w:val="single" w:sz="4" w:space="0" w:color="auto"/>
              <w:right w:val="single" w:sz="4" w:space="0" w:color="auto"/>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United Kingdom</w:t>
            </w:r>
          </w:p>
        </w:tc>
        <w:tc>
          <w:tcPr>
            <w:tcW w:w="1436"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sz w:val="12"/>
                <w:szCs w:val="12"/>
                <w:lang w:eastAsia="en-GB"/>
              </w:rPr>
            </w:pPr>
            <w:r>
              <w:rPr>
                <w:rFonts w:ascii="Calibri" w:eastAsia="Times New Roman" w:hAnsi="Calibri" w:cs="Calibri"/>
                <w:noProof/>
                <w:sz w:val="12"/>
                <w:szCs w:val="12"/>
                <w:lang w:eastAsia="en-GB"/>
              </w:rPr>
              <w:t>pm</w:t>
            </w:r>
          </w:p>
        </w:tc>
        <w:tc>
          <w:tcPr>
            <w:tcW w:w="1283" w:type="dxa"/>
            <w:tcBorders>
              <w:top w:val="nil"/>
              <w:left w:val="nil"/>
              <w:bottom w:val="single" w:sz="4" w:space="0" w:color="auto"/>
              <w:right w:val="single" w:sz="4" w:space="0" w:color="auto"/>
            </w:tcBorders>
            <w:shd w:val="clear" w:color="auto" w:fill="auto"/>
            <w:noWrap/>
            <w:hideMark/>
          </w:tcPr>
          <w:p>
            <w:pPr>
              <w:spacing w:after="0"/>
              <w:jc w:val="right"/>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pm</w:t>
            </w:r>
          </w:p>
        </w:tc>
        <w:tc>
          <w:tcPr>
            <w:tcW w:w="1134"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6"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137" w:type="dxa"/>
            <w:tcBorders>
              <w:top w:val="nil"/>
              <w:left w:val="nil"/>
              <w:bottom w:val="single" w:sz="4" w:space="0" w:color="auto"/>
              <w:right w:val="single" w:sz="4" w:space="0" w:color="auto"/>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73"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436" w:type="dxa"/>
            <w:tcBorders>
              <w:top w:val="nil"/>
              <w:left w:val="nil"/>
              <w:bottom w:val="single" w:sz="8" w:space="0" w:color="auto"/>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 </w:t>
            </w:r>
          </w:p>
        </w:tc>
        <w:tc>
          <w:tcPr>
            <w:tcW w:w="1134"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 </w:t>
            </w:r>
          </w:p>
        </w:tc>
        <w:tc>
          <w:tcPr>
            <w:tcW w:w="1276"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 </w:t>
            </w:r>
          </w:p>
        </w:tc>
        <w:tc>
          <w:tcPr>
            <w:tcW w:w="1137"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Mackerel</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7, 8a, 8b, 8d and 8e; Union and international waters of 5b; international waters of 2a, 12 and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(MAC/2CX14-)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Estonia</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Latvia</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Lithuania</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Special condition: of which up to 25 % can be made available for exchanges to be fished by Spain, France and Portugal in 8c, 9 and 10 and Union waters of CECAF 34.1.1 (MAC/*8C910).</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May be fished in 2a, 6a north of 56° 30' N, 4a, 7d, 7e, 7f and 7h (MAC/*AX7H).</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The amount of access limit indicated below (MAC/*N5630), in tonnes, may be fished by Norway North of 56°30' N. The amounts not counted under footnote 2 shall be counted against the catch limit established by Norway.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This amount shall be deducted from the Faroe Islands' catch limit (access quota). It may be fished only in 6a north of 56° 30' N (MAC/*6AN56). However, from 1 January to 15 February and from 1 October to 31 December this quota may also be fished in 2a, 4a north of 59º(EU zone) (MAC/*24N59).</w:t>
            </w: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 in the following zones and periods:</w:t>
            </w:r>
          </w:p>
        </w:tc>
      </w:tr>
      <w:tr>
        <w:trPr>
          <w:trHeight w:val="264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hideMark/>
          </w:tcPr>
          <w:p>
            <w:pPr>
              <w:spacing w:after="0"/>
              <w:rPr>
                <w:rFonts w:ascii="Calibri" w:eastAsia="Times New Roman" w:hAnsi="Calibri" w:cs="Calibri"/>
                <w:b/>
                <w:bCs/>
                <w:noProof/>
                <w:sz w:val="12"/>
                <w:szCs w:val="12"/>
                <w:lang w:eastAsia="en-GB"/>
              </w:rPr>
            </w:pPr>
            <w:r>
              <w:rPr>
                <w:rFonts w:ascii="Calibri" w:eastAsia="Times New Roman" w:hAnsi="Calibri" w:cs="Calibri"/>
                <w:b/>
                <w:bCs/>
                <w:noProof/>
                <w:sz w:val="12"/>
                <w:szCs w:val="12"/>
                <w:lang w:eastAsia="en-GB"/>
              </w:rPr>
              <w:t>Union waters of 2a; Union and Norwegian waters of 4a. During the periods from 1 January to 15 February and from 1 September to 31 December</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b/>
                <w:bCs/>
                <w:noProof/>
                <w:color w:val="000000"/>
                <w:sz w:val="12"/>
                <w:szCs w:val="12"/>
                <w:lang w:eastAsia="en-GB"/>
              </w:rPr>
            </w:pPr>
            <w:r>
              <w:rPr>
                <w:rFonts w:ascii="Calibri" w:eastAsia="Times New Roman" w:hAnsi="Calibri" w:cs="Calibri"/>
                <w:b/>
                <w:bCs/>
                <w:noProof/>
                <w:color w:val="000000"/>
                <w:sz w:val="12"/>
                <w:szCs w:val="12"/>
                <w:lang w:eastAsia="en-GB"/>
              </w:rPr>
              <w:t> </w:t>
            </w:r>
          </w:p>
        </w:tc>
        <w:tc>
          <w:tcPr>
            <w:tcW w:w="2410" w:type="dxa"/>
            <w:gridSpan w:val="2"/>
            <w:tcBorders>
              <w:top w:val="nil"/>
              <w:left w:val="single" w:sz="4" w:space="0" w:color="auto"/>
              <w:bottom w:val="nil"/>
              <w:right w:val="single" w:sz="4" w:space="0" w:color="000000"/>
            </w:tcBorders>
            <w:shd w:val="clear" w:color="auto" w:fill="auto"/>
            <w:noWrap/>
            <w:hideMark/>
          </w:tcPr>
          <w:p>
            <w:pPr>
              <w:spacing w:after="0"/>
              <w:rPr>
                <w:rFonts w:ascii="Calibri" w:eastAsia="Times New Roman" w:hAnsi="Calibri" w:cs="Calibri"/>
                <w:b/>
                <w:bCs/>
                <w:noProof/>
                <w:color w:val="000000"/>
                <w:sz w:val="12"/>
                <w:szCs w:val="12"/>
                <w:lang w:eastAsia="en-GB"/>
              </w:rPr>
            </w:pPr>
            <w:r>
              <w:rPr>
                <w:rFonts w:ascii="Calibri" w:eastAsia="Times New Roman" w:hAnsi="Calibri" w:cs="Calibri"/>
                <w:b/>
                <w:bCs/>
                <w:noProof/>
                <w:color w:val="000000"/>
                <w:sz w:val="12"/>
                <w:szCs w:val="12"/>
                <w:lang w:eastAsia="en-GB"/>
              </w:rPr>
              <w:t>Norwegian waters of 2a</w:t>
            </w:r>
          </w:p>
        </w:tc>
        <w:tc>
          <w:tcPr>
            <w:tcW w:w="2410" w:type="dxa"/>
            <w:gridSpan w:val="2"/>
            <w:tcBorders>
              <w:top w:val="nil"/>
              <w:left w:val="nil"/>
              <w:bottom w:val="nil"/>
              <w:right w:val="single" w:sz="4" w:space="0" w:color="000000"/>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Faroese waters</w:t>
            </w:r>
          </w:p>
        </w:tc>
        <w:tc>
          <w:tcPr>
            <w:tcW w:w="1276"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single" w:sz="4" w:space="0" w:color="auto"/>
              <w:left w:val="single" w:sz="4" w:space="0" w:color="auto"/>
              <w:bottom w:val="single" w:sz="4" w:space="0" w:color="auto"/>
              <w:right w:val="nil"/>
            </w:tcBorders>
            <w:shd w:val="clear" w:color="auto" w:fill="auto"/>
            <w:noWrap/>
            <w:hideMark/>
          </w:tcPr>
          <w:p>
            <w:pPr>
              <w:spacing w:after="0"/>
              <w:rPr>
                <w:rFonts w:eastAsia="Times New Roman"/>
                <w:noProof/>
                <w:sz w:val="12"/>
                <w:szCs w:val="12"/>
                <w:lang w:eastAsia="en-GB"/>
              </w:rPr>
            </w:pPr>
            <w:r>
              <w:rPr>
                <w:rFonts w:eastAsia="Times New Roman"/>
                <w:noProof/>
                <w:sz w:val="12"/>
                <w:szCs w:val="12"/>
                <w:lang w:eastAsia="en-GB"/>
              </w:rPr>
              <w:t>(MAC/*4A-EN)</w:t>
            </w:r>
          </w:p>
        </w:tc>
        <w:tc>
          <w:tcPr>
            <w:tcW w:w="1283"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134" w:type="dxa"/>
            <w:tcBorders>
              <w:top w:val="single" w:sz="4" w:space="0" w:color="auto"/>
              <w:left w:val="nil"/>
              <w:bottom w:val="single" w:sz="4" w:space="0" w:color="auto"/>
              <w:right w:val="nil"/>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(MAC/*2AN-)</w:t>
            </w:r>
          </w:p>
        </w:tc>
        <w:tc>
          <w:tcPr>
            <w:tcW w:w="1276"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137" w:type="dxa"/>
            <w:tcBorders>
              <w:top w:val="single" w:sz="4" w:space="0" w:color="auto"/>
              <w:left w:val="nil"/>
              <w:bottom w:val="single" w:sz="4" w:space="0" w:color="auto"/>
              <w:right w:val="nil"/>
            </w:tcBorders>
            <w:shd w:val="clear" w:color="auto" w:fill="auto"/>
            <w:noWrap/>
            <w:hideMark/>
          </w:tcPr>
          <w:p>
            <w:pPr>
              <w:spacing w:after="0"/>
              <w:jc w:val="center"/>
              <w:rPr>
                <w:rFonts w:eastAsia="Times New Roman"/>
                <w:noProof/>
                <w:color w:val="000000"/>
                <w:sz w:val="12"/>
                <w:szCs w:val="12"/>
                <w:lang w:eastAsia="en-GB"/>
              </w:rPr>
            </w:pPr>
            <w:r>
              <w:rPr>
                <w:rFonts w:eastAsia="Times New Roman"/>
                <w:noProof/>
                <w:color w:val="000000"/>
                <w:sz w:val="12"/>
                <w:szCs w:val="12"/>
                <w:lang w:eastAsia="en-GB"/>
              </w:rPr>
              <w:t>(MAC/*FRO2)</w:t>
            </w:r>
          </w:p>
        </w:tc>
        <w:tc>
          <w:tcPr>
            <w:tcW w:w="1273" w:type="dxa"/>
            <w:tcBorders>
              <w:top w:val="single" w:sz="4" w:space="0" w:color="auto"/>
              <w:left w:val="nil"/>
              <w:bottom w:val="single" w:sz="4" w:space="0" w:color="auto"/>
              <w:right w:val="single" w:sz="4" w:space="0" w:color="auto"/>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Germany</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134" w:type="dxa"/>
            <w:tcBorders>
              <w:top w:val="single" w:sz="4" w:space="0" w:color="auto"/>
              <w:left w:val="nil"/>
              <w:bottom w:val="nil"/>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137" w:type="dxa"/>
            <w:tcBorders>
              <w:top w:val="nil"/>
              <w:left w:val="nil"/>
              <w:bottom w:val="nil"/>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France</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Ireland</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The Netherlands</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Union</w:t>
            </w:r>
          </w:p>
        </w:tc>
        <w:tc>
          <w:tcPr>
            <w:tcW w:w="1436" w:type="dxa"/>
            <w:tcBorders>
              <w:top w:val="nil"/>
              <w:left w:val="nil"/>
              <w:bottom w:val="single" w:sz="4" w:space="0" w:color="auto"/>
              <w:right w:val="nil"/>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83" w:type="dxa"/>
            <w:tcBorders>
              <w:top w:val="nil"/>
              <w:left w:val="nil"/>
              <w:bottom w:val="single" w:sz="4" w:space="0" w:color="auto"/>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134" w:type="dxa"/>
            <w:tcBorders>
              <w:top w:val="nil"/>
              <w:left w:val="nil"/>
              <w:bottom w:val="single" w:sz="4" w:space="0" w:color="auto"/>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6" w:type="dxa"/>
            <w:tcBorders>
              <w:top w:val="nil"/>
              <w:left w:val="nil"/>
              <w:bottom w:val="single" w:sz="4" w:space="0" w:color="auto"/>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137" w:type="dxa"/>
            <w:tcBorders>
              <w:top w:val="nil"/>
              <w:left w:val="single" w:sz="4" w:space="0" w:color="auto"/>
              <w:bottom w:val="single" w:sz="4" w:space="0" w:color="auto"/>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3" w:type="dxa"/>
            <w:tcBorders>
              <w:top w:val="nil"/>
              <w:left w:val="nil"/>
              <w:bottom w:val="single" w:sz="4" w:space="0" w:color="auto"/>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2"/>
                <w:szCs w:val="12"/>
                <w:lang w:eastAsia="en-GB"/>
              </w:rPr>
            </w:pPr>
            <w:r>
              <w:rPr>
                <w:rFonts w:eastAsia="Times New Roman"/>
                <w:b/>
                <w:bCs/>
                <w:noProof/>
                <w:color w:val="000000"/>
                <w:sz w:val="12"/>
                <w:szCs w:val="12"/>
                <w:lang w:eastAsia="en-GB"/>
              </w:rPr>
              <w:t>United Kingdom</w:t>
            </w:r>
          </w:p>
        </w:tc>
        <w:tc>
          <w:tcPr>
            <w:tcW w:w="1436" w:type="dxa"/>
            <w:tcBorders>
              <w:top w:val="nil"/>
              <w:left w:val="nil"/>
              <w:bottom w:val="nil"/>
              <w:right w:val="nil"/>
            </w:tcBorders>
            <w:shd w:val="clear" w:color="auto" w:fill="auto"/>
            <w:noWrap/>
            <w:hideMark/>
          </w:tcPr>
          <w:p>
            <w:pPr>
              <w:spacing w:after="0"/>
              <w:jc w:val="right"/>
              <w:rPr>
                <w:rFonts w:eastAsia="Times New Roman"/>
                <w:noProof/>
                <w:color w:val="000000"/>
                <w:sz w:val="12"/>
                <w:szCs w:val="12"/>
                <w:lang w:eastAsia="en-GB"/>
              </w:rPr>
            </w:pPr>
            <w:r>
              <w:rPr>
                <w:rFonts w:eastAsia="Times New Roman"/>
                <w:noProof/>
                <w:color w:val="000000"/>
                <w:sz w:val="12"/>
                <w:szCs w:val="12"/>
                <w:lang w:eastAsia="en-GB"/>
              </w:rPr>
              <w:t>pm</w:t>
            </w:r>
          </w:p>
        </w:tc>
        <w:tc>
          <w:tcPr>
            <w:tcW w:w="128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134" w:type="dxa"/>
            <w:tcBorders>
              <w:top w:val="nil"/>
              <w:left w:val="nil"/>
              <w:bottom w:val="nil"/>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6" w:type="dxa"/>
            <w:tcBorders>
              <w:top w:val="nil"/>
              <w:left w:val="nil"/>
              <w:bottom w:val="nil"/>
              <w:right w:val="single" w:sz="4" w:space="0" w:color="auto"/>
            </w:tcBorders>
            <w:shd w:val="clear" w:color="auto" w:fill="auto"/>
            <w:noWrap/>
            <w:hideMark/>
          </w:tcPr>
          <w:p>
            <w:pPr>
              <w:spacing w:after="0"/>
              <w:rPr>
                <w:rFonts w:eastAsia="Times New Roman"/>
                <w:noProof/>
                <w:color w:val="000000"/>
                <w:sz w:val="12"/>
                <w:szCs w:val="12"/>
                <w:lang w:eastAsia="en-GB"/>
              </w:rPr>
            </w:pPr>
            <w:r>
              <w:rPr>
                <w:rFonts w:eastAsia="Times New Roman"/>
                <w:noProof/>
                <w:color w:val="000000"/>
                <w:sz w:val="12"/>
                <w:szCs w:val="12"/>
                <w:lang w:eastAsia="en-GB"/>
              </w:rPr>
              <w:t> </w:t>
            </w:r>
          </w:p>
        </w:tc>
        <w:tc>
          <w:tcPr>
            <w:tcW w:w="1137" w:type="dxa"/>
            <w:tcBorders>
              <w:top w:val="nil"/>
              <w:left w:val="single" w:sz="4" w:space="0" w:color="auto"/>
              <w:bottom w:val="nil"/>
              <w:right w:val="nil"/>
            </w:tcBorders>
            <w:shd w:val="clear" w:color="auto" w:fill="auto"/>
            <w:noWrap/>
            <w:hideMark/>
          </w:tcPr>
          <w:p>
            <w:pPr>
              <w:spacing w:after="0"/>
              <w:jc w:val="right"/>
              <w:rPr>
                <w:rFonts w:eastAsia="Times New Roman"/>
                <w:noProof/>
                <w:sz w:val="12"/>
                <w:szCs w:val="12"/>
                <w:lang w:eastAsia="en-GB"/>
              </w:rPr>
            </w:pPr>
            <w:r>
              <w:rPr>
                <w:rFonts w:eastAsia="Times New Roman"/>
                <w:noProof/>
                <w:sz w:val="12"/>
                <w:szCs w:val="12"/>
                <w:lang w:eastAsia="en-GB"/>
              </w:rPr>
              <w:t>pm</w:t>
            </w:r>
          </w:p>
        </w:tc>
        <w:tc>
          <w:tcPr>
            <w:tcW w:w="1273" w:type="dxa"/>
            <w:tcBorders>
              <w:top w:val="nil"/>
              <w:left w:val="nil"/>
              <w:bottom w:val="nil"/>
              <w:right w:val="single" w:sz="4" w:space="0" w:color="auto"/>
            </w:tcBorders>
            <w:shd w:val="clear" w:color="auto" w:fill="auto"/>
            <w:noWrap/>
            <w:hideMark/>
          </w:tcPr>
          <w:p>
            <w:pPr>
              <w:spacing w:after="0"/>
              <w:rPr>
                <w:rFonts w:ascii="Calibri" w:eastAsia="Times New Roman" w:hAnsi="Calibri" w:cs="Calibri"/>
                <w:noProof/>
                <w:color w:val="000000"/>
                <w:sz w:val="12"/>
                <w:szCs w:val="12"/>
                <w:lang w:eastAsia="en-GB"/>
              </w:rPr>
            </w:pPr>
            <w:r>
              <w:rPr>
                <w:rFonts w:ascii="Calibri" w:eastAsia="Times New Roman" w:hAnsi="Calibri" w:cs="Calibri"/>
                <w:noProof/>
                <w:color w:val="000000"/>
                <w:sz w:val="12"/>
                <w:szCs w:val="12"/>
                <w:lang w:eastAsia="en-GB"/>
              </w:rPr>
              <w:t> </w:t>
            </w:r>
          </w:p>
        </w:tc>
        <w:tc>
          <w:tcPr>
            <w:tcW w:w="127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2"/>
                <w:szCs w:val="12"/>
                <w:lang w:eastAsia="en-GB"/>
              </w:rPr>
            </w:pPr>
          </w:p>
        </w:tc>
      </w:tr>
      <w:tr>
        <w:trPr>
          <w:trHeight w:val="270"/>
        </w:trPr>
        <w:tc>
          <w:tcPr>
            <w:tcW w:w="142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single" w:sz="8" w:space="0" w:color="000000"/>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Mackerel</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8c, 9 and 10; Union waters of CECAF 34.1.1</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(MAC/8C3411)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quantities subject to exchanges with other Member States may be taken in 8a, 8b and 8d (MAC/*8ABD.). However, the quantities provided by Spain, Portugal or France for exchange purposes and to be taken in 8a, 8b and 8d shall not exceed 25 % of the quotas of the donor Member State.</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0241" w:type="dxa"/>
            <w:gridSpan w:val="8"/>
            <w:tcBorders>
              <w:top w:val="single" w:sz="4" w:space="0" w:color="auto"/>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Special condition: within the limits of the abovementioned quotas, no more than the quantities given below may be taken in the following zone:</w:t>
            </w:r>
          </w:p>
        </w:tc>
      </w:tr>
      <w:tr>
        <w:trPr>
          <w:trHeight w:val="255"/>
        </w:trPr>
        <w:tc>
          <w:tcPr>
            <w:tcW w:w="2862" w:type="dxa"/>
            <w:gridSpan w:val="2"/>
            <w:tcBorders>
              <w:top w:val="nil"/>
              <w:left w:val="nil"/>
              <w:bottom w:val="single" w:sz="4"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8b (MAC/*08B.)</w:t>
            </w:r>
          </w:p>
        </w:tc>
        <w:tc>
          <w:tcPr>
            <w:tcW w:w="1283" w:type="dxa"/>
            <w:tcBorders>
              <w:top w:val="nil"/>
              <w:left w:val="nil"/>
              <w:bottom w:val="single" w:sz="4" w:space="0" w:color="auto"/>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4"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xml:space="preserve"> 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single" w:sz="8" w:space="0" w:color="000000"/>
              <w:left w:val="nil"/>
              <w:bottom w:val="single" w:sz="8" w:space="0" w:color="000000"/>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Mackerel</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2a and 4a</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Scomber scombrus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(MAC/2A4A-N)</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Not relevant</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Common sole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 Union waters of Subdivisions 22-24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(SOL/3ABC24)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500</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29</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48</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19</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596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596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Quota may be fished in Union waters of 3a, Subdivisions 22-24 only.</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Common sole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(SOL/24-C.)</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May be fished only in Union waters of 4 (SOL/*04-C.).</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Common sole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6; Union and international waters of 5b; international waters of 12 and 14</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(SOL/56-14)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Common sole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(SOL/07A.)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Common sole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7b and 7c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(SOL/7BC.)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36</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34</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34</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Common sole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7d</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(SOL/07D.)</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Common sole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(SOL/07E.)</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Common sole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7f and 7g</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(SOL/7FG.)</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Common sole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7h, 7j and 7k</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(SOL/7HJK.)</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Common sole</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8a and 8b</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solea</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(SOL/8AB.)</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42</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8</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3 077</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231</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3 358</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3 483</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Sole</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8c, 8d, 8e, 9 and 10; Union waters of CECAF 34.1.1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Solea spp.</w:t>
            </w:r>
          </w:p>
        </w:tc>
        <w:tc>
          <w:tcPr>
            <w:tcW w:w="1283" w:type="dxa"/>
            <w:tcBorders>
              <w:top w:val="nil"/>
              <w:left w:val="nil"/>
              <w:bottom w:val="single" w:sz="8" w:space="0" w:color="000000"/>
              <w:right w:val="nil"/>
            </w:tcBorders>
            <w:shd w:val="clear" w:color="auto" w:fill="auto"/>
            <w:noWrap/>
            <w:hideMark/>
          </w:tcPr>
          <w:p>
            <w:pPr>
              <w:spacing w:after="0"/>
              <w:jc w:val="right"/>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(SOO/8CDE34)</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189</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313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502</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xml:space="preserve"> 502</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Sprat and associated by-catches</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Sprattus sprattus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(SPR/03A.)</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Up to 5 % of the quota may consist of by-catches of whiting and haddock (OTH/*03A.). By-catches of whiting and haddock counted against the quota pursuant to this provision and by-catches of species counted against the quota pursuant to Article 15(8) of Regulation (EU) No 1380/2013 shall, together, not exceed 9% of the quota.</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This quota may only be fished from 1 July 2021 to 30 June 2022.</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nil"/>
              <w:right w:val="nil"/>
            </w:tcBorders>
            <w:shd w:val="clear" w:color="auto" w:fill="auto"/>
            <w:noWrap/>
            <w:hideMark/>
          </w:tcPr>
          <w:p>
            <w:pPr>
              <w:spacing w:after="0"/>
              <w:rPr>
                <w:rFonts w:ascii="Calibri" w:eastAsia="Times New Roman" w:hAnsi="Calibri" w:cs="Calibri"/>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Sprat and associated by-catches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and 4</w:t>
            </w:r>
          </w:p>
        </w:tc>
        <w:tc>
          <w:tcPr>
            <w:tcW w:w="1276" w:type="dxa"/>
            <w:tcBorders>
              <w:top w:val="single" w:sz="8" w:space="0" w:color="auto"/>
              <w:left w:val="nil"/>
              <w:bottom w:val="nil"/>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r>
      <w:tr>
        <w:trPr>
          <w:trHeight w:val="735"/>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Sprattus sprattus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c>
          <w:tcPr>
            <w:tcW w:w="1137" w:type="dxa"/>
            <w:tcBorders>
              <w:top w:val="nil"/>
              <w:left w:val="nil"/>
              <w:bottom w:val="single" w:sz="8" w:space="0" w:color="auto"/>
              <w:right w:val="nil"/>
            </w:tcBorders>
            <w:shd w:val="clear" w:color="auto" w:fill="auto"/>
            <w:hideMark/>
          </w:tcPr>
          <w:p>
            <w:pPr>
              <w:spacing w:after="0"/>
              <w:jc w:val="center"/>
              <w:rPr>
                <w:rFonts w:eastAsia="Times New Roman"/>
                <w:noProof/>
                <w:sz w:val="18"/>
                <w:szCs w:val="18"/>
                <w:lang w:eastAsia="en-GB"/>
              </w:rPr>
            </w:pPr>
            <w:r>
              <w:rPr>
                <w:rFonts w:eastAsia="Times New Roman"/>
                <w:noProof/>
                <w:sz w:val="18"/>
                <w:szCs w:val="18"/>
                <w:lang w:eastAsia="en-GB"/>
              </w:rPr>
              <w:t xml:space="preserve"> (SPR/2AC4-C)</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6"/>
                <w:szCs w:val="16"/>
                <w:lang w:eastAsia="en-GB"/>
              </w:rPr>
            </w:pPr>
            <w:r>
              <w:rPr>
                <w:rFonts w:ascii="Calibri" w:eastAsia="Times New Roman" w:hAnsi="Calibri" w:cs="Calibri"/>
                <w:noProof/>
                <w:color w:val="000000"/>
                <w:sz w:val="16"/>
                <w:szCs w:val="16"/>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The quota may only be fished from 1 July 2021 to 30 June 2022.</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Up to 2 % of the quota may consist of by-catches of whiting (OTH/*2AC4C). By-catches of whiting counted against the quota pursuant to this provision and by-catches of species counted against the quota pursuant to Article 15(8) of Regulation (EU) No 1380/2013  shall, together, not exceed  9% of the quota.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Including sandeel.</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May contain up to 4% of by-catch of herring.</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1436" w:type="dxa"/>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Sprat</w:t>
            </w:r>
          </w:p>
        </w:tc>
        <w:tc>
          <w:tcPr>
            <w:tcW w:w="1283" w:type="dxa"/>
            <w:tcBorders>
              <w:top w:val="single" w:sz="8" w:space="0" w:color="000000"/>
              <w:left w:val="nil"/>
              <w:bottom w:val="nil"/>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7d and 7e</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000000"/>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Sprattus sprattus</w:t>
            </w:r>
          </w:p>
        </w:tc>
        <w:tc>
          <w:tcPr>
            <w:tcW w:w="1134" w:type="dxa"/>
            <w:tcBorders>
              <w:top w:val="nil"/>
              <w:left w:val="nil"/>
              <w:bottom w:val="single" w:sz="8" w:space="0" w:color="000000"/>
              <w:right w:val="nil"/>
            </w:tcBorders>
            <w:shd w:val="clear" w:color="auto" w:fill="auto"/>
            <w:noWrap/>
            <w:hideMark/>
          </w:tcPr>
          <w:p>
            <w:pPr>
              <w:spacing w:after="0"/>
              <w:rPr>
                <w:rFonts w:eastAsia="Times New Roman"/>
                <w:i/>
                <w:iCs/>
                <w:noProof/>
                <w:color w:val="000000"/>
                <w:sz w:val="18"/>
                <w:szCs w:val="18"/>
                <w:lang w:eastAsia="en-GB"/>
              </w:rPr>
            </w:pPr>
            <w:r>
              <w:rPr>
                <w:rFonts w:eastAsia="Times New Roman"/>
                <w:i/>
                <w:iCs/>
                <w:noProof/>
                <w:color w:val="000000"/>
                <w:sz w:val="18"/>
                <w:szCs w:val="18"/>
                <w:lang w:eastAsia="en-GB"/>
              </w:rPr>
              <w:t> </w:t>
            </w:r>
          </w:p>
        </w:tc>
        <w:tc>
          <w:tcPr>
            <w:tcW w:w="1276" w:type="dxa"/>
            <w:tcBorders>
              <w:top w:val="nil"/>
              <w:left w:val="single" w:sz="8" w:space="0" w:color="000000"/>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(SPR/7DE.)</w:t>
            </w:r>
          </w:p>
        </w:tc>
        <w:tc>
          <w:tcPr>
            <w:tcW w:w="1273"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000000"/>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Picked dogfish</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and international waters of 1, 5, 6, 7, 8, 12 and 14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Squalus acanthias</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(DGS/15X14)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4962" w:type="dxa"/>
            <w:gridSpan w:val="4"/>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Picked dogfish shall not be targeted in the areas covered by this TAC. When accidentally caught in fisheries where picked dogfish is not subject to the landing obligation, specimens shall not be harmed and shall be released immediately, as required by Articles 13 and 48 of this Regulation. By derogation from Article 14, a vessel engaged in the by-catch avoidance programme that has been positively assessed by the STECF may land not more than 2 tonnes per month of picked dogfish that is dead at the moment when the fishing gear is hauled on board. Member States participating in the by-catch avoidance programme shall ensure that the total annual landings of picked dogfish on the basis of this derogation do not exceed the above amounts. They shall communicate the list of participating vessels to the Commission before allowing any landings. Member States shall exchange information about avoidance areas.</w:t>
            </w:r>
          </w:p>
        </w:tc>
      </w:tr>
      <w:tr>
        <w:trPr>
          <w:trHeight w:val="285"/>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vAlign w:val="bottom"/>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Horse mackerel and associated by-catches</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4b, 4c and 7d</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Trachurus 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(JAX/4BC7D)</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Up to 5 % of the quota may consist of by-catches of boarfish, haddock, whiting and mackerel (OTH/*4BC7D). By-catches of boarfish, haddock, whiting and mackerel counted against the quota pursuant to this provision and by-catches of species counted against the quota pursuant to Article 15(8) of Regulation (EU) No 1380/2013 shall, together, not exceed 9% of the quota.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up to pm % of this quota fished in division 7d may be accounted for as fished under the quota concerning the following zone: Union waters of 2a, 4a, 6, 7a-c,7e-k, 8a, 8b, 8d and 8e; Union and international waters of 5b; international waters of 12 and 14 (JAX/*7D-EU).</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May be fished in Union waters of 4a but may not be fished in Union waters of 7d (JAX/*04-C.).</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Horse mackerel and associated by-catches</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Union waters of 2a, 4a; 6, 7a-c,7e-k, 8a, 8b, 8d and 8e; Union and international waters of 5b; international waters of 12 and 14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Trachurus 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(JAX/2A-14)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(3)</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 (5)</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 (5)</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Ireland</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 (5)</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up to 5 % of this quota fished in Union waters of 2a or 4a before 30 June may be accounted for as fished under the quota concerning the zone of Union waters of 4b, 4c and 7d (JAX/*2A4AC).</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up to pm % of this quota may be fished in 7d (JAX/*07D.). Under this special condition, and in accordance with footnote (3), by-catches of boarfish and whiting shall be reported separately under the following code: (OTH/*07D.).</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Up to 5 % of the quota may consist of by-catches of boarfish, haddock, whiting and mackerel (OTH/*2A-14). By-catches of boarfish, haddock, whiting and mackerel counted against the quota pursuant to this provision and by-catches of species counted against the quota pursuant to Article 15(8) of Regulation (EU) No 1380/2013 shall, together, not exceed 9% of the quota.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Limited to 4a, 6a (north of 56° 30’ N only), 7e, 7f, 7h.</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(5)</w:t>
            </w:r>
          </w:p>
        </w:tc>
        <w:tc>
          <w:tcPr>
            <w:tcW w:w="8815" w:type="dxa"/>
            <w:gridSpan w:val="7"/>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up to 80% of this quota may be fished in 8c (JAX/*08C2). Under this special condition, and in accordance with footnote (3), by-catches of boarfish and whiting shall be reported separately under the following code: (OTH/*08C2).</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Horse mackerel</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8c</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Trachurus 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(JAX/08C.)</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up to pm % of this quota may be fished in 9 (JAX/*09.).</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Horse mackerel</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1137"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9</w:t>
            </w:r>
          </w:p>
        </w:tc>
        <w:tc>
          <w:tcPr>
            <w:tcW w:w="1273"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Trachurus 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(JAX/09.)</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31 834</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91 211</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7(2)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123 045</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128 627</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up to pm % of this quota may be fished in 8c (JAX/*08C.).</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Horse mackerel</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10; Union waters of CECAF(1)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Trachurus 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(JAX/X34PRT)</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To be established</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To be established</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6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To be established</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Waters adjacent to the Azores.</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Fixed at the same quantity as the quota of Portugal.</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Horse mackerel</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Union waters of CECAF(1)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Trachurus 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(JAX/341PRT)</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Portugal</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To be established</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To be established</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6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To be established</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Waters adjacent to Madeira.</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Fixed at the same quantity as the quota of Portugal.</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Horse mackerel</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xml:space="preserve">Union waters of CECAF(1)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Trachurus spp.</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(JAX/341SPN)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Spain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To be established</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To be established</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6 of this Regulation applies</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To be established</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3853" w:type="dxa"/>
            <w:gridSpan w:val="3"/>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Waters adjacent to the Canary Islands.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3853" w:type="dxa"/>
            <w:gridSpan w:val="3"/>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Fixed at the same quantity as the quota of Spain.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3853" w:type="dxa"/>
            <w:gridSpan w:val="3"/>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Norway pout and associated by-catches</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3a; Union waters of 2a and 4</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Trisopterus esmarkii</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(NOP/2A3A4.)</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b/>
                <w:bCs/>
                <w:noProof/>
                <w:color w:val="000000"/>
                <w:sz w:val="18"/>
                <w:szCs w:val="18"/>
                <w:lang w:eastAsia="en-GB"/>
              </w:rPr>
            </w:pPr>
            <w:r>
              <w:rPr>
                <w:rFonts w:eastAsia="Times New Roman"/>
                <w:b/>
                <w:bCs/>
                <w:noProof/>
                <w:color w:val="000000"/>
                <w:sz w:val="18"/>
                <w:szCs w:val="18"/>
                <w:lang w:eastAsia="en-GB"/>
              </w:rPr>
              <w:t>Year</w:t>
            </w:r>
          </w:p>
        </w:tc>
        <w:tc>
          <w:tcPr>
            <w:tcW w:w="1436"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2021</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2022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(1)(3)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(6)</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Analytical TAC</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(1) (2)(3)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 (6)</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3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(1)(2)(3)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(2)(6)</w:t>
            </w:r>
          </w:p>
        </w:tc>
        <w:tc>
          <w:tcPr>
            <w:tcW w:w="3686" w:type="dxa"/>
            <w:gridSpan w:val="3"/>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Article 4 of Regulation (EC) No 847/96 shall not apply</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(1)(3)</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(6)</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(4)</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283" w:type="dxa"/>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(5)</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0</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(5)</w:t>
            </w:r>
          </w:p>
        </w:tc>
        <w:tc>
          <w:tcPr>
            <w:tcW w:w="1137"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Not relevant</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Not relevant</w:t>
            </w:r>
          </w:p>
        </w:tc>
        <w:tc>
          <w:tcPr>
            <w:tcW w:w="1276"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Up to 5 % of the quota may consist of by-catches of haddock and whiting (OT2/*2A3A4). By-catches of haddock and whiting counted against the quota pursuant to this provision and by-catches of species counted against the quota pursuant to Article 15(8) of Regulation (EU) No 1380/2013 shall, together, not exceed 9% of the quota.</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5129" w:type="dxa"/>
            <w:gridSpan w:val="4"/>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Quota may be fished in Union waters of ICES zones 2a, 3a and 4 only.</w:t>
            </w:r>
          </w:p>
        </w:tc>
        <w:tc>
          <w:tcPr>
            <w:tcW w:w="1137"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Union quota may only be fished from 1 November 2020 to 31 October 2021.</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(4)</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A sorting grid shall be used.</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(5)</w:t>
            </w:r>
          </w:p>
        </w:tc>
        <w:tc>
          <w:tcPr>
            <w:tcW w:w="8815" w:type="dxa"/>
            <w:gridSpan w:val="7"/>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A sorting grid shall be used. Includes a maximum of 15 % of unavoidable by-catches (NOP/*2A3A4), to be counted against this quota.</w:t>
            </w: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(6)</w:t>
            </w:r>
          </w:p>
        </w:tc>
        <w:tc>
          <w:tcPr>
            <w:tcW w:w="6266" w:type="dxa"/>
            <w:gridSpan w:val="5"/>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Union quota may only be fished from 1 November 2021 to 31 October 2022.</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Industrial fish</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4</w:t>
            </w:r>
          </w:p>
        </w:tc>
        <w:tc>
          <w:tcPr>
            <w:tcW w:w="127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(I/F/04-N.)</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By-catches of cod, haddock, pollack, whiting and saithe to be counted against the quotas for these species.</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Special condition: of which no more than the following amount of horse mackerel (JAX/*04-N.):</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vertAlign w:val="superscript"/>
                <w:lang w:eastAsia="en-GB"/>
              </w:rPr>
              <w:t>pm</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Other species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5b, 6 and 7</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(OTH/5B67-C)</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719" w:type="dxa"/>
            <w:gridSpan w:val="2"/>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Taken with long-lines only.</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43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sz w:val="18"/>
                <w:szCs w:val="18"/>
                <w:lang w:eastAsia="en-GB"/>
              </w:rPr>
            </w:pPr>
            <w:r>
              <w:rPr>
                <w:rFonts w:ascii="Calibri" w:eastAsia="Times New Roman" w:hAnsi="Calibri" w:cs="Calibri"/>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137"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ascii="Calibri" w:eastAsia="Times New Roman" w:hAnsi="Calibri" w:cs="Calibri"/>
                <w:noProof/>
                <w:color w:val="000000"/>
                <w:sz w:val="18"/>
                <w:szCs w:val="18"/>
                <w:lang w:eastAsia="en-GB"/>
              </w:rPr>
            </w:pPr>
            <w:r>
              <w:rPr>
                <w:rFonts w:ascii="Calibri" w:eastAsia="Times New Roman" w:hAnsi="Calibri" w:cs="Calibri"/>
                <w:noProof/>
                <w:color w:val="000000"/>
                <w:sz w:val="18"/>
                <w:szCs w:val="18"/>
                <w:lang w:eastAsia="en-GB"/>
              </w:rPr>
              <w:t> </w:t>
            </w:r>
          </w:p>
        </w:tc>
      </w:tr>
      <w:tr>
        <w:trPr>
          <w:trHeight w:val="255"/>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Other species</w:t>
            </w:r>
          </w:p>
        </w:tc>
        <w:tc>
          <w:tcPr>
            <w:tcW w:w="1134" w:type="dxa"/>
            <w:tcBorders>
              <w:top w:val="nil"/>
              <w:left w:val="nil"/>
              <w:bottom w:val="nil"/>
              <w:right w:val="single" w:sz="8" w:space="0" w:color="auto"/>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2410"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Norwegian waters of 4</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(OTH/04-N.)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Belgium</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Denmark</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Germany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France</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The Netherlands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Sweden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Not relevant</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United Kingdom</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6266" w:type="dxa"/>
            <w:gridSpan w:val="5"/>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Quota allocated by Norway to Sweden of "other species" at a traditional level.</w:t>
            </w:r>
          </w:p>
        </w:tc>
        <w:tc>
          <w:tcPr>
            <w:tcW w:w="1273"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7539" w:type="dxa"/>
            <w:gridSpan w:val="6"/>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Including fisheries not specifically mentioned. Exceptions may be introduced after consultations, as appropriate.</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55"/>
        </w:trPr>
        <w:tc>
          <w:tcPr>
            <w:tcW w:w="1426"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Species:</w:t>
            </w:r>
          </w:p>
        </w:tc>
        <w:tc>
          <w:tcPr>
            <w:tcW w:w="2719" w:type="dxa"/>
            <w:gridSpan w:val="2"/>
            <w:tcBorders>
              <w:top w:val="single" w:sz="8" w:space="0" w:color="000000"/>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Other species</w:t>
            </w:r>
          </w:p>
        </w:tc>
        <w:tc>
          <w:tcPr>
            <w:tcW w:w="1134" w:type="dxa"/>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single" w:sz="8" w:space="0" w:color="000000"/>
              <w:left w:val="single" w:sz="8" w:space="0" w:color="000000"/>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Zone:</w:t>
            </w:r>
          </w:p>
        </w:tc>
        <w:tc>
          <w:tcPr>
            <w:tcW w:w="3686" w:type="dxa"/>
            <w:gridSpan w:val="3"/>
            <w:tcBorders>
              <w:top w:val="single" w:sz="8" w:space="0" w:color="000000"/>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 waters of 2a, 4 and 6a north of 56° 30' N</w:t>
            </w:r>
          </w:p>
        </w:tc>
      </w:tr>
      <w:tr>
        <w:trPr>
          <w:trHeight w:val="270"/>
        </w:trPr>
        <w:tc>
          <w:tcPr>
            <w:tcW w:w="142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436" w:type="dxa"/>
            <w:tcBorders>
              <w:top w:val="nil"/>
              <w:left w:val="nil"/>
              <w:bottom w:val="single" w:sz="8" w:space="0" w:color="auto"/>
              <w:right w:val="nil"/>
            </w:tcBorders>
            <w:shd w:val="clear" w:color="auto" w:fill="auto"/>
            <w:noWrap/>
            <w:hideMark/>
          </w:tcPr>
          <w:p>
            <w:pPr>
              <w:spacing w:after="0"/>
              <w:rPr>
                <w:rFonts w:eastAsia="Times New Roman"/>
                <w:i/>
                <w:iCs/>
                <w:noProof/>
                <w:sz w:val="18"/>
                <w:szCs w:val="18"/>
                <w:lang w:eastAsia="en-GB"/>
              </w:rPr>
            </w:pPr>
            <w:r>
              <w:rPr>
                <w:rFonts w:eastAsia="Times New Roman"/>
                <w:i/>
                <w:iCs/>
                <w:noProof/>
                <w:sz w:val="18"/>
                <w:szCs w:val="18"/>
                <w:lang w:eastAsia="en-GB"/>
              </w:rPr>
              <w:t> </w:t>
            </w:r>
          </w:p>
        </w:tc>
        <w:tc>
          <w:tcPr>
            <w:tcW w:w="1283" w:type="dxa"/>
            <w:tcBorders>
              <w:top w:val="nil"/>
              <w:left w:val="nil"/>
              <w:bottom w:val="single" w:sz="8" w:space="0" w:color="auto"/>
              <w:right w:val="nil"/>
            </w:tcBorders>
            <w:shd w:val="clear" w:color="auto" w:fill="auto"/>
            <w:noWrap/>
            <w:hideMark/>
          </w:tcPr>
          <w:p>
            <w:pPr>
              <w:spacing w:after="0"/>
              <w:jc w:val="right"/>
              <w:rPr>
                <w:rFonts w:eastAsia="Times New Roman"/>
                <w:noProof/>
                <w:color w:val="000000"/>
                <w:sz w:val="18"/>
                <w:szCs w:val="18"/>
                <w:lang w:eastAsia="en-GB"/>
              </w:rPr>
            </w:pPr>
            <w:r>
              <w:rPr>
                <w:rFonts w:eastAsia="Times New Roman"/>
                <w:noProof/>
                <w:color w:val="000000"/>
                <w:sz w:val="18"/>
                <w:szCs w:val="18"/>
                <w:lang w:eastAsia="en-GB"/>
              </w:rPr>
              <w:t> </w:t>
            </w:r>
          </w:p>
        </w:tc>
        <w:tc>
          <w:tcPr>
            <w:tcW w:w="1134"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1276" w:type="dxa"/>
            <w:tcBorders>
              <w:top w:val="nil"/>
              <w:left w:val="single" w:sz="8" w:space="0" w:color="000000"/>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c>
          <w:tcPr>
            <w:tcW w:w="2410" w:type="dxa"/>
            <w:gridSpan w:val="2"/>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(OTH/2A46AN)</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 </w:t>
            </w: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Union</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2413"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Precautionary TAC</w:t>
            </w:r>
          </w:p>
        </w:tc>
        <w:tc>
          <w:tcPr>
            <w:tcW w:w="1273"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Norway</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 (2)</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2862" w:type="dxa"/>
            <w:gridSpan w:val="2"/>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Faroe Islands</w:t>
            </w: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pm</w:t>
            </w:r>
          </w:p>
        </w:tc>
        <w:tc>
          <w:tcPr>
            <w:tcW w:w="1134"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(3)</w:t>
            </w:r>
          </w:p>
        </w:tc>
        <w:tc>
          <w:tcPr>
            <w:tcW w:w="127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43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8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4" w:type="dxa"/>
            <w:tcBorders>
              <w:top w:val="nil"/>
              <w:left w:val="nil"/>
              <w:bottom w:val="nil"/>
              <w:right w:val="nil"/>
            </w:tcBorders>
            <w:shd w:val="clear" w:color="auto" w:fill="auto"/>
            <w:noWrap/>
            <w:hideMark/>
          </w:tcPr>
          <w:p>
            <w:pPr>
              <w:spacing w:after="0"/>
              <w:jc w:val="right"/>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lang w:eastAsia="en-GB"/>
              </w:rPr>
              <w:t>TAC</w:t>
            </w:r>
          </w:p>
        </w:tc>
        <w:tc>
          <w:tcPr>
            <w:tcW w:w="143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p>
        </w:tc>
        <w:tc>
          <w:tcPr>
            <w:tcW w:w="1283"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r>
              <w:rPr>
                <w:rFonts w:eastAsia="Times New Roman"/>
                <w:noProof/>
                <w:sz w:val="18"/>
                <w:szCs w:val="18"/>
                <w:lang w:eastAsia="en-GB"/>
              </w:rPr>
              <w:t>Not relevant</w:t>
            </w:r>
          </w:p>
        </w:tc>
        <w:tc>
          <w:tcPr>
            <w:tcW w:w="1134" w:type="dxa"/>
            <w:tcBorders>
              <w:top w:val="nil"/>
              <w:left w:val="nil"/>
              <w:bottom w:val="nil"/>
              <w:right w:val="nil"/>
            </w:tcBorders>
            <w:shd w:val="clear" w:color="auto" w:fill="auto"/>
            <w:noWrap/>
            <w:hideMark/>
          </w:tcPr>
          <w:p>
            <w:pPr>
              <w:spacing w:after="0"/>
              <w:jc w:val="right"/>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(1)</w:t>
            </w:r>
          </w:p>
        </w:tc>
        <w:tc>
          <w:tcPr>
            <w:tcW w:w="2719" w:type="dxa"/>
            <w:gridSpan w:val="2"/>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Limited to 2a and 4 (OTH/*2A4-C).</w:t>
            </w:r>
          </w:p>
        </w:tc>
        <w:tc>
          <w:tcPr>
            <w:tcW w:w="1134"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137"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3"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c>
          <w:tcPr>
            <w:tcW w:w="1276" w:type="dxa"/>
            <w:tcBorders>
              <w:top w:val="nil"/>
              <w:left w:val="nil"/>
              <w:bottom w:val="nil"/>
              <w:right w:val="nil"/>
            </w:tcBorders>
            <w:shd w:val="clear" w:color="auto" w:fill="auto"/>
            <w:noWrap/>
            <w:hideMark/>
          </w:tcPr>
          <w:p>
            <w:pPr>
              <w:spacing w:after="0"/>
              <w:rPr>
                <w:rFonts w:eastAsia="Times New Roman"/>
                <w:noProof/>
                <w:sz w:val="20"/>
                <w:szCs w:val="20"/>
                <w:lang w:eastAsia="en-GB"/>
              </w:rPr>
            </w:pPr>
          </w:p>
        </w:tc>
      </w:tr>
      <w:tr>
        <w:trPr>
          <w:trHeight w:val="270"/>
        </w:trPr>
        <w:tc>
          <w:tcPr>
            <w:tcW w:w="1426" w:type="dxa"/>
            <w:tcBorders>
              <w:top w:val="nil"/>
              <w:left w:val="nil"/>
              <w:bottom w:val="nil"/>
              <w:right w:val="nil"/>
            </w:tcBorders>
            <w:shd w:val="clear" w:color="auto" w:fill="auto"/>
            <w:noWrap/>
            <w:hideMark/>
          </w:tcPr>
          <w:p>
            <w:pPr>
              <w:spacing w:after="0"/>
              <w:rPr>
                <w:rFonts w:eastAsia="Times New Roman"/>
                <w:noProof/>
                <w:color w:val="000000"/>
                <w:sz w:val="18"/>
                <w:szCs w:val="18"/>
                <w:lang w:eastAsia="en-GB"/>
              </w:rPr>
            </w:pPr>
            <w:r>
              <w:rPr>
                <w:rFonts w:eastAsia="Times New Roman"/>
                <w:noProof/>
                <w:color w:val="000000"/>
                <w:sz w:val="18"/>
                <w:szCs w:val="18"/>
                <w:vertAlign w:val="superscript"/>
                <w:lang w:eastAsia="en-GB"/>
              </w:rPr>
              <w:t>(2)</w:t>
            </w:r>
          </w:p>
        </w:tc>
        <w:tc>
          <w:tcPr>
            <w:tcW w:w="7539" w:type="dxa"/>
            <w:gridSpan w:val="6"/>
            <w:tcBorders>
              <w:top w:val="nil"/>
              <w:left w:val="nil"/>
              <w:bottom w:val="nil"/>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Including fisheries not specifically mentioned. Exceptions may be introduced after consultations, as appropriate.</w:t>
            </w:r>
          </w:p>
        </w:tc>
        <w:tc>
          <w:tcPr>
            <w:tcW w:w="1276" w:type="dxa"/>
            <w:tcBorders>
              <w:top w:val="nil"/>
              <w:left w:val="nil"/>
              <w:bottom w:val="nil"/>
              <w:right w:val="nil"/>
            </w:tcBorders>
            <w:shd w:val="clear" w:color="auto" w:fill="auto"/>
            <w:noWrap/>
            <w:hideMark/>
          </w:tcPr>
          <w:p>
            <w:pPr>
              <w:spacing w:after="0"/>
              <w:rPr>
                <w:rFonts w:eastAsia="Times New Roman"/>
                <w:noProof/>
                <w:sz w:val="18"/>
                <w:szCs w:val="18"/>
                <w:lang w:eastAsia="en-GB"/>
              </w:rPr>
            </w:pPr>
          </w:p>
        </w:tc>
      </w:tr>
      <w:tr>
        <w:trPr>
          <w:trHeight w:val="285"/>
        </w:trPr>
        <w:tc>
          <w:tcPr>
            <w:tcW w:w="142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(3)</w:t>
            </w:r>
          </w:p>
        </w:tc>
        <w:tc>
          <w:tcPr>
            <w:tcW w:w="5129" w:type="dxa"/>
            <w:gridSpan w:val="4"/>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vertAlign w:val="superscript"/>
                <w:lang w:eastAsia="en-GB"/>
              </w:rPr>
              <w:t>To be fished in 4 and 6a north of 56º30' N (OTH/*46AN).</w:t>
            </w:r>
          </w:p>
        </w:tc>
        <w:tc>
          <w:tcPr>
            <w:tcW w:w="1137"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73"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c>
          <w:tcPr>
            <w:tcW w:w="1276" w:type="dxa"/>
            <w:tcBorders>
              <w:top w:val="nil"/>
              <w:left w:val="nil"/>
              <w:bottom w:val="single" w:sz="8" w:space="0" w:color="auto"/>
              <w:right w:val="nil"/>
            </w:tcBorders>
            <w:shd w:val="clear" w:color="auto" w:fill="auto"/>
            <w:noWrap/>
            <w:hideMark/>
          </w:tcPr>
          <w:p>
            <w:pPr>
              <w:spacing w:after="0"/>
              <w:rPr>
                <w:rFonts w:eastAsia="Times New Roman"/>
                <w:noProof/>
                <w:sz w:val="18"/>
                <w:szCs w:val="18"/>
                <w:lang w:eastAsia="en-GB"/>
              </w:rPr>
            </w:pPr>
            <w:r>
              <w:rPr>
                <w:rFonts w:eastAsia="Times New Roman"/>
                <w:noProof/>
                <w:sz w:val="18"/>
                <w:szCs w:val="18"/>
                <w:lang w:eastAsia="en-GB"/>
              </w:rPr>
              <w:t> </w:t>
            </w:r>
          </w:p>
        </w:tc>
      </w:tr>
    </w:tbl>
    <w:p>
      <w:pPr>
        <w:pStyle w:val="Lignefinal"/>
        <w:rPr>
          <w:noProof/>
        </w:rPr>
      </w:pPr>
    </w:p>
    <w:p>
      <w:pPr>
        <w:spacing w:before="0" w:after="200" w:line="276" w:lineRule="auto"/>
        <w:jc w:val="left"/>
        <w:rPr>
          <w:noProof/>
        </w:rPr>
      </w:pPr>
      <w:r>
        <w:rPr>
          <w:b/>
          <w:noProof/>
        </w:rPr>
        <w:br w:type="page"/>
      </w:r>
    </w:p>
    <w:p>
      <w:pPr>
        <w:jc w:val="center"/>
        <w:rPr>
          <w:b/>
          <w:noProof/>
        </w:rPr>
      </w:pPr>
      <w:r>
        <w:rPr>
          <w:b/>
          <w:noProof/>
        </w:rPr>
        <w:t>ANNEX IB</w:t>
      </w:r>
    </w:p>
    <w:p>
      <w:pPr>
        <w:pStyle w:val="NormalCentered"/>
        <w:rPr>
          <w:noProof/>
        </w:rPr>
      </w:pPr>
      <w:r>
        <w:rPr>
          <w:rFonts w:eastAsia="Calibri"/>
          <w:noProof/>
          <w:lang w:val="en-US"/>
        </w:rPr>
        <w:t xml:space="preserve">NORTH EAST ATLANTIC AND GREENLAND, ICES SUBAREAS 1, 2, 5, 12 AND 14 </w:t>
      </w:r>
      <w:r>
        <w:rPr>
          <w:rFonts w:eastAsia="Calibri"/>
          <w:noProof/>
          <w:lang w:val="en-US"/>
        </w:rPr>
        <w:br/>
        <w:t>AND GREENLAND WATERS OF NAFO 1</w:t>
      </w:r>
    </w:p>
    <w:tbl>
      <w:tblPr>
        <w:tblW w:w="9747" w:type="dxa"/>
        <w:tblInd w:w="108" w:type="dxa"/>
        <w:tblLayout w:type="fixed"/>
        <w:tblLook w:val="04A0" w:firstRow="1" w:lastRow="0" w:firstColumn="1" w:lastColumn="0" w:noHBand="0" w:noVBand="1"/>
      </w:tblPr>
      <w:tblGrid>
        <w:gridCol w:w="1980"/>
        <w:gridCol w:w="1355"/>
        <w:gridCol w:w="988"/>
        <w:gridCol w:w="367"/>
        <w:gridCol w:w="436"/>
        <w:gridCol w:w="919"/>
        <w:gridCol w:w="3702"/>
      </w:tblGrid>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Herring</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Union, Faroese, Norwegian and international waters of 1 and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Clupea harengus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(HER/1/2-)</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Belgium</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Denmark</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Spain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Ireland</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The Netherlands</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Poland</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Portugal</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Finland</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Sweden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Faroe Islands</w:t>
            </w:r>
          </w:p>
        </w:tc>
        <w:tc>
          <w:tcPr>
            <w:tcW w:w="2343" w:type="dxa"/>
            <w:gridSpan w:val="2"/>
            <w:noWrap/>
            <w:hideMark/>
          </w:tcPr>
          <w:p>
            <w:pPr>
              <w:spacing w:before="60" w:after="60"/>
              <w:jc w:val="right"/>
              <w:rPr>
                <w:rFonts w:asciiTheme="majorBidi" w:hAnsiTheme="majorBidi" w:cstheme="majorBidi"/>
                <w:noProof/>
                <w:lang w:val="de-DE" w:eastAsia="en-GB"/>
              </w:rPr>
            </w:pPr>
            <w:r>
              <w:rPr>
                <w:noProof/>
              </w:rPr>
              <w:t>pm</w:t>
            </w:r>
          </w:p>
        </w:tc>
        <w:tc>
          <w:tcPr>
            <w:tcW w:w="803" w:type="dxa"/>
            <w:gridSpan w:val="2"/>
            <w:noWrap/>
            <w:hideMark/>
          </w:tcPr>
          <w:p>
            <w:pPr>
              <w:spacing w:before="60" w:after="60"/>
              <w:rPr>
                <w:rFonts w:asciiTheme="majorBidi" w:hAnsiTheme="majorBidi" w:cstheme="majorBidi"/>
                <w:b/>
                <w:bCs/>
                <w:noProof/>
                <w:lang w:val="de-DE" w:eastAsia="en-GB"/>
              </w:rPr>
            </w:pPr>
            <w:r>
              <w:rPr>
                <w:rFonts w:asciiTheme="majorBidi" w:hAnsiTheme="majorBidi" w:cstheme="majorBidi"/>
                <w:b/>
                <w:bCs/>
                <w:noProof/>
                <w:vertAlign w:val="superscript"/>
                <w:lang w:val="de-DE" w:eastAsia="en-GB"/>
              </w:rPr>
              <w:t>(2)(3)</w:t>
            </w:r>
          </w:p>
        </w:tc>
        <w:tc>
          <w:tcPr>
            <w:tcW w:w="919" w:type="dxa"/>
            <w:noWrap/>
            <w:hideMark/>
          </w:tcPr>
          <w:p>
            <w:pPr>
              <w:rPr>
                <w:rFonts w:asciiTheme="majorBidi" w:hAnsiTheme="majorBidi" w:cstheme="majorBidi"/>
                <w:b/>
                <w:bCs/>
                <w:noProof/>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Norway</w:t>
            </w:r>
          </w:p>
        </w:tc>
        <w:tc>
          <w:tcPr>
            <w:tcW w:w="2343" w:type="dxa"/>
            <w:gridSpan w:val="2"/>
            <w:noWrap/>
            <w:hideMark/>
          </w:tcPr>
          <w:p>
            <w:pPr>
              <w:spacing w:before="60" w:after="60"/>
              <w:jc w:val="right"/>
              <w:rPr>
                <w:rFonts w:asciiTheme="majorBidi" w:hAnsiTheme="majorBidi" w:cstheme="majorBidi"/>
                <w:noProof/>
                <w:lang w:val="de-DE" w:eastAsia="en-GB"/>
              </w:rPr>
            </w:pPr>
            <w:r>
              <w:rPr>
                <w:noProof/>
              </w:rPr>
              <w:t>pm</w:t>
            </w:r>
          </w:p>
        </w:tc>
        <w:tc>
          <w:tcPr>
            <w:tcW w:w="803" w:type="dxa"/>
            <w:gridSpan w:val="2"/>
            <w:noWrap/>
            <w:hideMark/>
          </w:tcPr>
          <w:p>
            <w:pPr>
              <w:spacing w:before="60" w:after="60"/>
              <w:rPr>
                <w:rFonts w:asciiTheme="majorBidi" w:hAnsiTheme="majorBidi" w:cstheme="majorBidi"/>
                <w:b/>
                <w:bCs/>
                <w:noProof/>
                <w:lang w:val="de-DE" w:eastAsia="en-GB"/>
              </w:rPr>
            </w:pPr>
            <w:r>
              <w:rPr>
                <w:rFonts w:asciiTheme="majorBidi" w:hAnsiTheme="majorBidi" w:cstheme="majorBidi"/>
                <w:b/>
                <w:bCs/>
                <w:noProof/>
                <w:vertAlign w:val="superscript"/>
                <w:lang w:val="de-DE" w:eastAsia="en-GB"/>
              </w:rPr>
              <w:t>(2)(4)</w:t>
            </w:r>
          </w:p>
        </w:tc>
        <w:tc>
          <w:tcPr>
            <w:tcW w:w="919" w:type="dxa"/>
            <w:noWrap/>
            <w:hideMark/>
          </w:tcPr>
          <w:p>
            <w:pPr>
              <w:rPr>
                <w:rFonts w:asciiTheme="majorBidi" w:hAnsiTheme="majorBidi" w:cstheme="majorBidi"/>
                <w:b/>
                <w:bCs/>
                <w:noProof/>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tcPr>
          <w:p>
            <w:pPr>
              <w:spacing w:before="60" w:after="60"/>
              <w:rPr>
                <w:rFonts w:asciiTheme="majorBidi" w:hAnsiTheme="majorBidi" w:cstheme="majorBidi"/>
                <w:b/>
                <w:bCs/>
                <w:noProof/>
                <w:color w:val="000000"/>
                <w:lang w:val="de-DE" w:eastAsia="en-GB"/>
              </w:rPr>
            </w:pP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noProof/>
              </w:rPr>
              <w:t>pm</w:t>
            </w:r>
          </w:p>
        </w:tc>
        <w:tc>
          <w:tcPr>
            <w:tcW w:w="803" w:type="dxa"/>
            <w:gridSpan w:val="2"/>
            <w:noWrap/>
            <w:hideMark/>
          </w:tcPr>
          <w:p>
            <w:pPr>
              <w:rPr>
                <w:rFonts w:asciiTheme="majorBidi" w:hAnsiTheme="majorBidi" w:cstheme="majorBidi"/>
                <w:noProof/>
                <w:color w:val="000000"/>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lang w:val="de-DE" w:eastAsia="en-GB"/>
              </w:rPr>
            </w:pPr>
          </w:p>
        </w:tc>
        <w:tc>
          <w:tcPr>
            <w:tcW w:w="7767" w:type="dxa"/>
            <w:gridSpan w:val="6"/>
            <w:noWrap/>
            <w:hideMark/>
          </w:tcPr>
          <w:p>
            <w:pPr>
              <w:spacing w:before="60" w:after="60"/>
              <w:rPr>
                <w:rFonts w:asciiTheme="majorBidi" w:hAnsiTheme="majorBidi" w:cstheme="majorBidi"/>
                <w:noProof/>
                <w:color w:val="000000"/>
                <w:lang w:val="de-DE" w:eastAsia="en-GB"/>
              </w:rPr>
            </w:pPr>
          </w:p>
        </w:tc>
      </w:tr>
      <w:tr>
        <w:trPr>
          <w:trHeight w:val="270"/>
        </w:trPr>
        <w:tc>
          <w:tcPr>
            <w:tcW w:w="1980" w:type="dxa"/>
            <w:noWrap/>
            <w:hideMark/>
          </w:tcPr>
          <w:p>
            <w:pPr>
              <w:spacing w:before="60" w:after="60"/>
              <w:jc w:val="right"/>
              <w:rPr>
                <w:rFonts w:asciiTheme="majorBidi" w:hAnsiTheme="majorBidi" w:cstheme="majorBidi"/>
                <w:b/>
                <w:bCs/>
                <w:noProof/>
                <w:lang w:val="de-DE" w:eastAsia="en-GB"/>
              </w:rPr>
            </w:pPr>
            <w:r>
              <w:rPr>
                <w:rFonts w:asciiTheme="majorBidi" w:hAnsiTheme="majorBidi" w:cstheme="majorBidi"/>
                <w:b/>
                <w:bCs/>
                <w:noProof/>
                <w:vertAlign w:val="superscript"/>
                <w:lang w:val="de-DE" w:eastAsia="en-GB"/>
              </w:rPr>
              <w:t>(1)</w:t>
            </w:r>
          </w:p>
        </w:tc>
        <w:tc>
          <w:tcPr>
            <w:tcW w:w="7767" w:type="dxa"/>
            <w:gridSpan w:val="6"/>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May be fished in Union waters north of 62° N.</w:t>
            </w:r>
          </w:p>
        </w:tc>
      </w:tr>
      <w:tr>
        <w:trPr>
          <w:trHeight w:val="270"/>
        </w:trPr>
        <w:tc>
          <w:tcPr>
            <w:tcW w:w="1980" w:type="dxa"/>
            <w:noWrap/>
            <w:hideMark/>
          </w:tcPr>
          <w:p>
            <w:pPr>
              <w:spacing w:before="60" w:after="60"/>
              <w:jc w:val="right"/>
              <w:rPr>
                <w:rFonts w:asciiTheme="majorBidi" w:hAnsiTheme="majorBidi" w:cstheme="majorBidi"/>
                <w:b/>
                <w:bCs/>
                <w:noProof/>
                <w:lang w:val="de-DE" w:eastAsia="en-GB"/>
              </w:rPr>
            </w:pPr>
            <w:r>
              <w:rPr>
                <w:rFonts w:asciiTheme="majorBidi" w:hAnsiTheme="majorBidi" w:cstheme="majorBidi"/>
                <w:b/>
                <w:bCs/>
                <w:noProof/>
                <w:vertAlign w:val="superscript"/>
                <w:lang w:val="de-DE" w:eastAsia="en-GB"/>
              </w:rPr>
              <w:t>(2)</w:t>
            </w:r>
          </w:p>
        </w:tc>
        <w:tc>
          <w:tcPr>
            <w:tcW w:w="7767" w:type="dxa"/>
            <w:gridSpan w:val="6"/>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To be counted against the catch limits of the Faroe Islands.</w:t>
            </w:r>
          </w:p>
        </w:tc>
      </w:tr>
      <w:tr>
        <w:trPr>
          <w:trHeight w:val="270"/>
        </w:trPr>
        <w:tc>
          <w:tcPr>
            <w:tcW w:w="1980" w:type="dxa"/>
            <w:noWrap/>
            <w:hideMark/>
          </w:tcPr>
          <w:p>
            <w:pPr>
              <w:spacing w:before="60" w:after="60"/>
              <w:jc w:val="right"/>
              <w:rPr>
                <w:rFonts w:asciiTheme="majorBidi" w:hAnsiTheme="majorBidi" w:cstheme="majorBidi"/>
                <w:b/>
                <w:bCs/>
                <w:noProof/>
                <w:lang w:val="de-DE" w:eastAsia="en-GB"/>
              </w:rPr>
            </w:pPr>
            <w:r>
              <w:rPr>
                <w:rFonts w:asciiTheme="majorBidi" w:hAnsiTheme="majorBidi" w:cstheme="majorBidi"/>
                <w:b/>
                <w:bCs/>
                <w:noProof/>
                <w:vertAlign w:val="superscript"/>
                <w:lang w:val="de-DE" w:eastAsia="en-GB"/>
              </w:rPr>
              <w:t>(3)</w:t>
            </w:r>
          </w:p>
        </w:tc>
        <w:tc>
          <w:tcPr>
            <w:tcW w:w="7767" w:type="dxa"/>
            <w:gridSpan w:val="6"/>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To be counted against the catch limits of Norway.</w:t>
            </w:r>
          </w:p>
        </w:tc>
      </w:tr>
      <w:tr>
        <w:trPr>
          <w:trHeight w:val="255"/>
        </w:trPr>
        <w:tc>
          <w:tcPr>
            <w:tcW w:w="9747" w:type="dxa"/>
            <w:gridSpan w:val="7"/>
            <w:tcBorders>
              <w:top w:val="single" w:sz="4" w:space="0" w:color="auto"/>
              <w:left w:val="nil"/>
              <w:bottom w:val="nil"/>
              <w:right w:val="nil"/>
            </w:tcBorders>
            <w:noWrap/>
            <w:hideMark/>
          </w:tcPr>
          <w:p>
            <w:pPr>
              <w:pageBreakBefore/>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Special condition: within the limits of the abovementioned quotas, no more than the quantities given below may be taken in the following zones:</w:t>
            </w:r>
          </w:p>
        </w:tc>
      </w:tr>
      <w:tr>
        <w:trPr>
          <w:trHeight w:val="255"/>
        </w:trPr>
        <w:tc>
          <w:tcPr>
            <w:tcW w:w="9747" w:type="dxa"/>
            <w:gridSpan w:val="7"/>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Norwegian waters north of 62° N and the fishery zone around Jan Mayen (HER/*2AJMN)</w:t>
            </w:r>
          </w:p>
        </w:tc>
      </w:tr>
      <w:tr>
        <w:trPr>
          <w:trHeight w:val="25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60" w:after="60"/>
              <w:jc w:val="right"/>
              <w:rPr>
                <w:rFonts w:asciiTheme="majorBidi" w:hAnsiTheme="majorBidi" w:cstheme="majorBidi"/>
                <w:noProof/>
                <w:szCs w:val="24"/>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9747" w:type="dxa"/>
            <w:gridSpan w:val="7"/>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2, 5b north of 62° N (Faroese waters) (HER/*25B-F)</w:t>
            </w:r>
          </w:p>
        </w:tc>
      </w:tr>
      <w:tr>
        <w:trPr>
          <w:trHeight w:val="255"/>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Belgium</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Denmark</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Spain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Ireland</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The Netherlands</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Poland</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Portugal</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Finland</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55"/>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Sweden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szCs w:val="24"/>
                <w:lang w:val="de-DE" w:eastAsia="en-GB"/>
              </w:rPr>
            </w:pPr>
          </w:p>
        </w:tc>
        <w:tc>
          <w:tcPr>
            <w:tcW w:w="2343" w:type="dxa"/>
            <w:gridSpan w:val="2"/>
            <w:tcBorders>
              <w:top w:val="nil"/>
              <w:left w:val="nil"/>
              <w:bottom w:val="single" w:sz="8" w:space="0" w:color="auto"/>
              <w:right w:val="nil"/>
            </w:tcBorders>
            <w:noWrap/>
          </w:tcPr>
          <w:p>
            <w:pPr>
              <w:spacing w:before="60" w:after="60"/>
              <w:jc w:val="right"/>
              <w:rPr>
                <w:rFonts w:asciiTheme="majorBidi" w:hAnsiTheme="majorBidi" w:cstheme="majorBidi"/>
                <w:noProof/>
                <w:lang w:val="de-DE" w:eastAsia="en-GB"/>
              </w:rPr>
            </w:pPr>
          </w:p>
        </w:tc>
        <w:tc>
          <w:tcPr>
            <w:tcW w:w="803" w:type="dxa"/>
            <w:gridSpan w:val="2"/>
            <w:tcBorders>
              <w:top w:val="nil"/>
              <w:left w:val="nil"/>
              <w:bottom w:val="single" w:sz="8" w:space="0" w:color="auto"/>
              <w:right w:val="nil"/>
            </w:tcBorders>
            <w:noWrap/>
            <w:hideMark/>
          </w:tcPr>
          <w:p>
            <w:pPr>
              <w:rPr>
                <w:rFonts w:asciiTheme="majorBidi" w:hAnsiTheme="majorBidi" w:cstheme="majorBidi"/>
                <w:noProof/>
                <w:lang w:val="de-DE" w:eastAsia="en-GB"/>
              </w:rPr>
            </w:pPr>
          </w:p>
        </w:tc>
        <w:tc>
          <w:tcPr>
            <w:tcW w:w="919" w:type="dxa"/>
            <w:tcBorders>
              <w:top w:val="nil"/>
              <w:left w:val="nil"/>
              <w:bottom w:val="single" w:sz="8" w:space="0" w:color="auto"/>
              <w:right w:val="nil"/>
            </w:tcBorders>
            <w:noWrap/>
            <w:hideMark/>
          </w:tcPr>
          <w:p>
            <w:pPr>
              <w:spacing w:before="0" w:after="0"/>
              <w:rPr>
                <w:noProof/>
                <w:sz w:val="20"/>
                <w:szCs w:val="20"/>
                <w:lang w:eastAsia="en-GB"/>
              </w:rPr>
            </w:pPr>
          </w:p>
        </w:tc>
        <w:tc>
          <w:tcPr>
            <w:tcW w:w="3702" w:type="dxa"/>
            <w:tcBorders>
              <w:top w:val="nil"/>
              <w:left w:val="nil"/>
              <w:bottom w:val="single" w:sz="8" w:space="0" w:color="auto"/>
              <w:right w:val="nil"/>
            </w:tcBorders>
            <w:noWrap/>
            <w:hideMark/>
          </w:tcPr>
          <w:p>
            <w:pPr>
              <w:spacing w:before="0" w:after="0"/>
              <w:rPr>
                <w:noProof/>
                <w:sz w:val="20"/>
                <w:szCs w:val="20"/>
                <w:lang w:eastAsia="en-GB"/>
              </w:rPr>
            </w:pPr>
          </w:p>
        </w:tc>
      </w:tr>
      <w:tr>
        <w:trPr>
          <w:trHeight w:val="285"/>
        </w:trPr>
        <w:tc>
          <w:tcPr>
            <w:tcW w:w="1980" w:type="dxa"/>
            <w:tcBorders>
              <w:top w:val="nil"/>
              <w:left w:val="nil"/>
              <w:bottom w:val="single" w:sz="4" w:space="0" w:color="auto"/>
              <w:right w:val="nil"/>
            </w:tcBorders>
            <w:noWrap/>
            <w:hideMark/>
          </w:tcPr>
          <w:p>
            <w:pPr>
              <w:spacing w:before="0" w:after="0"/>
              <w:rPr>
                <w:noProof/>
                <w:sz w:val="20"/>
                <w:szCs w:val="20"/>
                <w:lang w:eastAsia="en-GB"/>
              </w:rPr>
            </w:pPr>
          </w:p>
        </w:tc>
        <w:tc>
          <w:tcPr>
            <w:tcW w:w="234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80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70"/>
        </w:trPr>
        <w:tc>
          <w:tcPr>
            <w:tcW w:w="1980" w:type="dxa"/>
            <w:tcBorders>
              <w:top w:val="single" w:sz="4"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4"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Cod</w:t>
            </w:r>
          </w:p>
        </w:tc>
        <w:tc>
          <w:tcPr>
            <w:tcW w:w="803" w:type="dxa"/>
            <w:gridSpan w:val="2"/>
            <w:tcBorders>
              <w:top w:val="single" w:sz="4"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4"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4"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Norwegian waters of 1 and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Gadus morhua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(COD/1N2AB.)</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restart"/>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Spain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Ireland</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Portugal</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4621" w:type="dxa"/>
            <w:gridSpan w:val="2"/>
            <w:tcBorders>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85"/>
        </w:trPr>
        <w:tc>
          <w:tcPr>
            <w:tcW w:w="1980" w:type="dxa"/>
            <w:noWrap/>
            <w:hideMark/>
          </w:tcPr>
          <w:p>
            <w:pPr>
              <w:spacing w:before="0" w:after="0"/>
              <w:rPr>
                <w:noProof/>
                <w:sz w:val="20"/>
                <w:szCs w:val="2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Cod</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 of NAFO 1F and Greenland waters of 5, 12 and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Gadus morhua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(COD/N1GL14)</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Union</w:t>
            </w:r>
          </w:p>
        </w:tc>
        <w:tc>
          <w:tcPr>
            <w:tcW w:w="2343" w:type="dxa"/>
            <w:gridSpan w:val="2"/>
            <w:noWrap/>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tcPr>
          <w:p>
            <w:pPr>
              <w:spacing w:before="60" w:after="60"/>
              <w:rPr>
                <w:rFonts w:asciiTheme="majorBidi" w:hAnsiTheme="majorBidi" w:cstheme="majorBidi"/>
                <w:noProof/>
                <w:color w:val="000000"/>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tcPr>
          <w:p>
            <w:pPr>
              <w:spacing w:before="60" w:after="60"/>
              <w:rPr>
                <w:rFonts w:asciiTheme="majorBidi" w:hAnsiTheme="majorBidi" w:cstheme="majorBidi"/>
                <w:b/>
                <w:bCs/>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tcPr>
          <w:p>
            <w:pPr>
              <w:spacing w:before="60" w:after="60"/>
              <w:rPr>
                <w:rFonts w:asciiTheme="majorBidi" w:hAnsiTheme="majorBidi" w:cstheme="majorBidi"/>
                <w:noProof/>
                <w:color w:val="000000"/>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tcPr>
          <w:p>
            <w:pPr>
              <w:rPr>
                <w:rFonts w:asciiTheme="majorBidi" w:hAnsiTheme="majorBidi" w:cstheme="majorBidi"/>
                <w:noProof/>
                <w:color w:val="000000"/>
                <w:lang w:val="de-DE" w:eastAsia="en-GB"/>
              </w:rPr>
            </w:pPr>
          </w:p>
        </w:tc>
        <w:tc>
          <w:tcPr>
            <w:tcW w:w="919" w:type="dxa"/>
            <w:noWrap/>
          </w:tcPr>
          <w:p>
            <w:pPr>
              <w:spacing w:before="0" w:after="0"/>
              <w:rPr>
                <w:noProof/>
                <w:sz w:val="20"/>
                <w:szCs w:val="20"/>
                <w:lang w:eastAsia="en-GB"/>
              </w:rPr>
            </w:pPr>
          </w:p>
        </w:tc>
        <w:tc>
          <w:tcPr>
            <w:tcW w:w="3702" w:type="dxa"/>
            <w:noWrap/>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noWrap/>
            <w:hideMark/>
          </w:tcPr>
          <w:p>
            <w:pPr>
              <w:rPr>
                <w:rFonts w:asciiTheme="majorBidi" w:hAnsiTheme="majorBidi" w:cstheme="majorBidi"/>
                <w:noProof/>
                <w:color w:val="000000"/>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szCs w:val="24"/>
                <w:lang w:val="de-DE" w:eastAsia="en-GB"/>
              </w:rPr>
            </w:pPr>
            <w:r>
              <w:rPr>
                <w:rFonts w:asciiTheme="majorBidi" w:hAnsiTheme="majorBidi" w:cstheme="majorBidi"/>
                <w:b/>
                <w:bCs/>
                <w:noProof/>
                <w:vertAlign w:val="superscript"/>
                <w:lang w:val="de-DE" w:eastAsia="en-GB"/>
              </w:rPr>
              <w:t>(1)</w:t>
            </w:r>
          </w:p>
        </w:tc>
        <w:tc>
          <w:tcPr>
            <w:tcW w:w="7767" w:type="dxa"/>
            <w:gridSpan w:val="6"/>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Except for by-catches, the following conditions shall apply to these quotas:</w:t>
            </w:r>
          </w:p>
        </w:tc>
      </w:tr>
      <w:tr>
        <w:trPr>
          <w:trHeight w:val="270"/>
        </w:trPr>
        <w:tc>
          <w:tcPr>
            <w:tcW w:w="1980" w:type="dxa"/>
            <w:noWrap/>
            <w:hideMark/>
          </w:tcPr>
          <w:p>
            <w:pPr>
              <w:rPr>
                <w:rFonts w:asciiTheme="majorBidi" w:hAnsiTheme="majorBidi" w:cstheme="majorBidi"/>
                <w:noProof/>
                <w:lang w:val="de-DE" w:eastAsia="en-GB"/>
              </w:rPr>
            </w:pPr>
          </w:p>
        </w:tc>
        <w:tc>
          <w:tcPr>
            <w:tcW w:w="7767" w:type="dxa"/>
            <w:gridSpan w:val="6"/>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1.</w:t>
            </w:r>
            <w:r>
              <w:rPr>
                <w:rFonts w:asciiTheme="majorBidi" w:hAnsiTheme="majorBidi" w:cstheme="majorBidi"/>
                <w:noProof/>
                <w:lang w:val="de-DE" w:eastAsia="en-GB"/>
              </w:rPr>
              <w:tab/>
              <w:t>They may not be fished between 1 April and 31 May.</w:t>
            </w:r>
          </w:p>
        </w:tc>
      </w:tr>
      <w:tr>
        <w:trPr>
          <w:trHeight w:val="270"/>
        </w:trPr>
        <w:tc>
          <w:tcPr>
            <w:tcW w:w="1980" w:type="dxa"/>
            <w:noWrap/>
            <w:hideMark/>
          </w:tcPr>
          <w:p>
            <w:pPr>
              <w:rPr>
                <w:rFonts w:asciiTheme="majorBidi" w:hAnsiTheme="majorBidi" w:cstheme="majorBidi"/>
                <w:noProof/>
                <w:lang w:val="de-DE" w:eastAsia="en-GB"/>
              </w:rPr>
            </w:pPr>
          </w:p>
        </w:tc>
        <w:tc>
          <w:tcPr>
            <w:tcW w:w="7767" w:type="dxa"/>
            <w:gridSpan w:val="6"/>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2.</w:t>
            </w:r>
            <w:r>
              <w:rPr>
                <w:rFonts w:asciiTheme="majorBidi" w:hAnsiTheme="majorBidi" w:cstheme="majorBidi"/>
                <w:noProof/>
                <w:lang w:val="de-DE" w:eastAsia="en-GB"/>
              </w:rPr>
              <w:tab/>
              <w:t>EU vessels may choose to fish in either or both of the following areas:</w:t>
            </w:r>
          </w:p>
        </w:tc>
      </w:tr>
      <w:tr>
        <w:trPr>
          <w:trHeight w:val="285"/>
        </w:trPr>
        <w:tc>
          <w:tcPr>
            <w:tcW w:w="1980" w:type="dxa"/>
            <w:noWrap/>
            <w:hideMark/>
          </w:tcPr>
          <w:p>
            <w:pPr>
              <w:rPr>
                <w:rFonts w:asciiTheme="majorBidi" w:hAnsiTheme="majorBidi" w:cstheme="majorBidi"/>
                <w:noProof/>
                <w:lang w:val="de-DE" w:eastAsia="en-GB"/>
              </w:rPr>
            </w:pPr>
          </w:p>
        </w:tc>
        <w:tc>
          <w:tcPr>
            <w:tcW w:w="2343" w:type="dxa"/>
            <w:gridSpan w:val="2"/>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Reporting code</w:t>
            </w:r>
          </w:p>
        </w:tc>
        <w:tc>
          <w:tcPr>
            <w:tcW w:w="5424" w:type="dxa"/>
            <w:gridSpan w:val="4"/>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Geographical limits</w:t>
            </w:r>
          </w:p>
        </w:tc>
      </w:tr>
      <w:tr>
        <w:trPr>
          <w:trHeight w:val="270"/>
        </w:trPr>
        <w:tc>
          <w:tcPr>
            <w:tcW w:w="1980" w:type="dxa"/>
            <w:noWrap/>
            <w:hideMark/>
          </w:tcPr>
          <w:p>
            <w:pPr>
              <w:rPr>
                <w:rFonts w:asciiTheme="majorBidi" w:hAnsiTheme="majorBidi" w:cstheme="majorBidi"/>
                <w:noProof/>
                <w:lang w:val="de-DE" w:eastAsia="en-GB"/>
              </w:rPr>
            </w:pPr>
          </w:p>
        </w:tc>
        <w:tc>
          <w:tcPr>
            <w:tcW w:w="2343" w:type="dxa"/>
            <w:gridSpan w:val="2"/>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COD/GRL1</w:t>
            </w:r>
          </w:p>
        </w:tc>
        <w:tc>
          <w:tcPr>
            <w:tcW w:w="5424" w:type="dxa"/>
            <w:gridSpan w:val="4"/>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The part of the Greenlandic fishing zone that lies within NAFO subarea 1F West of 44° 00' W and South of 60° 45' N, the portion of NAFO subarea 1 that lies south of the parallel of 60° 45' north latitude (Cape Desolation) and the part of the Greenlandic fishing zone within ICES division 14b that lies East of 44° 00' W and South of 62° 30' N.</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lang w:val="de-DE" w:eastAsia="en-GB"/>
              </w:rPr>
            </w:pPr>
          </w:p>
        </w:tc>
        <w:tc>
          <w:tcPr>
            <w:tcW w:w="2343" w:type="dxa"/>
            <w:gridSpan w:val="2"/>
            <w:tcBorders>
              <w:top w:val="nil"/>
              <w:left w:val="nil"/>
              <w:bottom w:val="single" w:sz="8" w:space="0" w:color="auto"/>
              <w:right w:val="nil"/>
            </w:tcBorders>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COD/GRL2</w:t>
            </w:r>
          </w:p>
        </w:tc>
        <w:tc>
          <w:tcPr>
            <w:tcW w:w="5424"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The part of the Greenlandic fishing area that lies within ICES division 14b North of 62° 30' N.</w:t>
            </w:r>
          </w:p>
        </w:tc>
      </w:tr>
      <w:tr>
        <w:trPr>
          <w:trHeight w:val="285"/>
        </w:trPr>
        <w:tc>
          <w:tcPr>
            <w:tcW w:w="1980" w:type="dxa"/>
            <w:noWrap/>
            <w:hideMark/>
          </w:tcPr>
          <w:p>
            <w:pPr>
              <w:rPr>
                <w:rFonts w:asciiTheme="majorBidi" w:hAnsiTheme="majorBidi" w:cstheme="majorBidi"/>
                <w:noProof/>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Cod</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1 and 2b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Gadus morhua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(COD/1/2B.)</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(3)</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Spain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(3)</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(3)</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Poland</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(3)</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Portugal</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(3)</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Other Member States</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(3)</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 (3)</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noWrap/>
            <w:hideMark/>
          </w:tcPr>
          <w:p>
            <w:pPr>
              <w:rPr>
                <w:rFonts w:asciiTheme="majorBidi" w:hAnsiTheme="majorBidi" w:cstheme="majorBidi"/>
                <w:noProof/>
                <w:color w:val="000000"/>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Except Germany, Spain, France, Poland and Portugal. Catches to be counted against this shared quota shall be reported separately (COD/1/2B_AMS).</w:t>
            </w:r>
          </w:p>
        </w:tc>
      </w:tr>
      <w:tr>
        <w:trPr>
          <w:trHeight w:val="270"/>
        </w:trPr>
        <w:tc>
          <w:tcPr>
            <w:tcW w:w="1980" w:type="dxa"/>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The allocation of the share of the cod stock available to the Union in the zone Spitzbergen and Bear Island and the associated by-catches of haddock are without prejudice to the rights and obligations deriving from the Treaty of Paris of 1920.</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(3)</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By-catches of haddock may represent up to 14 % per haul. The by-catch quantities of haddock are in addition to the quota for cod.</w:t>
            </w: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Cod and haddock</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Faroese waters of 5b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 xml:space="preserve">Gadus morhua </w:t>
            </w:r>
            <w:r>
              <w:rPr>
                <w:rFonts w:asciiTheme="majorBidi" w:hAnsiTheme="majorBidi" w:cstheme="majorBidi"/>
                <w:iCs/>
                <w:noProof/>
                <w:color w:val="000000"/>
                <w:lang w:val="de-DE" w:eastAsia="en-GB"/>
              </w:rPr>
              <w:t>and</w:t>
            </w:r>
            <w:r>
              <w:rPr>
                <w:rFonts w:asciiTheme="majorBidi" w:hAnsiTheme="majorBidi" w:cstheme="majorBidi"/>
                <w:i/>
                <w:iCs/>
                <w:noProof/>
                <w:color w:val="000000"/>
                <w:lang w:val="de-DE" w:eastAsia="en-GB"/>
              </w:rPr>
              <w:t xml:space="preserve"> Melanogrammus aeglefinus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(C/H/05B-F.)</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3146" w:type="dxa"/>
            <w:gridSpan w:val="4"/>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color w:val="000000"/>
                <w:lang w:val="de-DE"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Grenadiers</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 of 5 and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 xml:space="preserve">Macrourus </w:t>
            </w:r>
            <w:r>
              <w:rPr>
                <w:rFonts w:asciiTheme="majorBidi" w:hAnsiTheme="majorBidi" w:cstheme="majorBidi"/>
                <w:noProof/>
                <w:color w:val="000000"/>
                <w:lang w:val="de-DE" w:eastAsia="en-GB"/>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(GRV/514GRN)</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Special condition: roundnose grenadier (</w:t>
            </w:r>
            <w:r>
              <w:rPr>
                <w:rFonts w:asciiTheme="majorBidi" w:hAnsiTheme="majorBidi" w:cstheme="majorBidi"/>
                <w:i/>
                <w:iCs/>
                <w:noProof/>
                <w:color w:val="000000"/>
                <w:lang w:val="de-DE" w:eastAsia="en-GB"/>
              </w:rPr>
              <w:t>Coryphaenoides rupestris</w:t>
            </w:r>
            <w:r>
              <w:rPr>
                <w:rFonts w:asciiTheme="majorBidi" w:hAnsiTheme="majorBidi" w:cstheme="majorBidi"/>
                <w:noProof/>
                <w:color w:val="000000"/>
                <w:lang w:val="de-DE" w:eastAsia="en-GB"/>
              </w:rPr>
              <w:t>) (RNG/514GRN) and roughhead grenadier (</w:t>
            </w:r>
            <w:r>
              <w:rPr>
                <w:rFonts w:asciiTheme="majorBidi" w:hAnsiTheme="majorBidi" w:cstheme="majorBidi"/>
                <w:i/>
                <w:iCs/>
                <w:noProof/>
                <w:color w:val="000000"/>
                <w:lang w:val="de-DE" w:eastAsia="en-GB"/>
              </w:rPr>
              <w:t>Macrourus berglax</w:t>
            </w:r>
            <w:r>
              <w:rPr>
                <w:rFonts w:asciiTheme="majorBidi" w:hAnsiTheme="majorBidi" w:cstheme="majorBidi"/>
                <w:noProof/>
                <w:color w:val="000000"/>
                <w:lang w:val="de-DE" w:eastAsia="en-GB"/>
              </w:rPr>
              <w:t>) (RHG/514GRN) shall not be targeted. They shall only be taken as by-catch and shall be reported separately.</w:t>
            </w:r>
          </w:p>
        </w:tc>
      </w:tr>
      <w:tr>
        <w:trPr>
          <w:trHeight w:val="270"/>
        </w:trPr>
        <w:tc>
          <w:tcPr>
            <w:tcW w:w="1980" w:type="dxa"/>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The amount below, in tonnes, is allocated to Norway. Special condition for this amount: roundnose grenadier (</w:t>
            </w:r>
            <w:r>
              <w:rPr>
                <w:rFonts w:asciiTheme="majorBidi" w:hAnsiTheme="majorBidi" w:cstheme="majorBidi"/>
                <w:i/>
                <w:iCs/>
                <w:noProof/>
                <w:color w:val="000000"/>
                <w:lang w:val="de-DE" w:eastAsia="en-GB"/>
              </w:rPr>
              <w:t>Coryphaenoides rupestris</w:t>
            </w:r>
            <w:r>
              <w:rPr>
                <w:rFonts w:asciiTheme="majorBidi" w:hAnsiTheme="majorBidi" w:cstheme="majorBidi"/>
                <w:noProof/>
                <w:color w:val="000000"/>
                <w:lang w:val="de-DE" w:eastAsia="en-GB"/>
              </w:rPr>
              <w:t>) (RNG/514GRN) and roughhead grenadier (</w:t>
            </w:r>
            <w:r>
              <w:rPr>
                <w:rFonts w:asciiTheme="majorBidi" w:hAnsiTheme="majorBidi" w:cstheme="majorBidi"/>
                <w:i/>
                <w:iCs/>
                <w:noProof/>
                <w:color w:val="000000"/>
                <w:lang w:val="de-DE" w:eastAsia="en-GB"/>
              </w:rPr>
              <w:t>Macrourus berglax</w:t>
            </w:r>
            <w:r>
              <w:rPr>
                <w:rFonts w:asciiTheme="majorBidi" w:hAnsiTheme="majorBidi" w:cstheme="majorBidi"/>
                <w:noProof/>
                <w:color w:val="000000"/>
                <w:lang w:val="de-DE" w:eastAsia="en-GB"/>
              </w:rPr>
              <w:t>) (RHG/514GRN) shall not be targeted. They shall only be taken as by-catch and shall be reported separately.</w:t>
            </w:r>
          </w:p>
        </w:tc>
      </w:tr>
      <w:tr>
        <w:trPr>
          <w:trHeight w:val="270"/>
        </w:trPr>
        <w:tc>
          <w:tcPr>
            <w:tcW w:w="1980" w:type="dxa"/>
            <w:tcBorders>
              <w:top w:val="nil"/>
              <w:left w:val="nil"/>
              <w:bottom w:val="single" w:sz="4" w:space="0" w:color="auto"/>
              <w:right w:val="nil"/>
            </w:tcBorders>
            <w:noWrap/>
            <w:hideMark/>
          </w:tcPr>
          <w:p>
            <w:pPr>
              <w:rPr>
                <w:rFonts w:asciiTheme="majorBidi" w:hAnsiTheme="majorBidi" w:cstheme="majorBidi"/>
                <w:noProof/>
                <w:color w:val="000000"/>
                <w:lang w:val="de-DE" w:eastAsia="en-GB"/>
              </w:rPr>
            </w:pPr>
          </w:p>
        </w:tc>
        <w:tc>
          <w:tcPr>
            <w:tcW w:w="234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80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25</w:t>
            </w:r>
          </w:p>
        </w:tc>
        <w:tc>
          <w:tcPr>
            <w:tcW w:w="919" w:type="dxa"/>
            <w:tcBorders>
              <w:top w:val="nil"/>
              <w:left w:val="nil"/>
              <w:bottom w:val="single" w:sz="4" w:space="0" w:color="auto"/>
              <w:right w:val="nil"/>
            </w:tcBorders>
            <w:noWrap/>
            <w:hideMark/>
          </w:tcPr>
          <w:p>
            <w:pPr>
              <w:rPr>
                <w:rFonts w:asciiTheme="majorBidi" w:hAnsiTheme="majorBidi" w:cstheme="majorBidi"/>
                <w:noProof/>
                <w:color w:val="000000"/>
                <w:lang w:val="de-DE"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Grenadiers</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 of NAFO 1</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 xml:space="preserve">Macrourus </w:t>
            </w:r>
            <w:r>
              <w:rPr>
                <w:rFonts w:asciiTheme="majorBidi" w:hAnsiTheme="majorBidi" w:cstheme="majorBidi"/>
                <w:noProof/>
                <w:color w:val="000000"/>
                <w:lang w:val="de-DE" w:eastAsia="en-GB"/>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(GRV/N1GRN.)</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Special condition: roundnose grenadier (</w:t>
            </w:r>
            <w:r>
              <w:rPr>
                <w:rFonts w:asciiTheme="majorBidi" w:hAnsiTheme="majorBidi" w:cstheme="majorBidi"/>
                <w:i/>
                <w:iCs/>
                <w:noProof/>
                <w:color w:val="000000"/>
                <w:lang w:val="de-DE" w:eastAsia="en-GB"/>
              </w:rPr>
              <w:t>Coryphaenoides rupestris</w:t>
            </w:r>
            <w:r>
              <w:rPr>
                <w:rFonts w:asciiTheme="majorBidi" w:hAnsiTheme="majorBidi" w:cstheme="majorBidi"/>
                <w:noProof/>
                <w:color w:val="000000"/>
                <w:lang w:val="de-DE" w:eastAsia="en-GB"/>
              </w:rPr>
              <w:t>) (RNG/N1GRN.) and roughhead grenadier (</w:t>
            </w:r>
            <w:r>
              <w:rPr>
                <w:rFonts w:asciiTheme="majorBidi" w:hAnsiTheme="majorBidi" w:cstheme="majorBidi"/>
                <w:i/>
                <w:iCs/>
                <w:noProof/>
                <w:color w:val="000000"/>
                <w:lang w:val="de-DE" w:eastAsia="en-GB"/>
              </w:rPr>
              <w:t>Macrourus berglax</w:t>
            </w:r>
            <w:r>
              <w:rPr>
                <w:rFonts w:asciiTheme="majorBidi" w:hAnsiTheme="majorBidi" w:cstheme="majorBidi"/>
                <w:noProof/>
                <w:color w:val="000000"/>
                <w:lang w:val="de-DE" w:eastAsia="en-GB"/>
              </w:rPr>
              <w:t>) (RHG/N1GRN.) shall not be targeted. They shall only be taken as by-catch and shall be reported separately.</w:t>
            </w:r>
          </w:p>
        </w:tc>
      </w:tr>
      <w:tr>
        <w:trPr>
          <w:trHeight w:val="1234"/>
        </w:trPr>
        <w:tc>
          <w:tcPr>
            <w:tcW w:w="1980" w:type="dxa"/>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The amount below, in tonnes, is allocated to Norway. Special condition for this amount: roundnose grenadier (</w:t>
            </w:r>
            <w:r>
              <w:rPr>
                <w:rFonts w:asciiTheme="majorBidi" w:hAnsiTheme="majorBidi" w:cstheme="majorBidi"/>
                <w:i/>
                <w:iCs/>
                <w:noProof/>
                <w:color w:val="000000"/>
                <w:lang w:val="de-DE" w:eastAsia="en-GB"/>
              </w:rPr>
              <w:t>Coryphaenoides rupestris</w:t>
            </w:r>
            <w:r>
              <w:rPr>
                <w:rFonts w:asciiTheme="majorBidi" w:hAnsiTheme="majorBidi" w:cstheme="majorBidi"/>
                <w:noProof/>
                <w:color w:val="000000"/>
                <w:lang w:val="de-DE" w:eastAsia="en-GB"/>
              </w:rPr>
              <w:t>) (RNG/N1GRN.) and roughhead grenadier (</w:t>
            </w:r>
            <w:r>
              <w:rPr>
                <w:rFonts w:asciiTheme="majorBidi" w:hAnsiTheme="majorBidi" w:cstheme="majorBidi"/>
                <w:i/>
                <w:iCs/>
                <w:noProof/>
                <w:color w:val="000000"/>
                <w:lang w:val="de-DE" w:eastAsia="en-GB"/>
              </w:rPr>
              <w:t>Macrourus berglax</w:t>
            </w:r>
            <w:r>
              <w:rPr>
                <w:rFonts w:asciiTheme="majorBidi" w:hAnsiTheme="majorBidi" w:cstheme="majorBidi"/>
                <w:noProof/>
                <w:color w:val="000000"/>
                <w:lang w:val="de-DE" w:eastAsia="en-GB"/>
              </w:rPr>
              <w:t>) (RHG/N1GRN.) shall not be targeted. They shall only be taken as by-catch and shall be reported separately.</w:t>
            </w:r>
          </w:p>
        </w:tc>
      </w:tr>
      <w:tr>
        <w:trPr>
          <w:trHeight w:val="270"/>
        </w:trPr>
        <w:tc>
          <w:tcPr>
            <w:tcW w:w="1980" w:type="dxa"/>
            <w:tcBorders>
              <w:top w:val="nil"/>
              <w:left w:val="nil"/>
              <w:bottom w:val="single" w:sz="4" w:space="0" w:color="auto"/>
              <w:right w:val="nil"/>
            </w:tcBorders>
            <w:noWrap/>
            <w:hideMark/>
          </w:tcPr>
          <w:p>
            <w:pPr>
              <w:rPr>
                <w:rFonts w:asciiTheme="majorBidi" w:hAnsiTheme="majorBidi" w:cstheme="majorBidi"/>
                <w:noProof/>
                <w:color w:val="000000"/>
                <w:lang w:val="de-DE" w:eastAsia="en-GB"/>
              </w:rPr>
            </w:pPr>
          </w:p>
        </w:tc>
        <w:tc>
          <w:tcPr>
            <w:tcW w:w="2343" w:type="dxa"/>
            <w:gridSpan w:val="2"/>
            <w:tcBorders>
              <w:top w:val="nil"/>
              <w:left w:val="nil"/>
              <w:bottom w:val="single" w:sz="4" w:space="0" w:color="auto"/>
              <w:right w:val="nil"/>
            </w:tcBorders>
            <w:noWrap/>
            <w:hideMark/>
          </w:tcPr>
          <w:p>
            <w:pPr>
              <w:spacing w:before="0" w:after="0"/>
              <w:rPr>
                <w:noProof/>
                <w:sz w:val="20"/>
                <w:szCs w:val="20"/>
                <w:lang w:eastAsia="en-GB"/>
              </w:rPr>
            </w:pPr>
          </w:p>
        </w:tc>
        <w:tc>
          <w:tcPr>
            <w:tcW w:w="80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40</w:t>
            </w:r>
          </w:p>
        </w:tc>
        <w:tc>
          <w:tcPr>
            <w:tcW w:w="919" w:type="dxa"/>
            <w:tcBorders>
              <w:top w:val="nil"/>
              <w:left w:val="nil"/>
              <w:bottom w:val="single" w:sz="4" w:space="0" w:color="auto"/>
              <w:right w:val="nil"/>
            </w:tcBorders>
            <w:noWrap/>
            <w:hideMark/>
          </w:tcPr>
          <w:p>
            <w:pPr>
              <w:rPr>
                <w:rFonts w:asciiTheme="majorBidi" w:hAnsiTheme="majorBidi" w:cstheme="majorBidi"/>
                <w:noProof/>
                <w:color w:val="000000"/>
                <w:lang w:val="de-DE"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Capelin</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Mallotus villosus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(CAP/02B.)</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919" w:type="dxa"/>
            <w:tcBorders>
              <w:top w:val="nil"/>
              <w:left w:val="nil"/>
              <w:bottom w:val="single" w:sz="8" w:space="0" w:color="auto"/>
              <w:right w:val="nil"/>
            </w:tcBorders>
            <w:noWrap/>
            <w:hideMark/>
          </w:tcPr>
          <w:p>
            <w:pPr>
              <w:spacing w:before="0" w:after="0"/>
              <w:rPr>
                <w:noProof/>
                <w:sz w:val="20"/>
                <w:szCs w:val="20"/>
                <w:lang w:eastAsia="en-GB"/>
              </w:rPr>
            </w:pPr>
          </w:p>
        </w:tc>
        <w:tc>
          <w:tcPr>
            <w:tcW w:w="3702" w:type="dxa"/>
            <w:tcBorders>
              <w:top w:val="nil"/>
              <w:left w:val="nil"/>
              <w:bottom w:val="single" w:sz="8" w:space="0" w:color="auto"/>
              <w:right w:val="nil"/>
            </w:tcBorders>
            <w:noWrap/>
            <w:hideMark/>
          </w:tcPr>
          <w:p>
            <w:pPr>
              <w:spacing w:before="0" w:after="0"/>
              <w:rPr>
                <w:noProof/>
                <w:sz w:val="20"/>
                <w:szCs w:val="20"/>
                <w:lang w:eastAsia="en-GB"/>
              </w:rPr>
            </w:pPr>
          </w:p>
        </w:tc>
      </w:tr>
      <w:tr>
        <w:trPr>
          <w:trHeight w:val="285"/>
        </w:trPr>
        <w:tc>
          <w:tcPr>
            <w:tcW w:w="1980" w:type="dxa"/>
            <w:noWrap/>
            <w:hideMark/>
          </w:tcPr>
          <w:p>
            <w:pPr>
              <w:spacing w:before="0" w:after="0"/>
              <w:rPr>
                <w:noProof/>
                <w:sz w:val="20"/>
                <w:szCs w:val="20"/>
                <w:lang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Capelin</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 of 5 and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Mallotus villosus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(CAP/514GRN)</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Denmark</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Sweden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All Member States</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Norway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hideMark/>
          </w:tcPr>
          <w:p>
            <w:pPr>
              <w:rPr>
                <w:rFonts w:asciiTheme="majorBidi" w:hAnsiTheme="majorBidi" w:cstheme="majorBidi"/>
                <w:noProof/>
                <w:color w:val="000000"/>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noWrap/>
            <w:hideMark/>
          </w:tcPr>
          <w:p>
            <w:pPr>
              <w:rPr>
                <w:rFonts w:asciiTheme="majorBidi" w:hAnsiTheme="majorBidi" w:cstheme="majorBidi"/>
                <w:noProof/>
                <w:color w:val="000000"/>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Denmark, Germany and Sweden may access the ‘All Member States’ quota only once they have exhausted their own quota. However, Member States with more than 10 % of the Union quota shall not access the ‘All Member States’ quota at all. Catches to be counted against this shared quota shall be reported separately (CAP/514GRN_AMS).</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For a fishing period from 20 June 2021 to 30 April 2022.</w:t>
            </w: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Haddock</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Norwegian waters of 1 and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Melanogrammus aeglefinus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(HAD/1N2AB.)</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 xml:space="preserve">Union </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Blue whiting</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Faroese waters</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Micromesistius poutassou</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(WHB/2A4AXF)</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Denmark</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restart"/>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The Netherlands</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 xml:space="preserve">Union </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vMerge/>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hideMark/>
          </w:tcPr>
          <w:p>
            <w:pPr>
              <w:spacing w:before="60" w:after="60"/>
              <w:rPr>
                <w:rFonts w:asciiTheme="majorBidi" w:hAnsiTheme="majorBidi" w:cstheme="majorBidi"/>
                <w:b/>
                <w:bCs/>
                <w:noProof/>
                <w:color w:val="000000"/>
                <w:lang w:val="de-DE" w:eastAsia="en-GB"/>
              </w:rPr>
            </w:pPr>
          </w:p>
        </w:tc>
        <w:tc>
          <w:tcPr>
            <w:tcW w:w="4621" w:type="dxa"/>
            <w:gridSpan w:val="2"/>
            <w:vMerge/>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ign w:val="center"/>
            <w:hideMark/>
          </w:tcPr>
          <w:p>
            <w:pPr>
              <w:spacing w:before="0" w:after="0"/>
              <w:rPr>
                <w:rFonts w:asciiTheme="majorBidi" w:hAnsiTheme="majorBidi" w:cstheme="majorBidi"/>
                <w:noProof/>
                <w:color w:val="000000"/>
                <w:szCs w:val="24"/>
                <w:lang w:val="de-DE"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Catches of blue whiting may include unavoidable by-catches of greater silver smelt.</w:t>
            </w: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Ling and blue ling</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Faroese waters of 5b</w:t>
            </w:r>
          </w:p>
        </w:tc>
      </w:tr>
      <w:tr>
        <w:trPr>
          <w:trHeight w:val="270"/>
        </w:trPr>
        <w:tc>
          <w:tcPr>
            <w:tcW w:w="1980" w:type="dxa"/>
            <w:tcBorders>
              <w:top w:val="nil"/>
              <w:left w:val="nil"/>
              <w:bottom w:val="single" w:sz="4"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4" w:space="0" w:color="auto"/>
              <w:right w:val="nil"/>
            </w:tcBorders>
            <w:noWrap/>
            <w:hideMark/>
          </w:tcPr>
          <w:p>
            <w:pPr>
              <w:spacing w:before="60" w:after="60"/>
              <w:rPr>
                <w:rFonts w:asciiTheme="majorBidi" w:hAnsiTheme="majorBidi" w:cstheme="majorBidi"/>
                <w:i/>
                <w:iCs/>
                <w:noProof/>
                <w:color w:val="000000"/>
                <w:szCs w:val="24"/>
                <w:lang w:val="sv-SE" w:eastAsia="en-GB"/>
              </w:rPr>
            </w:pPr>
            <w:r>
              <w:rPr>
                <w:rFonts w:asciiTheme="majorBidi" w:hAnsiTheme="majorBidi" w:cstheme="majorBidi"/>
                <w:i/>
                <w:iCs/>
                <w:noProof/>
                <w:color w:val="000000"/>
                <w:lang w:val="sv-SE" w:eastAsia="en-GB"/>
              </w:rPr>
              <w:t xml:space="preserve">Molva molva </w:t>
            </w:r>
            <w:r>
              <w:rPr>
                <w:rFonts w:asciiTheme="majorBidi" w:hAnsiTheme="majorBidi" w:cstheme="majorBidi"/>
                <w:iCs/>
                <w:noProof/>
                <w:color w:val="000000"/>
                <w:lang w:val="sv-SE" w:eastAsia="en-GB"/>
              </w:rPr>
              <w:t>and</w:t>
            </w:r>
            <w:r>
              <w:rPr>
                <w:rFonts w:asciiTheme="majorBidi" w:hAnsiTheme="majorBidi" w:cstheme="majorBidi"/>
                <w:i/>
                <w:iCs/>
                <w:noProof/>
                <w:color w:val="000000"/>
                <w:lang w:val="sv-SE" w:eastAsia="en-GB"/>
              </w:rPr>
              <w:t xml:space="preserve"> molva dypterygia</w:t>
            </w:r>
          </w:p>
        </w:tc>
        <w:tc>
          <w:tcPr>
            <w:tcW w:w="919" w:type="dxa"/>
            <w:tcBorders>
              <w:top w:val="nil"/>
              <w:left w:val="single" w:sz="8" w:space="0" w:color="auto"/>
              <w:bottom w:val="single" w:sz="4" w:space="0" w:color="auto"/>
              <w:right w:val="nil"/>
            </w:tcBorders>
            <w:noWrap/>
            <w:hideMark/>
          </w:tcPr>
          <w:p>
            <w:pPr>
              <w:rPr>
                <w:rFonts w:asciiTheme="majorBidi" w:hAnsiTheme="majorBidi" w:cstheme="majorBidi"/>
                <w:i/>
                <w:iCs/>
                <w:noProof/>
                <w:color w:val="000000"/>
                <w:lang w:val="sv-SE" w:eastAsia="en-GB"/>
              </w:rPr>
            </w:pPr>
          </w:p>
        </w:tc>
        <w:tc>
          <w:tcPr>
            <w:tcW w:w="3702"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(B/L/05B-F.)</w:t>
            </w:r>
          </w:p>
        </w:tc>
      </w:tr>
      <w:tr>
        <w:trPr>
          <w:trHeight w:val="270"/>
        </w:trPr>
        <w:tc>
          <w:tcPr>
            <w:tcW w:w="1980" w:type="dxa"/>
            <w:tcBorders>
              <w:top w:val="single" w:sz="4"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tcBorders>
              <w:top w:val="single" w:sz="4" w:space="0" w:color="auto"/>
              <w:left w:val="nil"/>
              <w:bottom w:val="nil"/>
              <w:right w:val="nil"/>
            </w:tcBorders>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tcBorders>
              <w:top w:val="single" w:sz="4" w:space="0" w:color="auto"/>
              <w:left w:val="nil"/>
              <w:bottom w:val="nil"/>
              <w:right w:val="nil"/>
            </w:tcBorders>
            <w:noWrap/>
            <w:hideMark/>
          </w:tcPr>
          <w:p>
            <w:pPr>
              <w:rPr>
                <w:rFonts w:asciiTheme="majorBidi" w:hAnsiTheme="majorBidi" w:cstheme="majorBidi"/>
                <w:noProof/>
                <w:color w:val="000000"/>
                <w:lang w:val="de-DE" w:eastAsia="en-GB"/>
              </w:rPr>
            </w:pPr>
          </w:p>
        </w:tc>
        <w:tc>
          <w:tcPr>
            <w:tcW w:w="4621" w:type="dxa"/>
            <w:gridSpan w:val="2"/>
            <w:tcBorders>
              <w:top w:val="single" w:sz="4"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 xml:space="preserve">Union </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tcPr>
          <w:p>
            <w:pPr>
              <w:spacing w:before="60" w:after="60"/>
              <w:rPr>
                <w:rFonts w:asciiTheme="majorBidi" w:hAnsiTheme="majorBidi" w:cstheme="majorBidi"/>
                <w:noProof/>
                <w:color w:val="000000"/>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hideMark/>
          </w:tcPr>
          <w:p>
            <w:pPr>
              <w:spacing w:before="60" w:after="60"/>
              <w:rPr>
                <w:rFonts w:asciiTheme="majorBidi" w:hAnsiTheme="majorBidi" w:cstheme="majorBidi"/>
                <w:b/>
                <w:bCs/>
                <w:noProof/>
                <w:color w:val="000000"/>
                <w:lang w:val="de-DE" w:eastAsia="en-GB"/>
              </w:rPr>
            </w:pP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noWrap/>
            <w:hideMark/>
          </w:tcPr>
          <w:p>
            <w:pPr>
              <w:rPr>
                <w:rFonts w:asciiTheme="majorBidi" w:hAnsiTheme="majorBidi" w:cstheme="majorBidi"/>
                <w:noProof/>
                <w:color w:val="000000"/>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By-catches of roundnose grenadier and black scabbardfish may be counted against this quota, up to the following limit (OTH/*05B-F):</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szCs w:val="24"/>
                <w:lang w:val="de-DE" w:eastAsia="en-GB"/>
              </w:rPr>
            </w:pPr>
            <w:r>
              <w:rPr>
                <w:rFonts w:asciiTheme="majorBidi" w:hAnsiTheme="majorBidi" w:cstheme="majorBidi"/>
                <w:noProof/>
                <w:color w:val="000000"/>
                <w:lang w:val="de-DE" w:eastAsia="en-GB"/>
              </w:rPr>
              <w:t>pm</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Northern prawn</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 of 5 and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Pandalus borealis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(PRA/514GRN)</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Denmark</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restart"/>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Norway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Faroe Islands</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462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Northern prawn</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 of NAFO 1</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Pandalus borealis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(PRA/N1GRN.)</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Denmark</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Saithe</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Norwegian waters of 1 and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Pollachius virens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(POK/1N2AB.)</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val="restart"/>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val="de-DE" w:eastAsia="en-GB"/>
              </w:rPr>
            </w:pPr>
          </w:p>
        </w:tc>
        <w:tc>
          <w:tcPr>
            <w:tcW w:w="4621" w:type="dxa"/>
            <w:gridSpan w:val="2"/>
            <w:vMerge/>
            <w:tcBorders>
              <w:top w:val="nil"/>
              <w:left w:val="nil"/>
              <w:bottom w:val="single" w:sz="4" w:space="0" w:color="auto"/>
              <w:right w:val="nil"/>
            </w:tcBorders>
            <w:vAlign w:val="center"/>
            <w:hideMark/>
          </w:tcPr>
          <w:p>
            <w:pPr>
              <w:spacing w:before="0" w:after="0"/>
              <w:rPr>
                <w:rFonts w:asciiTheme="majorBidi" w:hAnsiTheme="majorBidi" w:cstheme="majorBidi"/>
                <w:noProof/>
                <w:color w:val="000000"/>
                <w:szCs w:val="24"/>
                <w:lang w:val="de-DE"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Saithe</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International waters of 1 and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Pollachius virens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(POK/1/2INT)</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Saithe</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Faroese waters of 5b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Pollachius virens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(POK/05B-F.)</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Belgium</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The Netherlands</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color w:val="000000"/>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hideMark/>
          </w:tcPr>
          <w:p>
            <w:pPr>
              <w:rPr>
                <w:rFonts w:asciiTheme="majorBidi" w:hAnsiTheme="majorBidi" w:cstheme="majorBidi"/>
                <w:noProof/>
                <w:color w:val="000000"/>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color w:val="000000"/>
                <w:lang w:val="de-DE"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halibut</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Norwegian waters of 1 and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(GHL/1N2AB.)</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Union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tcPr>
          <w:p>
            <w:pPr>
              <w:spacing w:before="60" w:after="60"/>
              <w:rPr>
                <w:rFonts w:asciiTheme="majorBidi" w:hAnsiTheme="majorBidi" w:cstheme="majorBidi"/>
                <w:noProof/>
                <w:lang w:val="de-DE" w:eastAsia="en-GB"/>
              </w:rPr>
            </w:pPr>
          </w:p>
        </w:tc>
        <w:tc>
          <w:tcPr>
            <w:tcW w:w="2343" w:type="dxa"/>
            <w:gridSpan w:val="2"/>
            <w:noWrap/>
          </w:tcPr>
          <w:p>
            <w:pPr>
              <w:spacing w:before="60" w:after="60"/>
              <w:jc w:val="right"/>
              <w:rPr>
                <w:rFonts w:asciiTheme="majorBidi" w:hAnsiTheme="majorBidi" w:cstheme="majorBidi"/>
                <w:noProof/>
                <w:lang w:val="de-DE" w:eastAsia="en-GB"/>
              </w:rPr>
            </w:pP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TAC</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Not relevant</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tcBorders>
              <w:top w:val="nil"/>
              <w:left w:val="nil"/>
              <w:bottom w:val="single" w:sz="4"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Exclusively for by-catches. No directed fisheries are permitted under this quota.</w:t>
            </w: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color w:val="000000"/>
                <w:lang w:val="de-DE"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halibut</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International waters of 1 and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(GHL/1/2INT)</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Union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Precautionary TAC</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TAC</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Not relevant</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Exclusively for by-catches. No directed fisheries are permitted under this quota.</w:t>
            </w: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halibut</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 of NAFO 1</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(GHL/N1G-S68)</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Union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Norway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TAC</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Not relevant</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tcBorders>
              <w:top w:val="nil"/>
              <w:left w:val="nil"/>
              <w:bottom w:val="single" w:sz="4" w:space="0" w:color="auto"/>
              <w:right w:val="nil"/>
            </w:tcBorders>
            <w:noWrap/>
            <w:hideMark/>
          </w:tcPr>
          <w:p>
            <w:pPr>
              <w:spacing w:before="60" w:after="60"/>
              <w:rPr>
                <w:rFonts w:asciiTheme="majorBidi" w:hAnsiTheme="majorBidi" w:cstheme="majorBidi"/>
                <w:noProof/>
                <w:lang w:val="de-DE" w:eastAsia="en-GB"/>
              </w:rPr>
            </w:pPr>
            <w:r>
              <w:rPr>
                <w:rFonts w:asciiTheme="majorBidi" w:hAnsiTheme="majorBidi" w:cstheme="majorBidi"/>
                <w:noProof/>
                <w:color w:val="000000"/>
                <w:lang w:val="de-DE" w:eastAsia="en-GB"/>
              </w:rPr>
              <w:t>To be fished south of 68ºN.</w:t>
            </w: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lang w:val="de-DE"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halibut</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 of 5, 12 and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Reinhardtius hippoglossoides</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(GHL/5-14GL)</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tcPr>
          <w:p>
            <w:pPr>
              <w:spacing w:before="60" w:after="60"/>
              <w:rPr>
                <w:rFonts w:asciiTheme="majorBidi" w:hAnsiTheme="majorBidi" w:cstheme="majorBidi"/>
                <w:noProof/>
                <w:color w:val="000000"/>
                <w:lang w:val="de-DE" w:eastAsia="en-GB"/>
              </w:rPr>
            </w:pPr>
            <w:r>
              <w:rPr>
                <w:rFonts w:asciiTheme="majorBidi" w:hAnsiTheme="majorBidi" w:cstheme="majorBidi"/>
                <w:noProof/>
                <w:lang w:val="de-DE" w:eastAsia="en-GB"/>
              </w:rPr>
              <w:t>Union</w:t>
            </w:r>
          </w:p>
        </w:tc>
        <w:tc>
          <w:tcPr>
            <w:tcW w:w="2343" w:type="dxa"/>
            <w:gridSpan w:val="2"/>
            <w:noWrap/>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tcPr>
          <w:p>
            <w:pPr>
              <w:spacing w:before="60" w:after="60"/>
              <w:rPr>
                <w:rFonts w:asciiTheme="majorBidi" w:hAnsiTheme="majorBidi" w:cstheme="majorBidi"/>
                <w:noProof/>
                <w:lang w:val="de-DE" w:eastAsia="en-GB"/>
              </w:rPr>
            </w:pPr>
            <w:r>
              <w:rPr>
                <w:rFonts w:asciiTheme="majorBidi" w:hAnsiTheme="majorBidi" w:cstheme="majorBidi"/>
                <w:noProof/>
                <w:color w:val="000000"/>
                <w:lang w:val="de-DE" w:eastAsia="en-GB"/>
              </w:rPr>
              <w:t>Norway</w:t>
            </w:r>
          </w:p>
        </w:tc>
        <w:tc>
          <w:tcPr>
            <w:tcW w:w="2343" w:type="dxa"/>
            <w:gridSpan w:val="2"/>
            <w:noWrap/>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tcPr>
          <w:p>
            <w:pPr>
              <w:spacing w:before="60" w:after="60"/>
              <w:rPr>
                <w:rFonts w:asciiTheme="majorBidi" w:hAnsiTheme="majorBidi" w:cstheme="majorBidi"/>
                <w:b/>
                <w:bCs/>
                <w:noProof/>
                <w:color w:val="000000"/>
                <w:lang w:val="de-DE" w:eastAsia="en-GB"/>
              </w:rPr>
            </w:pP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Faroe Islands</w:t>
            </w:r>
          </w:p>
        </w:tc>
        <w:tc>
          <w:tcPr>
            <w:tcW w:w="2343" w:type="dxa"/>
            <w:gridSpan w:val="2"/>
            <w:noWrap/>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tcPr>
          <w:p>
            <w:pPr>
              <w:rPr>
                <w:rFonts w:asciiTheme="majorBidi" w:hAnsiTheme="majorBidi" w:cstheme="majorBidi"/>
                <w:noProof/>
                <w:color w:val="000000"/>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TAC</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Not relevant</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To be fished by no more than 6 vessels at the same time.</w:t>
            </w: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Redfish (shallow pelagic)</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Union and international waters of 5; international waters of 12 and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 xml:space="preserve">Sebastes </w:t>
            </w:r>
            <w:r>
              <w:rPr>
                <w:rFonts w:asciiTheme="majorBidi" w:hAnsiTheme="majorBidi" w:cstheme="majorBidi"/>
                <w:noProof/>
                <w:color w:val="000000"/>
                <w:lang w:val="de-DE" w:eastAsia="en-GB"/>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(RED/51214S)</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Estonia</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 xml:space="preserve">Spain </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Ireland</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Latvia</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The Netherlands</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Poland</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Portugal</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lang w:val="de-DE" w:eastAsia="en-GB"/>
              </w:rPr>
            </w:pP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8" w:space="0" w:color="auto"/>
              <w:right w:val="nil"/>
            </w:tcBorders>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Redfish (deep pelagic)</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Union and international waters of 5; international waters of 12 and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 xml:space="preserve">Sebastes </w:t>
            </w:r>
            <w:r>
              <w:rPr>
                <w:rFonts w:asciiTheme="majorBidi" w:hAnsiTheme="majorBidi" w:cstheme="majorBidi"/>
                <w:noProof/>
                <w:color w:val="000000"/>
                <w:lang w:val="de-DE" w:eastAsia="en-GB"/>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(RED/51214D)</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Estonia</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 xml:space="preserve">Spain </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Ireland</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Latvia</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The Netherlands</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Poland</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Portugal</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lang w:val="de-DE" w:eastAsia="en-GB"/>
              </w:rPr>
            </w:pPr>
          </w:p>
        </w:tc>
        <w:tc>
          <w:tcPr>
            <w:tcW w:w="803" w:type="dxa"/>
            <w:gridSpan w:val="2"/>
            <w:noWrap/>
            <w:hideMark/>
          </w:tcPr>
          <w:p>
            <w:pPr>
              <w:spacing w:before="60" w:after="60"/>
              <w:rPr>
                <w:rFonts w:asciiTheme="majorBidi" w:hAnsiTheme="majorBidi" w:cstheme="majorBidi"/>
                <w:b/>
                <w:bCs/>
                <w:noProof/>
                <w:color w:val="000000"/>
                <w:lang w:val="de-DE" w:eastAsia="en-GB"/>
              </w:rPr>
            </w:pP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pageBreakBefore/>
              <w:spacing w:before="60" w:after="60"/>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May only be taken within the area bounded by the lines joining the following coordinates:</w:t>
            </w:r>
          </w:p>
        </w:tc>
      </w:tr>
      <w:tr>
        <w:trPr>
          <w:trHeight w:val="285"/>
        </w:trPr>
        <w:tc>
          <w:tcPr>
            <w:tcW w:w="1980" w:type="dxa"/>
            <w:noWrap/>
            <w:hideMark/>
          </w:tcPr>
          <w:p>
            <w:pPr>
              <w:rPr>
                <w:rFonts w:asciiTheme="majorBidi" w:hAnsiTheme="majorBidi" w:cstheme="majorBidi"/>
                <w:noProof/>
                <w:color w:val="000000"/>
                <w:lang w:val="de-DE"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Point</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Latitude</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Longitude</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1</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64° 45'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28° 30'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2</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62° 50'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25° 45'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3</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61° 55'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26° 45'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4</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61° 00'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26° 30'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5</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59° 00'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30° 00'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6</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59° 00'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34° 00'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7</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61° 30'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34° 00'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8</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62° 50'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36° 00'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9</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64° 45'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28° 30' W</w:t>
            </w:r>
          </w:p>
        </w:tc>
        <w:tc>
          <w:tcPr>
            <w:tcW w:w="3702" w:type="dxa"/>
            <w:noWrap/>
            <w:hideMark/>
          </w:tcPr>
          <w:p>
            <w:pPr>
              <w:rPr>
                <w:rFonts w:asciiTheme="majorBidi" w:hAnsiTheme="majorBidi" w:cstheme="majorBidi"/>
                <w:noProof/>
                <w:color w:val="000000"/>
                <w:lang w:val="de-DE"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(2)</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May only be taken from 10 May to 31 December.</w:t>
            </w: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Redfish</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Norwegian waters of 1 and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Sebastes mentella</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(REB/1N2AB.)</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 xml:space="preserve">Spain </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France</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Portugal</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lang w:val="de-DE" w:eastAsia="en-GB"/>
              </w:rPr>
            </w:pP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Not relevant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lang w:val="de-DE"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Redfish</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International waters of 1 and 2</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 xml:space="preserve">Sebastes </w:t>
            </w:r>
            <w:r>
              <w:rPr>
                <w:rFonts w:asciiTheme="majorBidi" w:hAnsiTheme="majorBidi" w:cstheme="majorBidi"/>
                <w:noProof/>
                <w:color w:val="000000"/>
                <w:lang w:val="de-DE" w:eastAsia="en-GB"/>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(RED/1/2INT)</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Union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to be established</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 (2)</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(3)</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 xml:space="preserve">(1) </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The fishery will be closed when the TAC is fully used by NEAFC Contracting Parties. From the closure date, Member States shall prohibit directed fishery for redfish by vessels flying their flag.</w:t>
            </w:r>
          </w:p>
        </w:tc>
      </w:tr>
      <w:tr>
        <w:trPr>
          <w:trHeight w:val="270"/>
        </w:trPr>
        <w:tc>
          <w:tcPr>
            <w:tcW w:w="1980" w:type="dxa"/>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Vessels shall limit their by-catches of redfish in other fisheries to a maximum of 1 % of the total catch retained on board.</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(3)</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Provisional catch limit to cover catches of all NEAFC contracting parties.</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919"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3702"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Redfish (pelagic)</w:t>
            </w:r>
          </w:p>
        </w:tc>
        <w:tc>
          <w:tcPr>
            <w:tcW w:w="919" w:type="dxa"/>
            <w:tcBorders>
              <w:top w:val="nil"/>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 of NAFO 1F and Greenland waters of 5, 12 and 14</w:t>
            </w:r>
          </w:p>
        </w:tc>
      </w:tr>
      <w:tr>
        <w:trPr>
          <w:trHeight w:val="285"/>
        </w:trPr>
        <w:tc>
          <w:tcPr>
            <w:tcW w:w="1980" w:type="dxa"/>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 </w:t>
            </w: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lang w:val="de-DE" w:eastAsia="en-GB"/>
              </w:rPr>
            </w:pPr>
            <w:r>
              <w:rPr>
                <w:rFonts w:asciiTheme="majorBidi" w:hAnsiTheme="majorBidi" w:cstheme="majorBidi"/>
                <w:i/>
                <w:iCs/>
                <w:noProof/>
                <w:color w:val="000000"/>
                <w:lang w:val="de-DE" w:eastAsia="en-GB"/>
              </w:rPr>
              <w:t xml:space="preserve">Sebastes </w:t>
            </w:r>
            <w:r>
              <w:rPr>
                <w:rFonts w:asciiTheme="majorBidi" w:hAnsiTheme="majorBidi" w:cstheme="majorBidi"/>
                <w:noProof/>
                <w:color w:val="000000"/>
                <w:lang w:val="de-DE" w:eastAsia="en-GB"/>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(RED/N1G14P)</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(1)(2)(3)</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(1)(2)(3)</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Union</w:t>
            </w:r>
          </w:p>
        </w:tc>
        <w:tc>
          <w:tcPr>
            <w:tcW w:w="2343" w:type="dxa"/>
            <w:gridSpan w:val="2"/>
            <w:noWrap/>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(1)(2)(3)</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Norway</w:t>
            </w:r>
          </w:p>
        </w:tc>
        <w:tc>
          <w:tcPr>
            <w:tcW w:w="2343" w:type="dxa"/>
            <w:gridSpan w:val="2"/>
            <w:noWrap/>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(1)(2)</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Faroe Islands</w:t>
            </w:r>
          </w:p>
        </w:tc>
        <w:tc>
          <w:tcPr>
            <w:tcW w:w="2343" w:type="dxa"/>
            <w:gridSpan w:val="2"/>
            <w:noWrap/>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(1)(2)(4)</w:t>
            </w: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szCs w:val="24"/>
                <w:lang w:val="de-DE" w:eastAsia="en-GB"/>
              </w:rPr>
            </w:pPr>
          </w:p>
        </w:tc>
        <w:tc>
          <w:tcPr>
            <w:tcW w:w="2343" w:type="dxa"/>
            <w:gridSpan w:val="2"/>
            <w:noWrap/>
          </w:tcPr>
          <w:p>
            <w:pPr>
              <w:spacing w:before="60" w:after="60"/>
              <w:jc w:val="right"/>
              <w:rPr>
                <w:rFonts w:asciiTheme="majorBidi" w:hAnsiTheme="majorBidi" w:cstheme="majorBidi"/>
                <w:noProof/>
                <w:color w:val="000000"/>
                <w:lang w:val="de-DE" w:eastAsia="en-GB"/>
              </w:rPr>
            </w:pPr>
          </w:p>
        </w:tc>
        <w:tc>
          <w:tcPr>
            <w:tcW w:w="803" w:type="dxa"/>
            <w:gridSpan w:val="2"/>
            <w:noWrap/>
          </w:tcPr>
          <w:p>
            <w:pPr>
              <w:spacing w:before="60" w:after="60"/>
              <w:rPr>
                <w:rFonts w:asciiTheme="majorBidi" w:hAnsiTheme="majorBidi" w:cstheme="majorBidi"/>
                <w:b/>
                <w:bCs/>
                <w:noProof/>
                <w:color w:val="000000"/>
                <w:lang w:val="de-DE" w:eastAsia="en-GB"/>
              </w:rPr>
            </w:pP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3146" w:type="dxa"/>
            <w:gridSpan w:val="4"/>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919" w:type="dxa"/>
            <w:noWrap/>
            <w:hideMark/>
          </w:tcPr>
          <w:p>
            <w:pPr>
              <w:rPr>
                <w:rFonts w:asciiTheme="majorBidi" w:hAnsiTheme="majorBidi" w:cstheme="majorBidi"/>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pageBreakBefore/>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May only be fished from 10 May to 31 December.</w:t>
            </w:r>
          </w:p>
        </w:tc>
      </w:tr>
      <w:tr>
        <w:trPr>
          <w:trHeight w:val="270"/>
        </w:trPr>
        <w:tc>
          <w:tcPr>
            <w:tcW w:w="1980" w:type="dxa"/>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(2)</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May only be fished in Greenland waters within the Redfish Conservation Area bounded by the lines joining the following coordinates:</w:t>
            </w:r>
          </w:p>
        </w:tc>
      </w:tr>
      <w:tr>
        <w:trPr>
          <w:trHeight w:val="285"/>
        </w:trPr>
        <w:tc>
          <w:tcPr>
            <w:tcW w:w="1980" w:type="dxa"/>
            <w:noWrap/>
            <w:hideMark/>
          </w:tcPr>
          <w:p>
            <w:pPr>
              <w:rPr>
                <w:rFonts w:asciiTheme="majorBidi" w:hAnsiTheme="majorBidi" w:cstheme="majorBidi"/>
                <w:noProof/>
                <w:color w:val="000000"/>
                <w:lang w:val="de-DE"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Point</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Latitude</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Longitude</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1</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64° 45'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28° 30'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2</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62° 50'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25° 45'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3</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61° 55'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26° 45'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4</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61° 00'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26° 30'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5</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59° 00'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30° 00'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6</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59° 00'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34° 00'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7</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61° 30'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34° 00'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8</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62° 50'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36° 00'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9</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64° 45' N</w:t>
            </w:r>
          </w:p>
        </w:tc>
        <w:tc>
          <w:tcPr>
            <w:tcW w:w="1355"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28° 30' W</w:t>
            </w:r>
          </w:p>
        </w:tc>
        <w:tc>
          <w:tcPr>
            <w:tcW w:w="3702" w:type="dxa"/>
            <w:noWrap/>
            <w:hideMark/>
          </w:tcPr>
          <w:p>
            <w:pPr>
              <w:rPr>
                <w:rFonts w:asciiTheme="majorBidi" w:hAnsiTheme="majorBidi" w:cstheme="majorBidi"/>
                <w:noProof/>
                <w:color w:val="000000"/>
                <w:lang w:val="de-DE"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(3)</w:t>
            </w:r>
          </w:p>
        </w:tc>
        <w:tc>
          <w:tcPr>
            <w:tcW w:w="7767" w:type="dxa"/>
            <w:gridSpan w:val="6"/>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Special condition: this quota may also be fished in international waters of the Redfish Conservation Area mentioned above (RED/*5-14P).</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(4)</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May only be fished in Greenland Waters of 5 and 14 (RED/*514GN).</w:t>
            </w: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Redfish (demersal)</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 of NAFO 1F and Greenland waters of 5 and 14</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 xml:space="preserve">Sebastes </w:t>
            </w:r>
            <w:r>
              <w:rPr>
                <w:rFonts w:asciiTheme="majorBidi" w:hAnsiTheme="majorBidi" w:cstheme="majorBidi"/>
                <w:noProof/>
                <w:color w:val="000000"/>
                <w:lang w:val="de-DE" w:eastAsia="en-GB"/>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(RED/N1G14D)</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 xml:space="preserve">Union </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tcPr>
          <w:p>
            <w:pPr>
              <w:spacing w:before="60" w:after="60"/>
              <w:rPr>
                <w:rFonts w:asciiTheme="majorBidi" w:hAnsiTheme="majorBidi" w:cstheme="majorBidi"/>
                <w:noProof/>
                <w:color w:val="000000"/>
                <w:lang w:val="de-DE" w:eastAsia="en-GB"/>
              </w:rPr>
            </w:pPr>
          </w:p>
        </w:tc>
        <w:tc>
          <w:tcPr>
            <w:tcW w:w="2343" w:type="dxa"/>
            <w:gridSpan w:val="2"/>
            <w:noWrap/>
          </w:tcPr>
          <w:p>
            <w:pPr>
              <w:spacing w:before="60" w:after="60"/>
              <w:jc w:val="right"/>
              <w:rPr>
                <w:rFonts w:asciiTheme="majorBidi" w:hAnsiTheme="majorBidi" w:cstheme="majorBidi"/>
                <w:noProof/>
                <w:lang w:val="de-DE" w:eastAsia="en-GB"/>
              </w:rPr>
            </w:pPr>
          </w:p>
        </w:tc>
        <w:tc>
          <w:tcPr>
            <w:tcW w:w="803" w:type="dxa"/>
            <w:gridSpan w:val="2"/>
            <w:noWrap/>
            <w:hideMark/>
          </w:tcPr>
          <w:p>
            <w:pPr>
              <w:spacing w:before="60" w:after="60"/>
              <w:rPr>
                <w:rFonts w:asciiTheme="majorBidi" w:hAnsiTheme="majorBidi" w:cstheme="majorBidi"/>
                <w:b/>
                <w:bCs/>
                <w:noProof/>
                <w:color w:val="000000"/>
                <w:lang w:val="de-DE" w:eastAsia="en-GB"/>
              </w:rPr>
            </w:pP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3146" w:type="dxa"/>
            <w:gridSpan w:val="4"/>
            <w:noWrap/>
            <w:hideMark/>
          </w:tcPr>
          <w:p>
            <w:pPr>
              <w:spacing w:before="60" w:after="60"/>
              <w:jc w:val="right"/>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Not relevant</w:t>
            </w:r>
          </w:p>
        </w:tc>
        <w:tc>
          <w:tcPr>
            <w:tcW w:w="919" w:type="dxa"/>
            <w:noWrap/>
            <w:hideMark/>
          </w:tcPr>
          <w:p>
            <w:pPr>
              <w:rPr>
                <w:rFonts w:asciiTheme="majorBidi" w:hAnsiTheme="majorBidi" w:cstheme="majorBidi"/>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May only be fished by trawl, and only North and West of the line defined by the following coordinates:</w:t>
            </w:r>
          </w:p>
        </w:tc>
      </w:tr>
      <w:tr>
        <w:trPr>
          <w:trHeight w:val="285"/>
        </w:trPr>
        <w:tc>
          <w:tcPr>
            <w:tcW w:w="1980" w:type="dxa"/>
            <w:noWrap/>
            <w:hideMark/>
          </w:tcPr>
          <w:p>
            <w:pPr>
              <w:rPr>
                <w:rFonts w:asciiTheme="majorBidi" w:hAnsiTheme="majorBidi" w:cstheme="majorBidi"/>
                <w:noProof/>
                <w:lang w:val="de-DE"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Point</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Latitude</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Longitude</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1</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59° 15'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54° 26' W</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2</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59° 15'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44° 00' W</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3</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59° 30'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42° 45' W</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4</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60° 00'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42° 00' W</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5</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62° 00'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40° 30' W</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6</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62° 00'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40° 00' W</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7</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62° 40'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40° 15' W</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8</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63° 09'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39° 40' W</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9</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63° 30'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37° 15' W</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10</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64° 20'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35° 00' W</w:t>
            </w:r>
          </w:p>
        </w:tc>
        <w:tc>
          <w:tcPr>
            <w:tcW w:w="3702" w:type="dxa"/>
            <w:noWrap/>
            <w:hideMark/>
          </w:tcPr>
          <w:p>
            <w:pPr>
              <w:rPr>
                <w:rFonts w:asciiTheme="majorBidi" w:hAnsiTheme="majorBidi" w:cstheme="majorBidi"/>
                <w:noProof/>
                <w:lang w:val="de-DE" w:eastAsia="en-GB"/>
              </w:rPr>
            </w:pPr>
          </w:p>
        </w:tc>
      </w:tr>
      <w:tr>
        <w:trPr>
          <w:trHeight w:val="270"/>
        </w:trPr>
        <w:tc>
          <w:tcPr>
            <w:tcW w:w="1980" w:type="dxa"/>
            <w:noWrap/>
            <w:hideMark/>
          </w:tcPr>
          <w:p>
            <w:pPr>
              <w:spacing w:before="0" w:after="0"/>
              <w:rPr>
                <w:noProof/>
                <w:sz w:val="20"/>
                <w:szCs w:val="20"/>
                <w:lang w:eastAsia="en-GB"/>
              </w:rPr>
            </w:pPr>
          </w:p>
        </w:tc>
        <w:tc>
          <w:tcPr>
            <w:tcW w:w="1355" w:type="dxa"/>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11</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65° 15' N</w:t>
            </w:r>
          </w:p>
        </w:tc>
        <w:tc>
          <w:tcPr>
            <w:tcW w:w="1355" w:type="dxa"/>
            <w:gridSpan w:val="2"/>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32° 30' W</w:t>
            </w:r>
          </w:p>
        </w:tc>
        <w:tc>
          <w:tcPr>
            <w:tcW w:w="3702" w:type="dxa"/>
            <w:noWrap/>
            <w:hideMark/>
          </w:tcPr>
          <w:p>
            <w:pPr>
              <w:rPr>
                <w:rFonts w:asciiTheme="majorBidi" w:hAnsiTheme="majorBidi" w:cstheme="majorBidi"/>
                <w:noProof/>
                <w:lang w:val="de-DE" w:eastAsia="en-GB"/>
              </w:rPr>
            </w:pPr>
          </w:p>
        </w:tc>
      </w:tr>
      <w:tr>
        <w:trPr>
          <w:trHeight w:val="270"/>
        </w:trPr>
        <w:tc>
          <w:tcPr>
            <w:tcW w:w="1980" w:type="dxa"/>
            <w:tcBorders>
              <w:top w:val="nil"/>
              <w:left w:val="nil"/>
              <w:bottom w:val="single" w:sz="4" w:space="0" w:color="auto"/>
              <w:right w:val="nil"/>
            </w:tcBorders>
            <w:noWrap/>
            <w:hideMark/>
          </w:tcPr>
          <w:p>
            <w:pPr>
              <w:spacing w:before="0" w:after="0"/>
              <w:rPr>
                <w:noProof/>
                <w:sz w:val="20"/>
                <w:szCs w:val="20"/>
                <w:lang w:eastAsia="en-GB"/>
              </w:rPr>
            </w:pPr>
          </w:p>
        </w:tc>
        <w:tc>
          <w:tcPr>
            <w:tcW w:w="1355" w:type="dxa"/>
            <w:tcBorders>
              <w:top w:val="nil"/>
              <w:left w:val="nil"/>
              <w:bottom w:val="single" w:sz="4" w:space="0" w:color="auto"/>
              <w:right w:val="nil"/>
            </w:tcBorders>
            <w:noWrap/>
            <w:hideMark/>
          </w:tcPr>
          <w:p>
            <w:pPr>
              <w:spacing w:before="60" w:after="60"/>
              <w:rPr>
                <w:rFonts w:asciiTheme="majorBidi" w:hAnsiTheme="majorBidi" w:cstheme="majorBidi"/>
                <w:noProof/>
                <w:szCs w:val="24"/>
                <w:lang w:val="de-DE" w:eastAsia="en-GB"/>
              </w:rPr>
            </w:pPr>
            <w:r>
              <w:rPr>
                <w:rFonts w:asciiTheme="majorBidi" w:hAnsiTheme="majorBidi" w:cstheme="majorBidi"/>
                <w:noProof/>
                <w:lang w:val="de-DE" w:eastAsia="en-GB"/>
              </w:rPr>
              <w:t>12</w:t>
            </w:r>
          </w:p>
        </w:tc>
        <w:tc>
          <w:tcPr>
            <w:tcW w:w="1355" w:type="dxa"/>
            <w:gridSpan w:val="2"/>
            <w:tcBorders>
              <w:top w:val="nil"/>
              <w:left w:val="nil"/>
              <w:bottom w:val="single" w:sz="4" w:space="0" w:color="auto"/>
              <w:right w:val="nil"/>
            </w:tcBorders>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65° 15' N</w:t>
            </w:r>
          </w:p>
        </w:tc>
        <w:tc>
          <w:tcPr>
            <w:tcW w:w="1355" w:type="dxa"/>
            <w:gridSpan w:val="2"/>
            <w:tcBorders>
              <w:top w:val="nil"/>
              <w:left w:val="nil"/>
              <w:bottom w:val="single" w:sz="4" w:space="0" w:color="auto"/>
              <w:right w:val="nil"/>
            </w:tcBorders>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29° 50' W</w:t>
            </w:r>
          </w:p>
        </w:tc>
        <w:tc>
          <w:tcPr>
            <w:tcW w:w="3702" w:type="dxa"/>
            <w:tcBorders>
              <w:top w:val="nil"/>
              <w:left w:val="nil"/>
              <w:bottom w:val="single" w:sz="4" w:space="0" w:color="auto"/>
              <w:right w:val="nil"/>
            </w:tcBorders>
            <w:noWrap/>
            <w:hideMark/>
          </w:tcPr>
          <w:p>
            <w:pPr>
              <w:rPr>
                <w:rFonts w:asciiTheme="majorBidi" w:hAnsiTheme="majorBidi" w:cstheme="majorBidi"/>
                <w:noProof/>
                <w:lang w:val="de-DE"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Redfish</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Faroese waters of 5b</w:t>
            </w:r>
          </w:p>
        </w:tc>
      </w:tr>
      <w:tr>
        <w:trPr>
          <w:trHeight w:val="285"/>
        </w:trPr>
        <w:tc>
          <w:tcPr>
            <w:tcW w:w="1980" w:type="dxa"/>
            <w:tcBorders>
              <w:top w:val="nil"/>
              <w:left w:val="nil"/>
              <w:bottom w:val="single" w:sz="8" w:space="0" w:color="auto"/>
              <w:right w:val="nil"/>
            </w:tcBorders>
            <w:noWrap/>
            <w:hideMark/>
          </w:tcPr>
          <w:p>
            <w:pPr>
              <w:rPr>
                <w:rFonts w:asciiTheme="majorBidi" w:hAnsiTheme="majorBidi" w:cstheme="majorBidi"/>
                <w:noProof/>
                <w:color w:val="000000"/>
                <w:lang w:val="de-DE" w:eastAsia="en-GB"/>
              </w:rPr>
            </w:pPr>
          </w:p>
        </w:tc>
        <w:tc>
          <w:tcPr>
            <w:tcW w:w="3146" w:type="dxa"/>
            <w:gridSpan w:val="4"/>
            <w:tcBorders>
              <w:top w:val="nil"/>
              <w:left w:val="nil"/>
              <w:bottom w:val="single" w:sz="8" w:space="0" w:color="auto"/>
              <w:right w:val="nil"/>
            </w:tcBorders>
            <w:noWrap/>
            <w:hideMark/>
          </w:tcPr>
          <w:p>
            <w:pPr>
              <w:spacing w:before="60" w:after="60"/>
              <w:rPr>
                <w:rFonts w:asciiTheme="majorBidi" w:hAnsiTheme="majorBidi" w:cstheme="majorBidi"/>
                <w:i/>
                <w:iCs/>
                <w:noProof/>
                <w:color w:val="000000"/>
                <w:szCs w:val="24"/>
                <w:lang w:val="de-DE" w:eastAsia="en-GB"/>
              </w:rPr>
            </w:pPr>
            <w:r>
              <w:rPr>
                <w:rFonts w:asciiTheme="majorBidi" w:hAnsiTheme="majorBidi" w:cstheme="majorBidi"/>
                <w:i/>
                <w:iCs/>
                <w:noProof/>
                <w:color w:val="000000"/>
                <w:lang w:val="de-DE" w:eastAsia="en-GB"/>
              </w:rPr>
              <w:t xml:space="preserve">Sebastes </w:t>
            </w:r>
            <w:r>
              <w:rPr>
                <w:rFonts w:asciiTheme="majorBidi" w:hAnsiTheme="majorBidi" w:cstheme="majorBidi"/>
                <w:noProof/>
                <w:color w:val="000000"/>
                <w:lang w:val="de-DE" w:eastAsia="en-GB"/>
              </w:rPr>
              <w:t>spp.</w:t>
            </w:r>
          </w:p>
        </w:tc>
        <w:tc>
          <w:tcPr>
            <w:tcW w:w="919" w:type="dxa"/>
            <w:tcBorders>
              <w:top w:val="nil"/>
              <w:left w:val="single" w:sz="8" w:space="0" w:color="auto"/>
              <w:bottom w:val="single" w:sz="8" w:space="0" w:color="auto"/>
              <w:right w:val="nil"/>
            </w:tcBorders>
            <w:noWrap/>
            <w:hideMark/>
          </w:tcPr>
          <w:p>
            <w:pPr>
              <w:rPr>
                <w:rFonts w:asciiTheme="majorBidi" w:hAnsiTheme="majorBidi" w:cstheme="majorBidi"/>
                <w:i/>
                <w:iCs/>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(RED/05B-F.)</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Belgium</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Union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tcPr>
          <w:p>
            <w:pPr>
              <w:spacing w:before="60" w:after="60"/>
              <w:rPr>
                <w:rFonts w:asciiTheme="majorBidi" w:hAnsiTheme="majorBidi" w:cstheme="majorBidi"/>
                <w:noProof/>
                <w:color w:val="000000"/>
                <w:lang w:val="de-DE" w:eastAsia="en-GB"/>
              </w:rPr>
            </w:pPr>
          </w:p>
        </w:tc>
        <w:tc>
          <w:tcPr>
            <w:tcW w:w="2343" w:type="dxa"/>
            <w:gridSpan w:val="2"/>
            <w:noWrap/>
          </w:tcPr>
          <w:p>
            <w:pPr>
              <w:spacing w:before="60" w:after="60"/>
              <w:jc w:val="right"/>
              <w:rPr>
                <w:rFonts w:asciiTheme="majorBidi" w:hAnsiTheme="majorBidi" w:cstheme="majorBidi"/>
                <w:noProof/>
                <w:lang w:val="de-DE" w:eastAsia="en-GB"/>
              </w:rPr>
            </w:pP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Not relevant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lang w:val="de-DE"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szCs w:val="24"/>
                <w:lang w:val="de-DE" w:eastAsia="en-GB"/>
              </w:rPr>
            </w:pPr>
          </w:p>
        </w:tc>
        <w:tc>
          <w:tcPr>
            <w:tcW w:w="2343" w:type="dxa"/>
            <w:gridSpan w:val="2"/>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803" w:type="dxa"/>
            <w:gridSpan w:val="2"/>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919" w:type="dxa"/>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3702" w:type="dxa"/>
            <w:tcBorders>
              <w:top w:val="single" w:sz="4" w:space="0" w:color="auto"/>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Other species</w:t>
            </w:r>
          </w:p>
        </w:tc>
        <w:tc>
          <w:tcPr>
            <w:tcW w:w="919" w:type="dxa"/>
            <w:tcBorders>
              <w:top w:val="nil"/>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Norwegian waters of 1 and 2</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val="de-DE"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(OTH/1N2AB.)</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 xml:space="preserve">Union </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4621" w:type="dxa"/>
            <w:gridSpan w:val="2"/>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tcPr>
          <w:p>
            <w:pPr>
              <w:spacing w:before="60" w:after="60"/>
              <w:rPr>
                <w:rFonts w:asciiTheme="majorBidi" w:hAnsiTheme="majorBidi" w:cstheme="majorBidi"/>
                <w:noProof/>
                <w:color w:val="000000"/>
                <w:lang w:val="de-DE" w:eastAsia="en-GB"/>
              </w:rPr>
            </w:pPr>
          </w:p>
        </w:tc>
        <w:tc>
          <w:tcPr>
            <w:tcW w:w="2343" w:type="dxa"/>
            <w:gridSpan w:val="2"/>
            <w:noWrap/>
          </w:tcPr>
          <w:p>
            <w:pPr>
              <w:spacing w:before="60" w:after="60"/>
              <w:jc w:val="right"/>
              <w:rPr>
                <w:rFonts w:asciiTheme="majorBidi" w:hAnsiTheme="majorBidi" w:cstheme="majorBidi"/>
                <w:noProof/>
                <w:lang w:val="de-DE" w:eastAsia="en-GB"/>
              </w:rPr>
            </w:pPr>
          </w:p>
        </w:tc>
        <w:tc>
          <w:tcPr>
            <w:tcW w:w="803" w:type="dxa"/>
            <w:gridSpan w:val="2"/>
            <w:noWrap/>
          </w:tcPr>
          <w:p>
            <w:pPr>
              <w:spacing w:before="60" w:after="60"/>
              <w:rPr>
                <w:rFonts w:asciiTheme="majorBidi" w:hAnsiTheme="majorBidi" w:cstheme="majorBidi"/>
                <w:b/>
                <w:bCs/>
                <w:noProof/>
                <w:color w:val="000000"/>
                <w:lang w:val="de-DE" w:eastAsia="en-GB"/>
              </w:rPr>
            </w:pPr>
          </w:p>
        </w:tc>
        <w:tc>
          <w:tcPr>
            <w:tcW w:w="919" w:type="dxa"/>
            <w:noWrap/>
            <w:hideMark/>
          </w:tcPr>
          <w:p>
            <w:pPr>
              <w:rPr>
                <w:rFonts w:asciiTheme="majorBidi" w:hAnsiTheme="majorBidi" w:cstheme="majorBidi"/>
                <w:b/>
                <w:bCs/>
                <w:noProof/>
                <w:color w:val="000000"/>
                <w:lang w:val="de-DE"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Not relevant</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Exclusively for by-catches. No directed fisheries are permitted under this quota.</w:t>
            </w:r>
          </w:p>
        </w:tc>
      </w:tr>
      <w:tr>
        <w:trPr>
          <w:trHeight w:val="285"/>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Other species</w:t>
            </w:r>
          </w:p>
        </w:tc>
        <w:tc>
          <w:tcPr>
            <w:tcW w:w="803" w:type="dxa"/>
            <w:gridSpan w:val="2"/>
            <w:tcBorders>
              <w:top w:val="single" w:sz="8" w:space="0" w:color="auto"/>
              <w:left w:val="nil"/>
              <w:bottom w:val="nil"/>
              <w:right w:val="nil"/>
            </w:tcBorders>
            <w:noWrap/>
            <w:hideMark/>
          </w:tcPr>
          <w:p>
            <w:pPr>
              <w:spacing w:before="60" w:after="60"/>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Faroese waters of 5b</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val="de-DE"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(OTH/05B-F.)</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 xml:space="preserve">Union </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tcPr>
          <w:p>
            <w:pPr>
              <w:spacing w:before="60" w:after="60"/>
              <w:rPr>
                <w:rFonts w:asciiTheme="majorBidi" w:hAnsiTheme="majorBidi" w:cstheme="majorBidi"/>
                <w:noProof/>
                <w:color w:val="000000"/>
                <w:lang w:val="de-DE" w:eastAsia="en-GB"/>
              </w:rPr>
            </w:pPr>
          </w:p>
        </w:tc>
        <w:tc>
          <w:tcPr>
            <w:tcW w:w="2343" w:type="dxa"/>
            <w:gridSpan w:val="2"/>
            <w:noWrap/>
          </w:tcPr>
          <w:p>
            <w:pPr>
              <w:spacing w:before="60" w:after="60"/>
              <w:jc w:val="right"/>
              <w:rPr>
                <w:rFonts w:asciiTheme="majorBidi" w:hAnsiTheme="majorBidi" w:cstheme="majorBidi"/>
                <w:noProof/>
                <w:lang w:val="de-DE" w:eastAsia="en-GB"/>
              </w:rPr>
            </w:pP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Not relevant</w:t>
            </w: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jc w:val="right"/>
              <w:rPr>
                <w:rFonts w:asciiTheme="majorBidi" w:hAnsiTheme="majorBidi" w:cstheme="majorBidi"/>
                <w:b/>
                <w:bCs/>
                <w:noProof/>
                <w:color w:val="000000"/>
                <w:szCs w:val="24"/>
                <w:lang w:val="de-DE" w:eastAsia="en-GB"/>
              </w:rPr>
            </w:pPr>
            <w:r>
              <w:rPr>
                <w:rFonts w:asciiTheme="majorBidi" w:hAnsiTheme="majorBidi" w:cstheme="majorBidi"/>
                <w:b/>
                <w:bCs/>
                <w:noProof/>
                <w:color w:val="000000"/>
                <w:vertAlign w:val="superscript"/>
                <w:lang w:val="de-DE" w:eastAsia="en-GB"/>
              </w:rPr>
              <w:t>(1)</w:t>
            </w:r>
          </w:p>
        </w:tc>
        <w:tc>
          <w:tcPr>
            <w:tcW w:w="7767" w:type="dxa"/>
            <w:gridSpan w:val="6"/>
            <w:tcBorders>
              <w:top w:val="nil"/>
              <w:left w:val="nil"/>
              <w:bottom w:val="single" w:sz="4"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Excluding fish species of no commercial value.</w:t>
            </w:r>
          </w:p>
        </w:tc>
      </w:tr>
      <w:tr>
        <w:trPr>
          <w:trHeight w:val="285"/>
        </w:trPr>
        <w:tc>
          <w:tcPr>
            <w:tcW w:w="1980" w:type="dxa"/>
            <w:tcBorders>
              <w:top w:val="single" w:sz="4" w:space="0" w:color="auto"/>
              <w:left w:val="nil"/>
              <w:bottom w:val="nil"/>
              <w:right w:val="nil"/>
            </w:tcBorders>
            <w:noWrap/>
            <w:hideMark/>
          </w:tcPr>
          <w:p>
            <w:pPr>
              <w:rPr>
                <w:rFonts w:asciiTheme="majorBidi" w:hAnsiTheme="majorBidi" w:cstheme="majorBidi"/>
                <w:noProof/>
                <w:color w:val="000000"/>
                <w:lang w:val="de-DE"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2343" w:type="dxa"/>
            <w:gridSpan w:val="2"/>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Flatfish</w:t>
            </w:r>
          </w:p>
        </w:tc>
        <w:tc>
          <w:tcPr>
            <w:tcW w:w="803" w:type="dxa"/>
            <w:gridSpan w:val="2"/>
            <w:tcBorders>
              <w:top w:val="single" w:sz="8" w:space="0" w:color="auto"/>
              <w:left w:val="nil"/>
              <w:bottom w:val="nil"/>
              <w:right w:val="nil"/>
            </w:tcBorders>
            <w:noWrap/>
            <w:hideMark/>
          </w:tcPr>
          <w:p>
            <w:pPr>
              <w:rPr>
                <w:rFonts w:asciiTheme="majorBidi" w:hAnsiTheme="majorBidi" w:cstheme="majorBidi"/>
                <w:noProof/>
                <w:color w:val="000000"/>
                <w:lang w:val="de-DE" w:eastAsia="en-GB"/>
              </w:rPr>
            </w:pP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Faroese waters of 5b</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val="de-DE"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(FLX/05B-F.)</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Germany</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Analytical TAC</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France</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 xml:space="preserve">Union </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4 of Regulation (EC) No 847/96 shall not apply</w:t>
            </w:r>
          </w:p>
        </w:tc>
      </w:tr>
      <w:tr>
        <w:trPr>
          <w:trHeight w:val="270"/>
        </w:trPr>
        <w:tc>
          <w:tcPr>
            <w:tcW w:w="1980" w:type="dxa"/>
            <w:noWrap/>
          </w:tcPr>
          <w:p>
            <w:pPr>
              <w:spacing w:before="60" w:after="60"/>
              <w:rPr>
                <w:rFonts w:asciiTheme="majorBidi" w:hAnsiTheme="majorBidi" w:cstheme="majorBidi"/>
                <w:noProof/>
                <w:color w:val="000000"/>
                <w:lang w:val="de-DE" w:eastAsia="en-GB"/>
              </w:rPr>
            </w:pPr>
          </w:p>
        </w:tc>
        <w:tc>
          <w:tcPr>
            <w:tcW w:w="2343" w:type="dxa"/>
            <w:gridSpan w:val="2"/>
            <w:noWrap/>
          </w:tcPr>
          <w:p>
            <w:pPr>
              <w:spacing w:before="60" w:after="60"/>
              <w:jc w:val="right"/>
              <w:rPr>
                <w:rFonts w:asciiTheme="majorBidi" w:hAnsiTheme="majorBidi" w:cstheme="majorBidi"/>
                <w:noProof/>
                <w:lang w:val="de-DE" w:eastAsia="en-GB"/>
              </w:rPr>
            </w:pPr>
          </w:p>
        </w:tc>
        <w:tc>
          <w:tcPr>
            <w:tcW w:w="803" w:type="dxa"/>
            <w:gridSpan w:val="2"/>
            <w:noWrap/>
            <w:hideMark/>
          </w:tcPr>
          <w:p>
            <w:pPr>
              <w:rPr>
                <w:rFonts w:asciiTheme="majorBidi" w:hAnsiTheme="majorBidi" w:cstheme="majorBidi"/>
                <w:noProof/>
                <w:lang w:val="de-DE" w:eastAsia="en-GB"/>
              </w:rPr>
            </w:pPr>
          </w:p>
        </w:tc>
        <w:tc>
          <w:tcPr>
            <w:tcW w:w="919" w:type="dxa"/>
            <w:noWrap/>
            <w:hideMark/>
          </w:tcPr>
          <w:p>
            <w:pPr>
              <w:spacing w:before="0" w:after="0"/>
              <w:rPr>
                <w:noProof/>
                <w:sz w:val="20"/>
                <w:szCs w:val="20"/>
                <w:lang w:eastAsia="en-GB"/>
              </w:rPr>
            </w:pPr>
          </w:p>
        </w:tc>
        <w:tc>
          <w:tcPr>
            <w:tcW w:w="3702" w:type="dxa"/>
            <w:noWrap/>
            <w:hideMark/>
          </w:tcPr>
          <w:p>
            <w:pPr>
              <w:spacing w:before="0" w:after="0"/>
              <w:rPr>
                <w:noProof/>
                <w:sz w:val="20"/>
                <w:szCs w:val="20"/>
                <w:lang w:eastAsia="en-GB"/>
              </w:rPr>
            </w:pPr>
          </w:p>
        </w:tc>
      </w:tr>
      <w:tr>
        <w:trPr>
          <w:trHeight w:val="270"/>
        </w:trPr>
        <w:tc>
          <w:tcPr>
            <w:tcW w:w="1980" w:type="dxa"/>
            <w:tcBorders>
              <w:top w:val="nil"/>
              <w:left w:val="nil"/>
              <w:bottom w:val="single" w:sz="4" w:space="0" w:color="auto"/>
              <w:right w:val="nil"/>
            </w:tcBorders>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TAC</w:t>
            </w:r>
          </w:p>
        </w:tc>
        <w:tc>
          <w:tcPr>
            <w:tcW w:w="2343" w:type="dxa"/>
            <w:gridSpan w:val="2"/>
            <w:tcBorders>
              <w:top w:val="nil"/>
              <w:left w:val="nil"/>
              <w:bottom w:val="single" w:sz="4" w:space="0" w:color="auto"/>
              <w:right w:val="nil"/>
            </w:tcBorders>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Not relevant</w:t>
            </w:r>
          </w:p>
        </w:tc>
        <w:tc>
          <w:tcPr>
            <w:tcW w:w="803" w:type="dxa"/>
            <w:gridSpan w:val="2"/>
            <w:tcBorders>
              <w:top w:val="nil"/>
              <w:left w:val="nil"/>
              <w:bottom w:val="single" w:sz="4" w:space="0" w:color="auto"/>
              <w:right w:val="nil"/>
            </w:tcBorders>
            <w:noWrap/>
            <w:hideMark/>
          </w:tcPr>
          <w:p>
            <w:pPr>
              <w:rPr>
                <w:rFonts w:asciiTheme="majorBidi" w:hAnsiTheme="majorBidi" w:cstheme="majorBidi"/>
                <w:noProof/>
                <w:lang w:val="de-DE" w:eastAsia="en-GB"/>
              </w:rPr>
            </w:pPr>
          </w:p>
        </w:tc>
        <w:tc>
          <w:tcPr>
            <w:tcW w:w="919" w:type="dxa"/>
            <w:tcBorders>
              <w:top w:val="nil"/>
              <w:left w:val="nil"/>
              <w:bottom w:val="single" w:sz="4" w:space="0" w:color="auto"/>
              <w:right w:val="nil"/>
            </w:tcBorders>
            <w:noWrap/>
            <w:hideMark/>
          </w:tcPr>
          <w:p>
            <w:pPr>
              <w:spacing w:before="0" w:after="0"/>
              <w:rPr>
                <w:noProof/>
                <w:sz w:val="20"/>
                <w:szCs w:val="20"/>
                <w:lang w:eastAsia="en-GB"/>
              </w:rPr>
            </w:pPr>
          </w:p>
        </w:tc>
        <w:tc>
          <w:tcPr>
            <w:tcW w:w="3702" w:type="dxa"/>
            <w:tcBorders>
              <w:top w:val="nil"/>
              <w:left w:val="nil"/>
              <w:bottom w:val="single" w:sz="4" w:space="0" w:color="auto"/>
              <w:right w:val="nil"/>
            </w:tcBorders>
            <w:noWrap/>
            <w:hideMark/>
          </w:tcPr>
          <w:p>
            <w:pPr>
              <w:spacing w:before="0" w:after="0"/>
              <w:rPr>
                <w:noProof/>
                <w:sz w:val="20"/>
                <w:szCs w:val="20"/>
                <w:lang w:eastAsia="en-GB"/>
              </w:rPr>
            </w:pPr>
          </w:p>
        </w:tc>
      </w:tr>
      <w:tr>
        <w:trPr>
          <w:trHeight w:val="285"/>
        </w:trPr>
        <w:tc>
          <w:tcPr>
            <w:tcW w:w="1980" w:type="dxa"/>
            <w:tcBorders>
              <w:top w:val="single" w:sz="4" w:space="0" w:color="auto"/>
              <w:left w:val="nil"/>
              <w:bottom w:val="nil"/>
              <w:right w:val="nil"/>
            </w:tcBorders>
            <w:noWrap/>
            <w:hideMark/>
          </w:tcPr>
          <w:p>
            <w:pPr>
              <w:spacing w:before="0" w:after="0"/>
              <w:rPr>
                <w:noProof/>
                <w:sz w:val="20"/>
                <w:szCs w:val="20"/>
                <w:lang w:eastAsia="en-GB"/>
              </w:rPr>
            </w:pPr>
          </w:p>
        </w:tc>
        <w:tc>
          <w:tcPr>
            <w:tcW w:w="234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803" w:type="dxa"/>
            <w:gridSpan w:val="2"/>
            <w:tcBorders>
              <w:top w:val="single" w:sz="4" w:space="0" w:color="auto"/>
              <w:left w:val="nil"/>
              <w:bottom w:val="nil"/>
              <w:right w:val="nil"/>
            </w:tcBorders>
            <w:noWrap/>
            <w:hideMark/>
          </w:tcPr>
          <w:p>
            <w:pPr>
              <w:spacing w:before="0" w:after="0"/>
              <w:rPr>
                <w:noProof/>
                <w:sz w:val="20"/>
                <w:szCs w:val="20"/>
                <w:lang w:eastAsia="en-GB"/>
              </w:rPr>
            </w:pPr>
          </w:p>
        </w:tc>
        <w:tc>
          <w:tcPr>
            <w:tcW w:w="919" w:type="dxa"/>
            <w:tcBorders>
              <w:top w:val="single" w:sz="4" w:space="0" w:color="auto"/>
              <w:left w:val="nil"/>
              <w:bottom w:val="nil"/>
              <w:right w:val="nil"/>
            </w:tcBorders>
            <w:noWrap/>
            <w:hideMark/>
          </w:tcPr>
          <w:p>
            <w:pPr>
              <w:spacing w:before="0" w:after="0"/>
              <w:rPr>
                <w:noProof/>
                <w:sz w:val="20"/>
                <w:szCs w:val="20"/>
                <w:lang w:eastAsia="en-GB"/>
              </w:rPr>
            </w:pPr>
          </w:p>
        </w:tc>
        <w:tc>
          <w:tcPr>
            <w:tcW w:w="3702" w:type="dxa"/>
            <w:tcBorders>
              <w:top w:val="single" w:sz="4" w:space="0" w:color="auto"/>
              <w:left w:val="nil"/>
              <w:bottom w:val="nil"/>
              <w:right w:val="nil"/>
            </w:tcBorders>
            <w:noWrap/>
            <w:hideMark/>
          </w:tcPr>
          <w:p>
            <w:pPr>
              <w:spacing w:before="0" w:after="0"/>
              <w:rPr>
                <w:noProof/>
                <w:sz w:val="20"/>
                <w:szCs w:val="20"/>
                <w:lang w:eastAsia="en-GB"/>
              </w:rPr>
            </w:pPr>
          </w:p>
        </w:tc>
      </w:tr>
      <w:tr>
        <w:trPr>
          <w:trHeight w:val="270"/>
        </w:trPr>
        <w:tc>
          <w:tcPr>
            <w:tcW w:w="1980" w:type="dxa"/>
            <w:tcBorders>
              <w:top w:val="single" w:sz="8" w:space="0" w:color="auto"/>
              <w:left w:val="nil"/>
              <w:bottom w:val="nil"/>
              <w:right w:val="nil"/>
            </w:tcBorders>
            <w:noWrap/>
            <w:hideMark/>
          </w:tcPr>
          <w:p>
            <w:pPr>
              <w:pageBreakBefore/>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Species:</w:t>
            </w:r>
          </w:p>
        </w:tc>
        <w:tc>
          <w:tcPr>
            <w:tcW w:w="3146" w:type="dxa"/>
            <w:gridSpan w:val="4"/>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By-catches</w:t>
            </w:r>
            <w:r>
              <w:rPr>
                <w:rFonts w:asciiTheme="majorBidi" w:hAnsiTheme="majorBidi" w:cstheme="majorBidi"/>
                <w:b/>
                <w:bCs/>
                <w:noProof/>
                <w:color w:val="000000"/>
                <w:vertAlign w:val="superscript"/>
                <w:lang w:val="de-DE" w:eastAsia="en-GB"/>
              </w:rPr>
              <w:t>(1)</w:t>
            </w:r>
          </w:p>
        </w:tc>
        <w:tc>
          <w:tcPr>
            <w:tcW w:w="919"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Zone:</w:t>
            </w:r>
          </w:p>
        </w:tc>
        <w:tc>
          <w:tcPr>
            <w:tcW w:w="3702" w:type="dxa"/>
            <w:tcBorders>
              <w:top w:val="single" w:sz="8" w:space="0" w:color="auto"/>
              <w:left w:val="nil"/>
              <w:bottom w:val="nil"/>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Greenland waters</w:t>
            </w:r>
          </w:p>
        </w:tc>
      </w:tr>
      <w:tr>
        <w:trPr>
          <w:trHeight w:val="285"/>
        </w:trPr>
        <w:tc>
          <w:tcPr>
            <w:tcW w:w="1980" w:type="dxa"/>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2343" w:type="dxa"/>
            <w:gridSpan w:val="2"/>
            <w:tcBorders>
              <w:top w:val="nil"/>
              <w:left w:val="nil"/>
              <w:bottom w:val="single" w:sz="8" w:space="0" w:color="auto"/>
              <w:right w:val="nil"/>
            </w:tcBorders>
            <w:noWrap/>
          </w:tcPr>
          <w:p>
            <w:pPr>
              <w:spacing w:before="60" w:after="60"/>
              <w:rPr>
                <w:rFonts w:asciiTheme="majorBidi" w:hAnsiTheme="majorBidi" w:cstheme="majorBidi"/>
                <w:i/>
                <w:iCs/>
                <w:noProof/>
                <w:color w:val="000000"/>
                <w:lang w:val="de-DE" w:eastAsia="en-GB"/>
              </w:rPr>
            </w:pPr>
          </w:p>
        </w:tc>
        <w:tc>
          <w:tcPr>
            <w:tcW w:w="803" w:type="dxa"/>
            <w:gridSpan w:val="2"/>
            <w:tcBorders>
              <w:top w:val="nil"/>
              <w:left w:val="nil"/>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919" w:type="dxa"/>
            <w:tcBorders>
              <w:top w:val="nil"/>
              <w:left w:val="single" w:sz="8" w:space="0" w:color="auto"/>
              <w:bottom w:val="single" w:sz="8" w:space="0" w:color="auto"/>
              <w:right w:val="nil"/>
            </w:tcBorders>
            <w:noWrap/>
          </w:tcPr>
          <w:p>
            <w:pPr>
              <w:spacing w:before="60" w:after="60"/>
              <w:rPr>
                <w:rFonts w:asciiTheme="majorBidi" w:hAnsiTheme="majorBidi" w:cstheme="majorBidi"/>
                <w:noProof/>
                <w:color w:val="000000"/>
                <w:lang w:val="de-DE" w:eastAsia="en-GB"/>
              </w:rPr>
            </w:pPr>
          </w:p>
        </w:tc>
        <w:tc>
          <w:tcPr>
            <w:tcW w:w="3702" w:type="dxa"/>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(B-C/GRL)</w:t>
            </w:r>
          </w:p>
        </w:tc>
      </w:tr>
      <w:tr>
        <w:trPr>
          <w:trHeight w:val="270"/>
        </w:trPr>
        <w:tc>
          <w:tcPr>
            <w:tcW w:w="1980" w:type="dxa"/>
            <w:noWrap/>
            <w:hideMark/>
          </w:tcPr>
          <w:p>
            <w:pPr>
              <w:spacing w:before="60" w:after="60"/>
              <w:rPr>
                <w:rFonts w:asciiTheme="majorBidi" w:hAnsiTheme="majorBidi" w:cstheme="majorBidi"/>
                <w:noProof/>
                <w:lang w:val="de-DE" w:eastAsia="en-GB"/>
              </w:rPr>
            </w:pPr>
            <w:r>
              <w:rPr>
                <w:rFonts w:asciiTheme="majorBidi" w:hAnsiTheme="majorBidi" w:cstheme="majorBidi"/>
                <w:noProof/>
                <w:lang w:val="de-DE" w:eastAsia="en-GB"/>
              </w:rPr>
              <w:t>Union</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color w:val="000000"/>
                <w:lang w:val="de-DE" w:eastAsia="en-GB"/>
              </w:rPr>
              <w:t>pm</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Precautionary TAC</w:t>
            </w:r>
          </w:p>
        </w:tc>
      </w:tr>
      <w:tr>
        <w:trPr>
          <w:trHeight w:val="270"/>
        </w:trPr>
        <w:tc>
          <w:tcPr>
            <w:tcW w:w="1980" w:type="dxa"/>
            <w:noWrap/>
            <w:hideMark/>
          </w:tcPr>
          <w:p>
            <w:pPr>
              <w:rPr>
                <w:rFonts w:asciiTheme="majorBidi" w:hAnsiTheme="majorBidi" w:cstheme="majorBidi"/>
                <w:noProof/>
                <w:color w:val="000000"/>
                <w:lang w:val="de-DE" w:eastAsia="en-GB"/>
              </w:rPr>
            </w:pPr>
          </w:p>
        </w:tc>
        <w:tc>
          <w:tcPr>
            <w:tcW w:w="2343" w:type="dxa"/>
            <w:gridSpan w:val="2"/>
            <w:noWrap/>
            <w:hideMark/>
          </w:tcPr>
          <w:p>
            <w:pPr>
              <w:spacing w:before="0" w:after="0"/>
              <w:rPr>
                <w:noProof/>
                <w:sz w:val="20"/>
                <w:szCs w:val="20"/>
                <w:lang w:eastAsia="en-GB"/>
              </w:rPr>
            </w:pPr>
          </w:p>
        </w:tc>
        <w:tc>
          <w:tcPr>
            <w:tcW w:w="803" w:type="dxa"/>
            <w:gridSpan w:val="2"/>
            <w:noWrap/>
            <w:hideMark/>
          </w:tcPr>
          <w:p>
            <w:pPr>
              <w:spacing w:before="0" w:after="0"/>
              <w:rPr>
                <w:noProof/>
                <w:sz w:val="20"/>
                <w:szCs w:val="20"/>
                <w:lang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3 of Regulation (EC) No 847/96 shall not apply</w:t>
            </w:r>
          </w:p>
        </w:tc>
      </w:tr>
      <w:tr>
        <w:trPr>
          <w:trHeight w:val="270"/>
        </w:trPr>
        <w:tc>
          <w:tcPr>
            <w:tcW w:w="1980" w:type="dxa"/>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TAC</w:t>
            </w:r>
          </w:p>
        </w:tc>
        <w:tc>
          <w:tcPr>
            <w:tcW w:w="2343" w:type="dxa"/>
            <w:gridSpan w:val="2"/>
            <w:noWrap/>
            <w:hideMark/>
          </w:tcPr>
          <w:p>
            <w:pPr>
              <w:spacing w:before="60" w:after="60"/>
              <w:jc w:val="right"/>
              <w:rPr>
                <w:rFonts w:asciiTheme="majorBidi" w:hAnsiTheme="majorBidi" w:cstheme="majorBidi"/>
                <w:noProof/>
                <w:lang w:val="de-DE" w:eastAsia="en-GB"/>
              </w:rPr>
            </w:pPr>
            <w:r>
              <w:rPr>
                <w:rFonts w:asciiTheme="majorBidi" w:hAnsiTheme="majorBidi" w:cstheme="majorBidi"/>
                <w:noProof/>
                <w:lang w:val="de-DE" w:eastAsia="en-GB"/>
              </w:rPr>
              <w:t>Not relevant</w:t>
            </w:r>
          </w:p>
        </w:tc>
        <w:tc>
          <w:tcPr>
            <w:tcW w:w="803" w:type="dxa"/>
            <w:gridSpan w:val="2"/>
            <w:noWrap/>
            <w:hideMark/>
          </w:tcPr>
          <w:p>
            <w:pPr>
              <w:rPr>
                <w:rFonts w:asciiTheme="majorBidi" w:hAnsiTheme="majorBidi" w:cstheme="majorBidi"/>
                <w:noProof/>
                <w:lang w:val="de-DE" w:eastAsia="en-GB"/>
              </w:rPr>
            </w:pPr>
          </w:p>
        </w:tc>
        <w:tc>
          <w:tcPr>
            <w:tcW w:w="4621" w:type="dxa"/>
            <w:gridSpan w:val="2"/>
            <w:noWrap/>
            <w:hideMark/>
          </w:tcPr>
          <w:p>
            <w:pPr>
              <w:spacing w:before="60" w:after="60"/>
              <w:rPr>
                <w:rFonts w:asciiTheme="majorBidi" w:hAnsiTheme="majorBidi" w:cstheme="majorBidi"/>
                <w:noProof/>
                <w:color w:val="000000"/>
                <w:szCs w:val="24"/>
                <w:lang w:val="de-DE" w:eastAsia="en-GB"/>
              </w:rPr>
            </w:pPr>
            <w:r>
              <w:rPr>
                <w:rFonts w:asciiTheme="majorBidi" w:hAnsiTheme="majorBidi" w:cstheme="majorBidi"/>
                <w:noProof/>
                <w:color w:val="000000"/>
                <w:lang w:val="de-DE" w:eastAsia="en-GB"/>
              </w:rPr>
              <w:t>Article 4 of Regulation (EC) No 847/96 shall not apply</w:t>
            </w:r>
          </w:p>
        </w:tc>
      </w:tr>
      <w:tr>
        <w:trPr>
          <w:trHeight w:val="285"/>
        </w:trPr>
        <w:tc>
          <w:tcPr>
            <w:tcW w:w="1980"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color w:val="000000"/>
                <w:lang w:val="de-DE" w:eastAsia="en-GB"/>
              </w:rPr>
            </w:pPr>
            <w:r>
              <w:rPr>
                <w:rFonts w:asciiTheme="majorBidi" w:hAnsiTheme="majorBidi" w:cstheme="majorBidi"/>
                <w:b/>
                <w:bCs/>
                <w:noProof/>
                <w:color w:val="000000"/>
                <w:vertAlign w:val="superscript"/>
                <w:lang w:val="de-DE" w:eastAsia="en-GB"/>
              </w:rPr>
              <w:t>(1)</w:t>
            </w:r>
          </w:p>
        </w:tc>
        <w:tc>
          <w:tcPr>
            <w:tcW w:w="7767" w:type="dxa"/>
            <w:gridSpan w:val="6"/>
            <w:tcBorders>
              <w:top w:val="nil"/>
              <w:left w:val="nil"/>
              <w:bottom w:val="single" w:sz="8" w:space="0" w:color="auto"/>
              <w:right w:val="nil"/>
            </w:tcBorders>
            <w:noWrap/>
            <w:hideMark/>
          </w:tcPr>
          <w:p>
            <w:pPr>
              <w:spacing w:before="60" w:after="60"/>
              <w:rPr>
                <w:rFonts w:asciiTheme="majorBidi" w:hAnsiTheme="majorBidi" w:cstheme="majorBidi"/>
                <w:noProof/>
                <w:color w:val="000000"/>
                <w:lang w:val="de-DE" w:eastAsia="en-GB"/>
              </w:rPr>
            </w:pPr>
            <w:r>
              <w:rPr>
                <w:rFonts w:asciiTheme="majorBidi" w:hAnsiTheme="majorBidi" w:cstheme="majorBidi"/>
                <w:noProof/>
                <w:color w:val="000000"/>
                <w:lang w:val="de-DE" w:eastAsia="en-GB"/>
              </w:rPr>
              <w:t>By-catches of grenadiers (</w:t>
            </w:r>
            <w:r>
              <w:rPr>
                <w:rFonts w:asciiTheme="majorBidi" w:hAnsiTheme="majorBidi" w:cstheme="majorBidi"/>
                <w:i/>
                <w:iCs/>
                <w:noProof/>
                <w:color w:val="000000"/>
                <w:lang w:val="de-DE" w:eastAsia="en-GB"/>
              </w:rPr>
              <w:t>Macrourus</w:t>
            </w:r>
            <w:r>
              <w:rPr>
                <w:rFonts w:asciiTheme="majorBidi" w:hAnsiTheme="majorBidi" w:cstheme="majorBidi"/>
                <w:noProof/>
                <w:color w:val="000000"/>
                <w:lang w:val="de-DE" w:eastAsia="en-GB"/>
              </w:rPr>
              <w:t xml:space="preserve"> spp.) shall be reported in line with the following fishing opportunities tables: grenadiers in Greenland waters of 5 and 14 (GRV/514GRN) and grenadiers in Greenland waters of NAFO 1 (GRV/N1GRN.)</w:t>
            </w:r>
          </w:p>
        </w:tc>
      </w:tr>
    </w:tbl>
    <w:p>
      <w:pPr>
        <w:pStyle w:val="Lignefinal"/>
        <w:rPr>
          <w:noProof/>
        </w:rPr>
      </w:pPr>
    </w:p>
    <w:p>
      <w:pPr>
        <w:spacing w:before="0" w:after="0"/>
        <w:rPr>
          <w:noProof/>
        </w:rPr>
        <w:sectPr>
          <w:pgSz w:w="11907" w:h="16840"/>
          <w:pgMar w:top="1134" w:right="1134" w:bottom="1134" w:left="1134" w:header="567" w:footer="567" w:gutter="0"/>
          <w:pgNumType w:start="14"/>
          <w:cols w:space="720"/>
          <w:docGrid w:linePitch="326"/>
        </w:sectPr>
      </w:pPr>
    </w:p>
    <w:p>
      <w:pPr>
        <w:jc w:val="center"/>
        <w:rPr>
          <w:b/>
          <w:noProof/>
        </w:rPr>
      </w:pPr>
      <w:r>
        <w:rPr>
          <w:b/>
          <w:noProof/>
        </w:rPr>
        <w:t>ANNEX IC</w:t>
      </w:r>
    </w:p>
    <w:p>
      <w:pPr>
        <w:pStyle w:val="NormalCentered"/>
        <w:rPr>
          <w:noProof/>
        </w:rPr>
      </w:pPr>
      <w:r>
        <w:rPr>
          <w:noProof/>
        </w:rPr>
        <w:t xml:space="preserve">NORTH WEST ATLANTIC – </w:t>
      </w:r>
      <w:r>
        <w:rPr>
          <w:noProof/>
        </w:rPr>
        <w:br/>
        <w:t>NAFO CONVENTION AREA</w:t>
      </w:r>
    </w:p>
    <w:tbl>
      <w:tblPr>
        <w:tblW w:w="9747" w:type="dxa"/>
        <w:tblInd w:w="108" w:type="dxa"/>
        <w:tblLook w:val="04A0" w:firstRow="1" w:lastRow="0" w:firstColumn="1" w:lastColumn="0" w:noHBand="0" w:noVBand="1"/>
      </w:tblPr>
      <w:tblGrid>
        <w:gridCol w:w="1678"/>
        <w:gridCol w:w="2367"/>
        <w:gridCol w:w="1196"/>
        <w:gridCol w:w="1203"/>
        <w:gridCol w:w="3303"/>
      </w:tblGrid>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Cod</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Gadus morhua</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2J3KL</w:t>
            </w:r>
          </w:p>
          <w:p>
            <w:pPr>
              <w:spacing w:before="60" w:after="60"/>
              <w:rPr>
                <w:rFonts w:asciiTheme="majorBidi" w:hAnsiTheme="majorBidi" w:cstheme="majorBidi"/>
                <w:noProof/>
                <w:lang w:val="en-US"/>
              </w:rPr>
            </w:pPr>
            <w:r>
              <w:rPr>
                <w:rFonts w:asciiTheme="majorBidi" w:hAnsiTheme="majorBidi" w:cstheme="majorBidi"/>
                <w:noProof/>
                <w:lang w:val="en-US"/>
              </w:rPr>
              <w:t>(COD/N2J3KL)</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 directed fisheries are permitted under this quota. This species shall only be taken as by</w:t>
            </w:r>
            <w:r>
              <w:rPr>
                <w:rFonts w:asciiTheme="majorBidi" w:hAnsiTheme="majorBidi" w:cstheme="majorBidi"/>
                <w:noProof/>
                <w:lang w:val="en-US"/>
              </w:rPr>
              <w:noBreakHyphen/>
              <w:t>catch within the following limits: a maximum of 1 250 kg or 5 %, whichever is greater.</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Cod</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Gadus morhua</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3NO</w:t>
            </w:r>
          </w:p>
          <w:p>
            <w:pPr>
              <w:spacing w:before="60" w:after="60"/>
              <w:rPr>
                <w:rFonts w:asciiTheme="majorBidi" w:hAnsiTheme="majorBidi" w:cstheme="majorBidi"/>
                <w:noProof/>
                <w:lang w:val="en-US"/>
              </w:rPr>
            </w:pPr>
            <w:r>
              <w:rPr>
                <w:rFonts w:asciiTheme="majorBidi" w:hAnsiTheme="majorBidi" w:cstheme="majorBidi"/>
                <w:noProof/>
                <w:lang w:val="en-US"/>
              </w:rPr>
              <w:t>(COD/N3NO.)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 directed fisheries are permitted under this quota. This species shall only be taken as by</w:t>
            </w:r>
            <w:r>
              <w:rPr>
                <w:rFonts w:asciiTheme="majorBidi" w:hAnsiTheme="majorBidi" w:cstheme="majorBidi"/>
                <w:noProof/>
                <w:lang w:val="en-US"/>
              </w:rPr>
              <w:noBreakHyphen/>
              <w:t>catch within the limits of a maximum of 1 000 kg or 4 %, whichever is greater.</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Cod</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Gadus morhua</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3M</w:t>
            </w:r>
          </w:p>
          <w:p>
            <w:pPr>
              <w:spacing w:before="60" w:after="60"/>
              <w:rPr>
                <w:rFonts w:asciiTheme="majorBidi" w:hAnsiTheme="majorBidi" w:cstheme="majorBidi"/>
                <w:noProof/>
                <w:lang w:val="en-US"/>
              </w:rPr>
            </w:pPr>
            <w:r>
              <w:rPr>
                <w:rFonts w:asciiTheme="majorBidi" w:hAnsiTheme="majorBidi" w:cstheme="majorBidi"/>
                <w:noProof/>
                <w:lang w:val="en-US"/>
              </w:rPr>
              <w:t>(COD/N3M.)</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Estonia</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17</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Germany</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70</w:t>
            </w:r>
          </w:p>
        </w:tc>
        <w:tc>
          <w:tcPr>
            <w:tcW w:w="1196" w:type="dxa"/>
            <w:noWrap/>
          </w:tcPr>
          <w:p>
            <w:pPr>
              <w:spacing w:before="60" w:after="60"/>
              <w:rPr>
                <w:rFonts w:asciiTheme="majorBidi" w:hAnsiTheme="majorBidi" w:cstheme="majorBidi"/>
                <w:noProof/>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Latvia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17</w:t>
            </w:r>
          </w:p>
        </w:tc>
        <w:tc>
          <w:tcPr>
            <w:tcW w:w="1196" w:type="dxa"/>
            <w:noWrap/>
          </w:tcPr>
          <w:p>
            <w:pPr>
              <w:spacing w:before="60" w:after="60"/>
              <w:rPr>
                <w:rFonts w:asciiTheme="majorBidi" w:hAnsiTheme="majorBidi" w:cstheme="majorBidi"/>
                <w:noProof/>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Lithuania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17</w:t>
            </w:r>
          </w:p>
        </w:tc>
        <w:tc>
          <w:tcPr>
            <w:tcW w:w="1196" w:type="dxa"/>
            <w:noWrap/>
          </w:tcPr>
          <w:p>
            <w:pPr>
              <w:spacing w:before="60" w:after="60"/>
              <w:rPr>
                <w:rFonts w:asciiTheme="majorBidi" w:hAnsiTheme="majorBidi" w:cstheme="majorBidi"/>
                <w:noProof/>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Poland</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57</w:t>
            </w:r>
          </w:p>
        </w:tc>
        <w:tc>
          <w:tcPr>
            <w:tcW w:w="1196" w:type="dxa"/>
            <w:noWrap/>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Spain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215</w:t>
            </w:r>
          </w:p>
        </w:tc>
        <w:tc>
          <w:tcPr>
            <w:tcW w:w="1196" w:type="dxa"/>
            <w:noWrap/>
          </w:tcPr>
          <w:p>
            <w:pPr>
              <w:spacing w:before="60" w:after="60"/>
              <w:rPr>
                <w:rFonts w:asciiTheme="majorBidi" w:hAnsiTheme="majorBidi" w:cstheme="majorBidi"/>
                <w:noProof/>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France</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30</w:t>
            </w:r>
          </w:p>
        </w:tc>
        <w:tc>
          <w:tcPr>
            <w:tcW w:w="1196" w:type="dxa"/>
            <w:noWrap/>
          </w:tcPr>
          <w:p>
            <w:pPr>
              <w:spacing w:before="60" w:after="60"/>
              <w:rPr>
                <w:rFonts w:asciiTheme="majorBidi" w:hAnsiTheme="majorBidi" w:cstheme="majorBidi"/>
                <w:noProof/>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Portugal</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293</w:t>
            </w:r>
          </w:p>
        </w:tc>
        <w:tc>
          <w:tcPr>
            <w:tcW w:w="1196" w:type="dxa"/>
            <w:noWrap/>
          </w:tcPr>
          <w:p>
            <w:pPr>
              <w:spacing w:before="60" w:after="60"/>
              <w:rPr>
                <w:rFonts w:asciiTheme="majorBidi" w:hAnsiTheme="majorBidi" w:cstheme="majorBidi"/>
                <w:noProof/>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716</w:t>
            </w:r>
          </w:p>
        </w:tc>
        <w:tc>
          <w:tcPr>
            <w:tcW w:w="1196" w:type="dxa"/>
            <w:noWrap/>
          </w:tcPr>
          <w:p>
            <w:pPr>
              <w:spacing w:before="60" w:after="60"/>
              <w:rPr>
                <w:rFonts w:asciiTheme="majorBidi" w:hAnsiTheme="majorBidi" w:cstheme="majorBidi"/>
                <w:noProof/>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tcBorders>
              <w:top w:val="nil"/>
              <w:left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1 500</w:t>
            </w:r>
          </w:p>
        </w:tc>
        <w:tc>
          <w:tcPr>
            <w:tcW w:w="1196" w:type="dxa"/>
            <w:tcBorders>
              <w:top w:val="nil"/>
              <w:left w:val="nil"/>
              <w:right w:val="nil"/>
            </w:tcBorders>
            <w:noWrap/>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p>
            <w:pPr>
              <w:spacing w:before="60" w:after="60"/>
              <w:rPr>
                <w:rFonts w:asciiTheme="majorBidi" w:hAnsiTheme="majorBidi" w:cstheme="majorBidi"/>
                <w:noProof/>
                <w:lang w:val="en-US"/>
              </w:rPr>
            </w:pPr>
          </w:p>
        </w:tc>
        <w:tc>
          <w:tcPr>
            <w:tcW w:w="0" w:type="auto"/>
            <w:gridSpan w:val="2"/>
            <w:tcBorders>
              <w:left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left w:val="nil"/>
              <w:right w:val="nil"/>
            </w:tcBorders>
            <w:noWrap/>
          </w:tcPr>
          <w:p>
            <w:pPr>
              <w:spacing w:before="60" w:after="60"/>
              <w:jc w:val="right"/>
              <w:rPr>
                <w:rFonts w:asciiTheme="majorBidi" w:hAnsiTheme="majorBidi" w:cstheme="majorBidi"/>
                <w:noProof/>
                <w:lang w:val="en-US"/>
              </w:rPr>
            </w:pPr>
            <w:r>
              <w:rPr>
                <w:rFonts w:asciiTheme="majorBidi" w:hAnsiTheme="majorBidi" w:cstheme="majorBidi"/>
                <w:b/>
                <w:bCs/>
                <w:noProof/>
                <w:vertAlign w:val="superscript"/>
                <w:lang w:val="en-US"/>
              </w:rPr>
              <w:t>(1)</w:t>
            </w:r>
          </w:p>
        </w:tc>
        <w:tc>
          <w:tcPr>
            <w:tcW w:w="8069" w:type="dxa"/>
            <w:gridSpan w:val="4"/>
            <w:tcBorders>
              <w:top w:val="nil"/>
              <w:left w:val="nil"/>
              <w:bottom w:val="single" w:sz="4" w:space="0" w:color="auto"/>
              <w:right w:val="nil"/>
            </w:tcBorders>
            <w:noWrap/>
          </w:tcPr>
          <w:p>
            <w:pPr>
              <w:spacing w:before="60" w:after="60"/>
              <w:rPr>
                <w:rFonts w:asciiTheme="majorBidi" w:hAnsiTheme="majorBidi" w:cstheme="majorBidi"/>
                <w:noProof/>
                <w:szCs w:val="24"/>
                <w:lang w:val="en-US"/>
              </w:rPr>
            </w:pPr>
            <w:r>
              <w:rPr>
                <w:rFonts w:asciiTheme="majorBidi" w:hAnsiTheme="majorBidi" w:cstheme="majorBidi"/>
                <w:noProof/>
                <w:lang w:val="en-US"/>
              </w:rPr>
              <w:t>No directed fisheries are permitted under this quota between 24:00 UTC 31 December 2020 and 24:00 UTC 31 March 2021.</w:t>
            </w:r>
          </w:p>
        </w:tc>
      </w:tr>
      <w:tr>
        <w:trPr>
          <w:trHeight w:val="227"/>
        </w:trPr>
        <w:tc>
          <w:tcPr>
            <w:tcW w:w="9747" w:type="dxa"/>
            <w:gridSpan w:val="5"/>
            <w:tcBorders>
              <w:top w:val="single" w:sz="4" w:space="0" w:color="auto"/>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Witch flounder</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Glyptocephalus cynoglossus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3L</w:t>
            </w:r>
          </w:p>
          <w:p>
            <w:pPr>
              <w:spacing w:before="60" w:after="60"/>
              <w:rPr>
                <w:rFonts w:asciiTheme="majorBidi" w:hAnsiTheme="majorBidi" w:cstheme="majorBidi"/>
                <w:noProof/>
                <w:lang w:val="en-US"/>
              </w:rPr>
            </w:pPr>
            <w:r>
              <w:rPr>
                <w:rFonts w:asciiTheme="majorBidi" w:hAnsiTheme="majorBidi" w:cstheme="majorBidi"/>
                <w:noProof/>
                <w:lang w:val="en-US"/>
              </w:rPr>
              <w:t>(WIT/N3L.)</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 directed fisheries are permitted under this quota. This species shall only be taken as by</w:t>
            </w:r>
            <w:r>
              <w:rPr>
                <w:rFonts w:asciiTheme="majorBidi" w:hAnsiTheme="majorBidi" w:cstheme="majorBidi"/>
                <w:noProof/>
                <w:lang w:val="en-US"/>
              </w:rPr>
              <w:noBreakHyphen/>
              <w:t>catch within the following limits: a maximum of 1 250 kg or 5 %, whichever is greater.</w:t>
            </w:r>
          </w:p>
        </w:tc>
      </w:tr>
      <w:tr>
        <w:trPr>
          <w:trHeight w:val="227"/>
        </w:trPr>
        <w:tc>
          <w:tcPr>
            <w:tcW w:w="9747" w:type="dxa"/>
            <w:gridSpan w:val="5"/>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nil"/>
              <w:right w:val="nil"/>
            </w:tcBorders>
            <w:noWrap/>
            <w:hideMark/>
          </w:tcPr>
          <w:p>
            <w:pPr>
              <w:pageBreakBefore/>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Witch flounder</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Glyptocephalus cynoglossus</w:t>
            </w:r>
          </w:p>
        </w:tc>
        <w:tc>
          <w:tcPr>
            <w:tcW w:w="1203" w:type="dxa"/>
            <w:tcBorders>
              <w:top w:val="single" w:sz="8" w:space="0" w:color="auto"/>
              <w:left w:val="single" w:sz="8" w:space="0" w:color="auto"/>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3NO</w:t>
            </w:r>
          </w:p>
          <w:p>
            <w:pPr>
              <w:spacing w:before="60" w:after="60"/>
              <w:rPr>
                <w:rFonts w:asciiTheme="majorBidi" w:hAnsiTheme="majorBidi" w:cstheme="majorBidi"/>
                <w:noProof/>
                <w:lang w:val="en-US"/>
              </w:rPr>
            </w:pPr>
            <w:r>
              <w:rPr>
                <w:rFonts w:asciiTheme="majorBidi" w:hAnsiTheme="majorBidi" w:cstheme="majorBidi"/>
                <w:noProof/>
                <w:lang w:val="en-US"/>
              </w:rPr>
              <w:t>(WIT/N3NO.)</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Estonia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52</w:t>
            </w:r>
          </w:p>
        </w:tc>
        <w:tc>
          <w:tcPr>
            <w:tcW w:w="1196" w:type="dxa"/>
            <w:noWrap/>
          </w:tcPr>
          <w:p>
            <w:pPr>
              <w:spacing w:before="60" w:after="60"/>
              <w:rPr>
                <w:rFonts w:asciiTheme="majorBidi" w:hAnsiTheme="majorBidi" w:cstheme="majorBidi"/>
                <w:noProof/>
                <w:lang w:val="en-US"/>
              </w:rPr>
            </w:pPr>
          </w:p>
        </w:tc>
        <w:tc>
          <w:tcPr>
            <w:tcW w:w="4506" w:type="dxa"/>
            <w:gridSpan w:val="2"/>
            <w:vMerge w:val="restart"/>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Latvia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52</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Lithuania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52</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156</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tcBorders>
              <w:top w:val="nil"/>
              <w:left w:val="nil"/>
              <w:bottom w:val="single" w:sz="8" w:space="0" w:color="auto"/>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1 175</w:t>
            </w:r>
          </w:p>
        </w:tc>
        <w:tc>
          <w:tcPr>
            <w:tcW w:w="1196" w:type="dxa"/>
            <w:tcBorders>
              <w:top w:val="nil"/>
              <w:left w:val="nil"/>
              <w:bottom w:val="single" w:sz="8" w:space="0" w:color="auto"/>
              <w:right w:val="nil"/>
            </w:tcBorders>
            <w:noWrap/>
          </w:tcPr>
          <w:p>
            <w:pPr>
              <w:spacing w:before="60" w:after="60"/>
              <w:rPr>
                <w:rFonts w:asciiTheme="majorBidi" w:hAnsiTheme="majorBidi" w:cstheme="majorBidi"/>
                <w:noProof/>
                <w:lang w:val="en-US"/>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American plaice</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Hippoglossoides platessoides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3M</w:t>
            </w:r>
          </w:p>
          <w:p>
            <w:pPr>
              <w:spacing w:before="60" w:after="60"/>
              <w:rPr>
                <w:rFonts w:asciiTheme="majorBidi" w:hAnsiTheme="majorBidi" w:cstheme="majorBidi"/>
                <w:noProof/>
                <w:lang w:val="en-US"/>
              </w:rPr>
            </w:pPr>
            <w:r>
              <w:rPr>
                <w:rFonts w:asciiTheme="majorBidi" w:hAnsiTheme="majorBidi" w:cstheme="majorBidi"/>
                <w:noProof/>
                <w:lang w:val="en-US"/>
              </w:rPr>
              <w:t>(PLA/N3M.)</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 directed fisheries are permitted under this quota. This species shall only be taken as by</w:t>
            </w:r>
            <w:r>
              <w:rPr>
                <w:rFonts w:asciiTheme="majorBidi" w:hAnsiTheme="majorBidi" w:cstheme="majorBidi"/>
                <w:noProof/>
                <w:lang w:val="en-US"/>
              </w:rPr>
              <w:noBreakHyphen/>
              <w:t>catch within the following limits: a maximum of 1 250 kg or 5 %, whichever is greater.</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American plaice</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Hippoglossoides platessoides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3LNO</w:t>
            </w:r>
          </w:p>
          <w:p>
            <w:pPr>
              <w:spacing w:before="60" w:after="60"/>
              <w:rPr>
                <w:rFonts w:asciiTheme="majorBidi" w:hAnsiTheme="majorBidi" w:cstheme="majorBidi"/>
                <w:noProof/>
                <w:lang w:val="en-US"/>
              </w:rPr>
            </w:pPr>
            <w:r>
              <w:rPr>
                <w:rFonts w:asciiTheme="majorBidi" w:hAnsiTheme="majorBidi" w:cstheme="majorBidi"/>
                <w:noProof/>
                <w:lang w:val="en-US"/>
              </w:rPr>
              <w:t>(PLA/N3LNO.)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 directed fisheries are permitted under this quota. This species shall only be taken as by</w:t>
            </w:r>
            <w:r>
              <w:rPr>
                <w:rFonts w:asciiTheme="majorBidi" w:hAnsiTheme="majorBidi" w:cstheme="majorBidi"/>
                <w:noProof/>
                <w:lang w:val="en-US"/>
              </w:rPr>
              <w:noBreakHyphen/>
              <w:t>catch within the following limits: a maximum of 1 250 kg or 5 %, whichever is greater.</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Shortfin squid</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Illex illecebrosus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Subareas 3 and 4</w:t>
            </w:r>
          </w:p>
          <w:p>
            <w:pPr>
              <w:spacing w:before="60" w:after="60"/>
              <w:rPr>
                <w:rFonts w:asciiTheme="majorBidi" w:hAnsiTheme="majorBidi" w:cstheme="majorBidi"/>
                <w:noProof/>
                <w:lang w:val="en-US"/>
              </w:rPr>
            </w:pPr>
            <w:r>
              <w:rPr>
                <w:rFonts w:asciiTheme="majorBidi" w:hAnsiTheme="majorBidi" w:cstheme="majorBidi"/>
                <w:noProof/>
                <w:lang w:val="en-US"/>
              </w:rPr>
              <w:t>(SQI/N34.)</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Estonia</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128</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Latvia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128</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Lithuania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128</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Poland</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227</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rFonts w:asciiTheme="majorBidi" w:hAnsiTheme="majorBidi" w:cstheme="majorBidi"/>
                <w:noProof/>
                <w:lang w:val="en-US"/>
              </w:rPr>
            </w:pPr>
            <w:r>
              <w:rPr>
                <w:rFonts w:asciiTheme="majorBidi" w:hAnsiTheme="majorBidi" w:cstheme="majorBidi"/>
                <w:noProof/>
                <w:lang w:val="en-US"/>
              </w:rPr>
              <w:t>Not relevant</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 (2)</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34 000</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noWrap/>
            <w:hideMark/>
          </w:tcPr>
          <w:p>
            <w:pPr>
              <w:spacing w:before="60" w:after="60"/>
              <w:rPr>
                <w:rFonts w:asciiTheme="majorBidi" w:hAnsiTheme="majorBidi" w:cstheme="majorBidi"/>
                <w:noProof/>
                <w:lang w:val="en-US"/>
              </w:rPr>
            </w:pPr>
            <w:r>
              <w:rPr>
                <w:rFonts w:asciiTheme="majorBidi" w:hAnsiTheme="majorBidi" w:cstheme="majorBidi"/>
                <w:noProof/>
                <w:lang w:val="en-US"/>
              </w:rPr>
              <w:t>To be fished between 1 July and 31 December 2021.</w:t>
            </w: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(2)</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 specified Union’s share. The amount specified below, in tonnes, is available to Canada and the Member States of the Union except Estonia, Latvia, Lithuania and Poland:</w:t>
            </w:r>
          </w:p>
          <w:p>
            <w:pPr>
              <w:spacing w:before="60" w:after="60"/>
              <w:rPr>
                <w:rFonts w:asciiTheme="majorBidi" w:hAnsiTheme="majorBidi" w:cstheme="majorBidi"/>
                <w:noProof/>
                <w:lang w:val="en-US"/>
              </w:rPr>
            </w:pPr>
            <w:r>
              <w:rPr>
                <w:rFonts w:asciiTheme="majorBidi" w:hAnsiTheme="majorBidi" w:cstheme="majorBidi"/>
                <w:noProof/>
                <w:color w:val="000000"/>
                <w:lang w:val="de-DE" w:eastAsia="en-GB"/>
              </w:rPr>
              <w:t>29 647</w:t>
            </w: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Yellowtail flounder</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Limanda ferruginea</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3LNO</w:t>
            </w:r>
          </w:p>
          <w:p>
            <w:pPr>
              <w:spacing w:before="60" w:after="60"/>
              <w:rPr>
                <w:rFonts w:asciiTheme="majorBidi" w:hAnsiTheme="majorBidi" w:cstheme="majorBidi"/>
                <w:noProof/>
                <w:lang w:val="en-US"/>
              </w:rPr>
            </w:pPr>
            <w:r>
              <w:rPr>
                <w:rFonts w:asciiTheme="majorBidi" w:hAnsiTheme="majorBidi" w:cstheme="majorBidi"/>
                <w:noProof/>
                <w:lang w:val="en-US"/>
              </w:rPr>
              <w:t>(YEL/N3LNO.)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17 000</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 directed fisheries are permitted under this quota. This species shall only be taken as by</w:t>
            </w:r>
            <w:r>
              <w:rPr>
                <w:rFonts w:asciiTheme="majorBidi" w:hAnsiTheme="majorBidi" w:cstheme="majorBidi"/>
                <w:noProof/>
                <w:lang w:val="en-US"/>
              </w:rPr>
              <w:noBreakHyphen/>
              <w:t xml:space="preserve">catch within the following limits: a maximum of 2 500 kg or 10 %, whichever is greater. </w:t>
            </w: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Capelin</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Mallotus villosus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3NO</w:t>
            </w:r>
          </w:p>
          <w:p>
            <w:pPr>
              <w:spacing w:before="60" w:after="60"/>
              <w:rPr>
                <w:rFonts w:asciiTheme="majorBidi" w:hAnsiTheme="majorBidi" w:cstheme="majorBidi"/>
                <w:noProof/>
                <w:lang w:val="en-US"/>
              </w:rPr>
            </w:pPr>
            <w:r>
              <w:rPr>
                <w:rFonts w:asciiTheme="majorBidi" w:hAnsiTheme="majorBidi" w:cstheme="majorBidi"/>
                <w:noProof/>
                <w:lang w:val="en-US"/>
              </w:rPr>
              <w:t>(CAP/N3NO.)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 directed fisheries are permitted under this quota. This species shall only be taken as by</w:t>
            </w:r>
            <w:r>
              <w:rPr>
                <w:rFonts w:asciiTheme="majorBidi" w:hAnsiTheme="majorBidi" w:cstheme="majorBidi"/>
                <w:noProof/>
                <w:lang w:val="en-US"/>
              </w:rPr>
              <w:noBreakHyphen/>
              <w:t>catch within the following limits: a maximum of 1 250 kg or 5 %, whichever is greater.</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Northern prawn</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Pandalus borealis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3LNO</w:t>
            </w:r>
            <w:r>
              <w:rPr>
                <w:rFonts w:asciiTheme="majorBidi" w:hAnsiTheme="majorBidi" w:cstheme="majorBidi"/>
                <w:b/>
                <w:bCs/>
                <w:noProof/>
                <w:vertAlign w:val="superscript"/>
                <w:lang w:val="en-US"/>
              </w:rPr>
              <w:t>(1)(2)</w:t>
            </w:r>
          </w:p>
          <w:p>
            <w:pPr>
              <w:spacing w:before="60" w:after="60"/>
              <w:rPr>
                <w:rFonts w:asciiTheme="majorBidi" w:hAnsiTheme="majorBidi" w:cstheme="majorBidi"/>
                <w:noProof/>
                <w:lang w:val="en-US"/>
              </w:rPr>
            </w:pPr>
            <w:r>
              <w:rPr>
                <w:rFonts w:asciiTheme="majorBidi" w:hAnsiTheme="majorBidi" w:cstheme="majorBidi"/>
                <w:noProof/>
                <w:lang w:val="en-US"/>
              </w:rPr>
              <w:t>(PRA/N3LNOX)</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Estonia</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(3)</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Latvia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Lithuania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Poland</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Spain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Portugal</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(3)</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vMerge w:val="restart"/>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noWrap/>
            <w:hideMark/>
          </w:tcPr>
          <w:p>
            <w:pPr>
              <w:spacing w:before="60" w:after="60"/>
              <w:rPr>
                <w:rFonts w:asciiTheme="majorBidi" w:hAnsiTheme="majorBidi" w:cstheme="majorBidi"/>
                <w:noProof/>
                <w:lang w:val="en-US"/>
              </w:rPr>
            </w:pPr>
            <w:r>
              <w:rPr>
                <w:rFonts w:asciiTheme="majorBidi" w:hAnsiTheme="majorBidi" w:cstheme="majorBidi"/>
                <w:noProof/>
                <w:lang w:val="en-US"/>
              </w:rPr>
              <w:t>Not including the box bounded by the following coordinates:</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tcBorders>
              <w:top w:val="nil"/>
              <w:left w:val="nil"/>
              <w:bottom w:val="single" w:sz="4"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Point No</w:t>
            </w:r>
          </w:p>
        </w:tc>
        <w:tc>
          <w:tcPr>
            <w:tcW w:w="1196" w:type="dxa"/>
            <w:tcBorders>
              <w:top w:val="nil"/>
              <w:left w:val="nil"/>
              <w:bottom w:val="single" w:sz="4"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Latitude N</w:t>
            </w:r>
          </w:p>
        </w:tc>
        <w:tc>
          <w:tcPr>
            <w:tcW w:w="1203" w:type="dxa"/>
            <w:tcBorders>
              <w:top w:val="nil"/>
              <w:left w:val="nil"/>
              <w:bottom w:val="single" w:sz="4"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Longitude W</w:t>
            </w:r>
          </w:p>
        </w:tc>
        <w:tc>
          <w:tcPr>
            <w:tcW w:w="3303" w:type="dxa"/>
            <w:noWrap/>
            <w:hideMark/>
          </w:tcPr>
          <w:p>
            <w:pPr>
              <w:rPr>
                <w:rFonts w:asciiTheme="majorBidi" w:hAnsiTheme="majorBidi" w:cstheme="majorBidi"/>
                <w:noProof/>
                <w:lang w:val="en-US"/>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1</w:t>
            </w:r>
          </w:p>
        </w:tc>
        <w:tc>
          <w:tcPr>
            <w:tcW w:w="1196"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47° 20' 0</w:t>
            </w:r>
          </w:p>
        </w:tc>
        <w:tc>
          <w:tcPr>
            <w:tcW w:w="1203"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46° 40' 0</w:t>
            </w:r>
          </w:p>
        </w:tc>
        <w:tc>
          <w:tcPr>
            <w:tcW w:w="3303" w:type="dxa"/>
            <w:noWrap/>
            <w:hideMark/>
          </w:tcPr>
          <w:p>
            <w:pPr>
              <w:rPr>
                <w:rFonts w:asciiTheme="majorBidi" w:hAnsiTheme="majorBidi" w:cstheme="majorBidi"/>
                <w:noProof/>
                <w:lang w:val="en-US"/>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2</w:t>
            </w:r>
          </w:p>
        </w:tc>
        <w:tc>
          <w:tcPr>
            <w:tcW w:w="1196"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47° 20' 0</w:t>
            </w:r>
          </w:p>
        </w:tc>
        <w:tc>
          <w:tcPr>
            <w:tcW w:w="1203"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46° 30' 0</w:t>
            </w:r>
          </w:p>
        </w:tc>
        <w:tc>
          <w:tcPr>
            <w:tcW w:w="3303" w:type="dxa"/>
            <w:noWrap/>
            <w:hideMark/>
          </w:tcPr>
          <w:p>
            <w:pPr>
              <w:rPr>
                <w:rFonts w:asciiTheme="majorBidi" w:hAnsiTheme="majorBidi" w:cstheme="majorBidi"/>
                <w:noProof/>
                <w:lang w:val="en-US"/>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3</w:t>
            </w:r>
          </w:p>
        </w:tc>
        <w:tc>
          <w:tcPr>
            <w:tcW w:w="1196"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46° 00' 0</w:t>
            </w:r>
          </w:p>
        </w:tc>
        <w:tc>
          <w:tcPr>
            <w:tcW w:w="1203"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46° 30' 0</w:t>
            </w:r>
          </w:p>
        </w:tc>
        <w:tc>
          <w:tcPr>
            <w:tcW w:w="3303" w:type="dxa"/>
            <w:noWrap/>
            <w:hideMark/>
          </w:tcPr>
          <w:p>
            <w:pPr>
              <w:rPr>
                <w:rFonts w:asciiTheme="majorBidi" w:hAnsiTheme="majorBidi" w:cstheme="majorBidi"/>
                <w:noProof/>
                <w:lang w:val="en-US"/>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4</w:t>
            </w:r>
          </w:p>
        </w:tc>
        <w:tc>
          <w:tcPr>
            <w:tcW w:w="1196"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46° 00' 0</w:t>
            </w:r>
          </w:p>
        </w:tc>
        <w:tc>
          <w:tcPr>
            <w:tcW w:w="1203"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46° 40' 0</w:t>
            </w:r>
          </w:p>
        </w:tc>
        <w:tc>
          <w:tcPr>
            <w:tcW w:w="3303" w:type="dxa"/>
            <w:noWrap/>
            <w:hideMark/>
          </w:tcPr>
          <w:p>
            <w:pPr>
              <w:rPr>
                <w:rFonts w:asciiTheme="majorBidi" w:hAnsiTheme="majorBidi" w:cstheme="majorBidi"/>
                <w:noProof/>
                <w:lang w:val="en-US"/>
              </w:rPr>
            </w:pPr>
          </w:p>
        </w:tc>
      </w:tr>
      <w:tr>
        <w:trPr>
          <w:trHeight w:val="227"/>
        </w:trPr>
        <w:tc>
          <w:tcPr>
            <w:tcW w:w="1678" w:type="dxa"/>
            <w:vMerge w:val="restart"/>
            <w:noWrap/>
            <w:hideMark/>
          </w:tcPr>
          <w:p>
            <w:pPr>
              <w:pageBreakBefore/>
              <w:spacing w:before="60" w:after="60"/>
              <w:rPr>
                <w:rFonts w:asciiTheme="majorBidi" w:hAnsiTheme="majorBidi" w:cstheme="majorBidi"/>
                <w:b/>
                <w:bCs/>
                <w:noProof/>
                <w:szCs w:val="24"/>
                <w:vertAlign w:val="superscript"/>
                <w:lang w:val="en-US"/>
              </w:rPr>
            </w:pPr>
            <w:r>
              <w:rPr>
                <w:rFonts w:asciiTheme="majorBidi" w:hAnsiTheme="majorBidi" w:cstheme="majorBidi"/>
                <w:b/>
                <w:bCs/>
                <w:noProof/>
                <w:vertAlign w:val="superscript"/>
                <w:lang w:val="en-US"/>
              </w:rPr>
              <w:t>(2)</w:t>
            </w:r>
          </w:p>
        </w:tc>
        <w:tc>
          <w:tcPr>
            <w:tcW w:w="8069" w:type="dxa"/>
            <w:gridSpan w:val="4"/>
            <w:noWrap/>
            <w:hideMark/>
          </w:tcPr>
          <w:p>
            <w:pPr>
              <w:spacing w:before="60" w:after="60"/>
              <w:rPr>
                <w:rFonts w:asciiTheme="majorBidi" w:hAnsiTheme="majorBidi" w:cstheme="majorBidi"/>
                <w:noProof/>
                <w:lang w:val="en-US"/>
              </w:rPr>
            </w:pPr>
            <w:r>
              <w:rPr>
                <w:rFonts w:asciiTheme="majorBidi" w:hAnsiTheme="majorBidi" w:cstheme="majorBidi"/>
                <w:noProof/>
                <w:lang w:val="en-US"/>
              </w:rPr>
              <w:t>Fishing is prohibited at a depth less than 200 metres in the area West of a line bound by the following coordinates:</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tcBorders>
              <w:top w:val="nil"/>
              <w:left w:val="nil"/>
              <w:bottom w:val="single" w:sz="4"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Point No</w:t>
            </w:r>
          </w:p>
        </w:tc>
        <w:tc>
          <w:tcPr>
            <w:tcW w:w="1196" w:type="dxa"/>
            <w:tcBorders>
              <w:top w:val="nil"/>
              <w:left w:val="nil"/>
              <w:bottom w:val="single" w:sz="4"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Latitude N</w:t>
            </w:r>
          </w:p>
        </w:tc>
        <w:tc>
          <w:tcPr>
            <w:tcW w:w="1203" w:type="dxa"/>
            <w:tcBorders>
              <w:top w:val="nil"/>
              <w:left w:val="nil"/>
              <w:bottom w:val="single" w:sz="4"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Longitude W</w:t>
            </w:r>
          </w:p>
        </w:tc>
        <w:tc>
          <w:tcPr>
            <w:tcW w:w="3303" w:type="dxa"/>
            <w:noWrap/>
            <w:hideMark/>
          </w:tcPr>
          <w:p>
            <w:pPr>
              <w:rPr>
                <w:rFonts w:asciiTheme="majorBidi" w:hAnsiTheme="majorBidi" w:cstheme="majorBidi"/>
                <w:noProof/>
                <w:lang w:val="en-US"/>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1</w:t>
            </w:r>
          </w:p>
        </w:tc>
        <w:tc>
          <w:tcPr>
            <w:tcW w:w="1196"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46° 00' 0</w:t>
            </w:r>
          </w:p>
        </w:tc>
        <w:tc>
          <w:tcPr>
            <w:tcW w:w="1203"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47° 49' 0</w:t>
            </w:r>
          </w:p>
        </w:tc>
        <w:tc>
          <w:tcPr>
            <w:tcW w:w="3303" w:type="dxa"/>
            <w:noWrap/>
            <w:hideMark/>
          </w:tcPr>
          <w:p>
            <w:pPr>
              <w:rPr>
                <w:rFonts w:asciiTheme="majorBidi" w:hAnsiTheme="majorBidi" w:cstheme="majorBidi"/>
                <w:noProof/>
                <w:lang w:val="en-US"/>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2</w:t>
            </w:r>
          </w:p>
        </w:tc>
        <w:tc>
          <w:tcPr>
            <w:tcW w:w="1196"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46° 25' 0</w:t>
            </w:r>
          </w:p>
        </w:tc>
        <w:tc>
          <w:tcPr>
            <w:tcW w:w="1203"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47° 27' 0</w:t>
            </w:r>
          </w:p>
        </w:tc>
        <w:tc>
          <w:tcPr>
            <w:tcW w:w="3303" w:type="dxa"/>
            <w:noWrap/>
            <w:hideMark/>
          </w:tcPr>
          <w:p>
            <w:pPr>
              <w:rPr>
                <w:rFonts w:asciiTheme="majorBidi" w:hAnsiTheme="majorBidi" w:cstheme="majorBidi"/>
                <w:noProof/>
                <w:lang w:val="en-US"/>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3</w:t>
            </w:r>
          </w:p>
        </w:tc>
        <w:tc>
          <w:tcPr>
            <w:tcW w:w="1196"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46 °42' 0</w:t>
            </w:r>
          </w:p>
        </w:tc>
        <w:tc>
          <w:tcPr>
            <w:tcW w:w="1203"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47° 25' 0</w:t>
            </w:r>
          </w:p>
        </w:tc>
        <w:tc>
          <w:tcPr>
            <w:tcW w:w="3303" w:type="dxa"/>
            <w:noWrap/>
            <w:hideMark/>
          </w:tcPr>
          <w:p>
            <w:pPr>
              <w:rPr>
                <w:rFonts w:asciiTheme="majorBidi" w:hAnsiTheme="majorBidi" w:cstheme="majorBidi"/>
                <w:noProof/>
                <w:lang w:val="en-US"/>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4</w:t>
            </w:r>
          </w:p>
        </w:tc>
        <w:tc>
          <w:tcPr>
            <w:tcW w:w="1196"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46° 48' 0</w:t>
            </w:r>
          </w:p>
        </w:tc>
        <w:tc>
          <w:tcPr>
            <w:tcW w:w="1203"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47° 25' 50</w:t>
            </w:r>
          </w:p>
        </w:tc>
        <w:tc>
          <w:tcPr>
            <w:tcW w:w="3303" w:type="dxa"/>
            <w:noWrap/>
            <w:hideMark/>
          </w:tcPr>
          <w:p>
            <w:pPr>
              <w:rPr>
                <w:rFonts w:asciiTheme="majorBidi" w:hAnsiTheme="majorBidi" w:cstheme="majorBidi"/>
                <w:noProof/>
                <w:lang w:val="en-US"/>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5</w:t>
            </w:r>
          </w:p>
        </w:tc>
        <w:tc>
          <w:tcPr>
            <w:tcW w:w="1196"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47° 16' 50</w:t>
            </w:r>
          </w:p>
        </w:tc>
        <w:tc>
          <w:tcPr>
            <w:tcW w:w="1203"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47° 43' 50</w:t>
            </w:r>
          </w:p>
        </w:tc>
        <w:tc>
          <w:tcPr>
            <w:tcW w:w="3303" w:type="dxa"/>
            <w:noWrap/>
            <w:hideMark/>
          </w:tcPr>
          <w:p>
            <w:pPr>
              <w:rPr>
                <w:rFonts w:asciiTheme="majorBidi" w:hAnsiTheme="majorBidi" w:cstheme="majorBidi"/>
                <w:noProof/>
                <w:lang w:val="en-US"/>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szCs w:val="24"/>
                <w:vertAlign w:val="superscript"/>
                <w:lang w:val="en-US"/>
              </w:rPr>
            </w:pPr>
            <w:r>
              <w:rPr>
                <w:rFonts w:asciiTheme="majorBidi" w:hAnsiTheme="majorBidi" w:cstheme="majorBidi"/>
                <w:b/>
                <w:bCs/>
                <w:noProof/>
                <w:vertAlign w:val="superscript"/>
                <w:lang w:val="en-US"/>
              </w:rPr>
              <w:t>(3)</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 directed fisheries are permitted under this quota. This species shall only be taken as by</w:t>
            </w:r>
            <w:r>
              <w:rPr>
                <w:rFonts w:asciiTheme="majorBidi" w:hAnsiTheme="majorBidi" w:cstheme="majorBidi"/>
                <w:noProof/>
                <w:lang w:val="en-US"/>
              </w:rPr>
              <w:noBreakHyphen/>
              <w:t>catch within the following limits: a maximum of 1 250 kg or 5 %, whichever is greater.</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lang w:val="de-DE"/>
              </w:rPr>
            </w:pPr>
            <w:r>
              <w:rPr>
                <w:noProof/>
              </w:rPr>
              <w:br w:type="page"/>
            </w:r>
            <w:r>
              <w:rPr>
                <w:rFonts w:asciiTheme="majorBidi" w:hAnsiTheme="majorBidi" w:cstheme="majorBidi"/>
                <w:noProof/>
                <w:lang w:val="de-DE"/>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Northern prawn</w:t>
            </w:r>
          </w:p>
          <w:p>
            <w:pPr>
              <w:keepNext/>
              <w:tabs>
                <w:tab w:val="left" w:pos="850"/>
              </w:tabs>
              <w:spacing w:before="60" w:after="60"/>
              <w:ind w:left="850" w:hanging="850"/>
              <w:outlineLvl w:val="0"/>
              <w:rPr>
                <w:rFonts w:asciiTheme="majorBidi" w:hAnsiTheme="majorBidi" w:cstheme="majorBidi"/>
                <w:noProof/>
                <w:lang w:val="de-DE"/>
              </w:rPr>
            </w:pPr>
            <w:bookmarkStart w:id="1" w:name="_Toc26205847"/>
            <w:bookmarkStart w:id="2" w:name="_Toc26207264"/>
            <w:r>
              <w:rPr>
                <w:rFonts w:asciiTheme="majorBidi" w:hAnsiTheme="majorBidi" w:cstheme="majorBidi"/>
                <w:i/>
                <w:iCs/>
                <w:noProof/>
                <w:lang w:val="de-DE"/>
              </w:rPr>
              <w:t>Pandalus borealis</w:t>
            </w:r>
            <w:bookmarkEnd w:id="1"/>
            <w:bookmarkEnd w:id="2"/>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NAFO 3M</w:t>
            </w:r>
            <w:r>
              <w:rPr>
                <w:rFonts w:asciiTheme="majorBidi" w:hAnsiTheme="majorBidi" w:cstheme="majorBidi"/>
                <w:b/>
                <w:bCs/>
                <w:noProof/>
                <w:vertAlign w:val="superscript"/>
                <w:lang w:val="de-DE"/>
              </w:rPr>
              <w:t>(1)</w:t>
            </w:r>
          </w:p>
          <w:p>
            <w:pPr>
              <w:spacing w:before="60" w:after="60"/>
              <w:rPr>
                <w:rFonts w:asciiTheme="majorBidi" w:hAnsiTheme="majorBidi" w:cstheme="majorBidi"/>
                <w:noProof/>
                <w:lang w:val="de-DE"/>
              </w:rPr>
            </w:pPr>
            <w:r>
              <w:rPr>
                <w:rFonts w:asciiTheme="majorBidi" w:hAnsiTheme="majorBidi" w:cstheme="majorBidi"/>
                <w:noProof/>
                <w:lang w:val="de-DE"/>
              </w:rPr>
              <w:t>(PRA/*N3M.)</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TAC</w:t>
            </w:r>
          </w:p>
        </w:tc>
        <w:tc>
          <w:tcPr>
            <w:tcW w:w="2367" w:type="dxa"/>
            <w:tcBorders>
              <w:top w:val="single" w:sz="8" w:space="0" w:color="auto"/>
              <w:left w:val="nil"/>
              <w:bottom w:val="nil"/>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Not relevant</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de-DE"/>
              </w:rPr>
            </w:pPr>
            <w:r>
              <w:rPr>
                <w:rFonts w:asciiTheme="majorBidi" w:hAnsiTheme="majorBidi" w:cstheme="majorBidi"/>
                <w:b/>
                <w:bCs/>
                <w:noProof/>
                <w:vertAlign w:val="superscript"/>
                <w:lang w:val="de-DE"/>
              </w:rPr>
              <w:t>(2)</w:t>
            </w:r>
          </w:p>
        </w:tc>
        <w:tc>
          <w:tcPr>
            <w:tcW w:w="4506" w:type="dxa"/>
            <w:gridSpan w:val="2"/>
            <w:tcBorders>
              <w:top w:val="single" w:sz="8" w:space="0" w:color="auto"/>
              <w:left w:val="nil"/>
              <w:bottom w:val="nil"/>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Analytical TAC</w:t>
            </w:r>
          </w:p>
        </w:tc>
      </w:tr>
      <w:tr>
        <w:trPr>
          <w:trHeight w:val="227"/>
        </w:trPr>
        <w:tc>
          <w:tcPr>
            <w:tcW w:w="1678" w:type="dxa"/>
            <w:vMerge w:val="restart"/>
            <w:noWrap/>
            <w:hideMark/>
          </w:tcPr>
          <w:p>
            <w:pPr>
              <w:spacing w:before="60" w:after="60"/>
              <w:jc w:val="right"/>
              <w:rPr>
                <w:rFonts w:asciiTheme="majorBidi" w:hAnsiTheme="majorBidi" w:cstheme="majorBidi"/>
                <w:b/>
                <w:bCs/>
                <w:noProof/>
                <w:vertAlign w:val="superscript"/>
                <w:lang w:val="de-DE"/>
              </w:rPr>
            </w:pPr>
            <w:r>
              <w:rPr>
                <w:rFonts w:asciiTheme="majorBidi" w:hAnsiTheme="majorBidi" w:cstheme="majorBidi"/>
                <w:b/>
                <w:bCs/>
                <w:noProof/>
                <w:vertAlign w:val="superscript"/>
                <w:lang w:val="de-DE"/>
              </w:rPr>
              <w:t>(1)</w:t>
            </w:r>
          </w:p>
        </w:tc>
        <w:tc>
          <w:tcPr>
            <w:tcW w:w="8069" w:type="dxa"/>
            <w:gridSpan w:val="4"/>
            <w:noWrap/>
            <w:hideMark/>
          </w:tcPr>
          <w:p>
            <w:pPr>
              <w:spacing w:before="60" w:after="60"/>
              <w:rPr>
                <w:rFonts w:asciiTheme="majorBidi" w:hAnsiTheme="majorBidi" w:cstheme="majorBidi"/>
                <w:noProof/>
                <w:lang w:val="de-DE"/>
              </w:rPr>
            </w:pPr>
            <w:r>
              <w:rPr>
                <w:rFonts w:asciiTheme="majorBidi" w:hAnsiTheme="majorBidi" w:cstheme="majorBidi"/>
                <w:noProof/>
                <w:lang w:val="de-DE"/>
              </w:rPr>
              <w:t>Vessels may also fish this stock in Division 3L in the box bounded by the following coordinates:</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tcBorders>
              <w:top w:val="nil"/>
              <w:left w:val="nil"/>
              <w:bottom w:val="single" w:sz="4" w:space="0" w:color="auto"/>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Point No</w:t>
            </w:r>
          </w:p>
        </w:tc>
        <w:tc>
          <w:tcPr>
            <w:tcW w:w="1196" w:type="dxa"/>
            <w:tcBorders>
              <w:top w:val="nil"/>
              <w:left w:val="nil"/>
              <w:bottom w:val="single" w:sz="4" w:space="0" w:color="auto"/>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Latitude N</w:t>
            </w:r>
          </w:p>
        </w:tc>
        <w:tc>
          <w:tcPr>
            <w:tcW w:w="1203" w:type="dxa"/>
            <w:tcBorders>
              <w:top w:val="nil"/>
              <w:left w:val="nil"/>
              <w:bottom w:val="single" w:sz="4" w:space="0" w:color="auto"/>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Longitude W</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1</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47° 20'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46° 40' 0</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2</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47° 20'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46° 30' 0</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3</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46° 00'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46° 30' 0</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4</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46° 00'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46° 40' 0</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8069" w:type="dxa"/>
            <w:gridSpan w:val="4"/>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Moreover, fishing for shrimp is prohibited from 1 June to 31 December in the area bounded by the following coordinates:</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tcBorders>
              <w:top w:val="nil"/>
              <w:left w:val="nil"/>
              <w:bottom w:val="single" w:sz="4" w:space="0" w:color="auto"/>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Point No</w:t>
            </w:r>
          </w:p>
        </w:tc>
        <w:tc>
          <w:tcPr>
            <w:tcW w:w="1196" w:type="dxa"/>
            <w:tcBorders>
              <w:top w:val="nil"/>
              <w:left w:val="nil"/>
              <w:bottom w:val="single" w:sz="4" w:space="0" w:color="auto"/>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Latitude N</w:t>
            </w:r>
          </w:p>
        </w:tc>
        <w:tc>
          <w:tcPr>
            <w:tcW w:w="1203" w:type="dxa"/>
            <w:tcBorders>
              <w:top w:val="nil"/>
              <w:left w:val="nil"/>
              <w:bottom w:val="single" w:sz="4" w:space="0" w:color="auto"/>
              <w:right w:val="nil"/>
            </w:tcBorders>
            <w:noWrap/>
            <w:hideMark/>
          </w:tcPr>
          <w:p>
            <w:pPr>
              <w:spacing w:before="60" w:after="60"/>
              <w:rPr>
                <w:rFonts w:asciiTheme="majorBidi" w:hAnsiTheme="majorBidi" w:cstheme="majorBidi"/>
                <w:noProof/>
                <w:lang w:val="de-DE"/>
              </w:rPr>
            </w:pPr>
            <w:r>
              <w:rPr>
                <w:rFonts w:asciiTheme="majorBidi" w:hAnsiTheme="majorBidi" w:cstheme="majorBidi"/>
                <w:noProof/>
                <w:lang w:val="de-DE"/>
              </w:rPr>
              <w:t>Longitude W</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1</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47° 55'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45° 00' 0</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2</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47° 30'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44° 15' 0</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3</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46° 55'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44° 15' 0</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4</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46° 35'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44° 30' 0</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5</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46° 35'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45° 40' 0</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6</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47° 30'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45° 40' 0</w:t>
            </w:r>
          </w:p>
        </w:tc>
        <w:tc>
          <w:tcPr>
            <w:tcW w:w="3303" w:type="dxa"/>
            <w:noWrap/>
            <w:hideMark/>
          </w:tcPr>
          <w:p>
            <w:pPr>
              <w:rPr>
                <w:rFonts w:asciiTheme="majorBidi" w:hAnsiTheme="majorBidi" w:cstheme="majorBidi"/>
                <w:noProof/>
                <w:lang w:val="de-DE"/>
              </w:rPr>
            </w:pP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7</w:t>
            </w:r>
          </w:p>
        </w:tc>
        <w:tc>
          <w:tcPr>
            <w:tcW w:w="1196"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47° 55' 0</w:t>
            </w:r>
          </w:p>
        </w:tc>
        <w:tc>
          <w:tcPr>
            <w:tcW w:w="1203"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45° 00' 0</w:t>
            </w:r>
          </w:p>
        </w:tc>
        <w:tc>
          <w:tcPr>
            <w:tcW w:w="3303" w:type="dxa"/>
            <w:noWrap/>
            <w:hideMark/>
          </w:tcPr>
          <w:p>
            <w:pPr>
              <w:rPr>
                <w:rFonts w:asciiTheme="majorBidi" w:hAnsiTheme="majorBidi" w:cstheme="majorBidi"/>
                <w:noProof/>
                <w:lang w:val="de-DE"/>
              </w:rPr>
            </w:pPr>
          </w:p>
        </w:tc>
      </w:tr>
      <w:tr>
        <w:trPr>
          <w:trHeight w:val="227"/>
        </w:trPr>
        <w:tc>
          <w:tcPr>
            <w:tcW w:w="1678" w:type="dxa"/>
            <w:vMerge w:val="restart"/>
            <w:noWrap/>
            <w:hideMark/>
          </w:tcPr>
          <w:p>
            <w:pPr>
              <w:pageBreakBefore/>
              <w:spacing w:before="60" w:after="60"/>
              <w:rPr>
                <w:rFonts w:asciiTheme="majorBidi" w:hAnsiTheme="majorBidi" w:cstheme="majorBidi"/>
                <w:b/>
                <w:bCs/>
                <w:noProof/>
                <w:szCs w:val="24"/>
                <w:vertAlign w:val="superscript"/>
                <w:lang w:val="de-DE"/>
              </w:rPr>
            </w:pPr>
            <w:r>
              <w:rPr>
                <w:rFonts w:asciiTheme="majorBidi" w:hAnsiTheme="majorBidi" w:cstheme="majorBidi"/>
                <w:b/>
                <w:bCs/>
                <w:noProof/>
                <w:vertAlign w:val="superscript"/>
                <w:lang w:val="de-DE"/>
              </w:rPr>
              <w:t>(2)</w:t>
            </w:r>
          </w:p>
        </w:tc>
        <w:tc>
          <w:tcPr>
            <w:tcW w:w="8069" w:type="dxa"/>
            <w:gridSpan w:val="4"/>
            <w:noWrap/>
            <w:hideMark/>
          </w:tcPr>
          <w:p>
            <w:pPr>
              <w:spacing w:before="60" w:after="60"/>
              <w:rPr>
                <w:rFonts w:asciiTheme="majorBidi" w:hAnsiTheme="majorBidi" w:cstheme="majorBidi"/>
                <w:noProof/>
                <w:lang w:val="de-DE"/>
              </w:rPr>
            </w:pPr>
            <w:r>
              <w:rPr>
                <w:rFonts w:asciiTheme="majorBidi" w:hAnsiTheme="majorBidi" w:cstheme="majorBidi"/>
                <w:noProof/>
                <w:lang w:val="de-DE"/>
              </w:rPr>
              <w:t>Not relevant. Fishery managed by limitations in fishing effort (EFF/*N3M.). The Member States concerned shall issue fishing authorisations for their fishing vessels engaging in this fishery and shall notify those authorisations to the Commission prior to the commencement of the vessel’s activity, in accordance with Regulation (EC) No 1224/2009.</w:t>
            </w:r>
          </w:p>
        </w:tc>
      </w:tr>
      <w:tr>
        <w:trPr>
          <w:trHeight w:val="227"/>
        </w:trPr>
        <w:tc>
          <w:tcPr>
            <w:tcW w:w="0" w:type="auto"/>
            <w:vMerge/>
            <w:vAlign w:val="center"/>
            <w:hideMark/>
          </w:tcPr>
          <w:p>
            <w:pPr>
              <w:spacing w:before="0" w:after="0"/>
              <w:rPr>
                <w:rFonts w:asciiTheme="majorBidi" w:hAnsiTheme="majorBidi" w:cstheme="majorBidi"/>
                <w:b/>
                <w:bCs/>
                <w:noProof/>
                <w:szCs w:val="24"/>
                <w:vertAlign w:val="superscript"/>
                <w:lang w:val="de-DE"/>
              </w:rPr>
            </w:pPr>
          </w:p>
        </w:tc>
        <w:tc>
          <w:tcPr>
            <w:tcW w:w="2367" w:type="dxa"/>
            <w:tcBorders>
              <w:top w:val="nil"/>
              <w:left w:val="nil"/>
              <w:bottom w:val="single" w:sz="4" w:space="0" w:color="auto"/>
              <w:right w:val="nil"/>
            </w:tcBorders>
            <w:noWrap/>
            <w:vAlign w:val="center"/>
            <w:hideMark/>
          </w:tcPr>
          <w:p>
            <w:pPr>
              <w:spacing w:before="60" w:after="60"/>
              <w:jc w:val="center"/>
              <w:rPr>
                <w:rFonts w:asciiTheme="majorBidi" w:hAnsiTheme="majorBidi" w:cstheme="majorBidi"/>
                <w:noProof/>
                <w:lang w:val="de-DE"/>
              </w:rPr>
            </w:pPr>
            <w:r>
              <w:rPr>
                <w:rFonts w:asciiTheme="majorBidi" w:hAnsiTheme="majorBidi" w:cstheme="majorBidi"/>
                <w:noProof/>
                <w:lang w:val="de-DE"/>
              </w:rPr>
              <w:t>Member State</w:t>
            </w:r>
          </w:p>
        </w:tc>
        <w:tc>
          <w:tcPr>
            <w:tcW w:w="2399" w:type="dxa"/>
            <w:gridSpan w:val="2"/>
            <w:tcBorders>
              <w:top w:val="nil"/>
              <w:left w:val="nil"/>
              <w:bottom w:val="single" w:sz="4" w:space="0" w:color="auto"/>
              <w:right w:val="nil"/>
            </w:tcBorders>
            <w:noWrap/>
            <w:vAlign w:val="center"/>
            <w:hideMark/>
          </w:tcPr>
          <w:p>
            <w:pPr>
              <w:spacing w:before="60" w:after="60"/>
              <w:jc w:val="center"/>
              <w:rPr>
                <w:rFonts w:asciiTheme="majorBidi" w:hAnsiTheme="majorBidi" w:cstheme="majorBidi"/>
                <w:noProof/>
                <w:lang w:val="de-DE"/>
              </w:rPr>
            </w:pPr>
            <w:r>
              <w:rPr>
                <w:rFonts w:asciiTheme="majorBidi" w:hAnsiTheme="majorBidi" w:cstheme="majorBidi"/>
                <w:noProof/>
                <w:lang w:val="de-DE"/>
              </w:rPr>
              <w:t>Maximum number of fishing days</w:t>
            </w:r>
          </w:p>
        </w:tc>
        <w:tc>
          <w:tcPr>
            <w:tcW w:w="3303" w:type="dxa"/>
            <w:noWrap/>
            <w:hideMark/>
          </w:tcPr>
          <w:p>
            <w:pPr>
              <w:rPr>
                <w:rFonts w:asciiTheme="majorBidi" w:hAnsiTheme="majorBidi" w:cstheme="majorBidi"/>
                <w:noProof/>
                <w:lang w:val="de-DE"/>
              </w:rPr>
            </w:pPr>
          </w:p>
        </w:tc>
      </w:tr>
      <w:tr>
        <w:trPr>
          <w:trHeight w:val="227"/>
        </w:trPr>
        <w:tc>
          <w:tcPr>
            <w:tcW w:w="1678" w:type="dxa"/>
            <w:vMerge w:val="restart"/>
            <w:tcBorders>
              <w:top w:val="nil"/>
              <w:left w:val="nil"/>
              <w:bottom w:val="single" w:sz="8" w:space="0" w:color="auto"/>
              <w:right w:val="nil"/>
            </w:tcBorders>
            <w:noWrap/>
            <w:hideMark/>
          </w:tcPr>
          <w:p>
            <w:pPr>
              <w:spacing w:before="0" w:after="0"/>
              <w:rPr>
                <w:noProof/>
                <w:sz w:val="20"/>
                <w:szCs w:val="20"/>
                <w:lang w:eastAsia="en-GB"/>
              </w:rPr>
            </w:pPr>
            <w:r>
              <w:rPr>
                <w:noProof/>
              </w:rPr>
              <w:br w:type="page"/>
            </w: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Denmark</w:t>
            </w:r>
          </w:p>
        </w:tc>
        <w:tc>
          <w:tcPr>
            <w:tcW w:w="2399" w:type="dxa"/>
            <w:gridSpan w:val="2"/>
            <w:noWrap/>
            <w:hideMark/>
          </w:tcPr>
          <w:p>
            <w:pPr>
              <w:spacing w:before="60" w:after="60"/>
              <w:jc w:val="right"/>
              <w:rPr>
                <w:noProof/>
                <w:color w:val="000000"/>
                <w:lang w:val="de-DE" w:eastAsia="en-GB"/>
              </w:rPr>
            </w:pPr>
            <w:r>
              <w:rPr>
                <w:rFonts w:asciiTheme="majorBidi" w:hAnsiTheme="majorBidi" w:cstheme="majorBidi"/>
                <w:noProof/>
                <w:color w:val="000000"/>
                <w:lang w:val="de-DE" w:eastAsia="en-GB"/>
              </w:rPr>
              <w:t>33</w:t>
            </w:r>
          </w:p>
        </w:tc>
        <w:tc>
          <w:tcPr>
            <w:tcW w:w="3303" w:type="dxa"/>
            <w:noWrap/>
            <w:hideMark/>
          </w:tcPr>
          <w:p>
            <w:pPr>
              <w:rPr>
                <w:noProof/>
                <w:color w:val="000000"/>
                <w:lang w:val="de-DE"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Estonia</w:t>
            </w:r>
          </w:p>
        </w:tc>
        <w:tc>
          <w:tcPr>
            <w:tcW w:w="2399" w:type="dxa"/>
            <w:gridSpan w:val="2"/>
            <w:noWrap/>
            <w:hideMark/>
          </w:tcPr>
          <w:p>
            <w:pPr>
              <w:spacing w:before="60" w:after="60"/>
              <w:jc w:val="right"/>
              <w:rPr>
                <w:noProof/>
                <w:color w:val="000000"/>
                <w:lang w:val="de-DE" w:eastAsia="en-GB"/>
              </w:rPr>
            </w:pPr>
            <w:r>
              <w:rPr>
                <w:rFonts w:asciiTheme="majorBidi" w:hAnsiTheme="majorBidi" w:cstheme="majorBidi"/>
                <w:noProof/>
                <w:color w:val="000000"/>
                <w:lang w:val="de-DE" w:eastAsia="en-GB"/>
              </w:rPr>
              <w:t>391</w:t>
            </w:r>
          </w:p>
        </w:tc>
        <w:tc>
          <w:tcPr>
            <w:tcW w:w="3303" w:type="dxa"/>
            <w:noWrap/>
            <w:hideMark/>
          </w:tcPr>
          <w:p>
            <w:pPr>
              <w:spacing w:before="60" w:after="60"/>
              <w:rPr>
                <w:rFonts w:asciiTheme="majorBidi" w:hAnsiTheme="majorBidi" w:cstheme="majorBidi"/>
                <w:b/>
                <w:bCs/>
                <w:noProof/>
                <w:vertAlign w:val="superscript"/>
                <w:lang w:val="de-DE"/>
              </w:rPr>
            </w:pPr>
            <w:r>
              <w:rPr>
                <w:rFonts w:asciiTheme="majorBidi" w:hAnsiTheme="majorBidi" w:cstheme="majorBidi"/>
                <w:b/>
                <w:bCs/>
                <w:noProof/>
                <w:vertAlign w:val="superscript"/>
                <w:lang w:val="de-DE"/>
              </w:rPr>
              <w:t>*</w:t>
            </w: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noWrap/>
            <w:hideMark/>
          </w:tcPr>
          <w:p>
            <w:pPr>
              <w:spacing w:before="60" w:after="60"/>
              <w:rPr>
                <w:rFonts w:asciiTheme="majorBidi" w:hAnsiTheme="majorBidi" w:cstheme="majorBidi"/>
                <w:noProof/>
                <w:lang w:val="de-DE"/>
              </w:rPr>
            </w:pPr>
            <w:r>
              <w:rPr>
                <w:rFonts w:asciiTheme="majorBidi" w:hAnsiTheme="majorBidi" w:cstheme="majorBidi"/>
                <w:noProof/>
                <w:lang w:val="de-DE"/>
              </w:rPr>
              <w:t>Spain</w:t>
            </w:r>
          </w:p>
        </w:tc>
        <w:tc>
          <w:tcPr>
            <w:tcW w:w="2399" w:type="dxa"/>
            <w:gridSpan w:val="2"/>
            <w:noWrap/>
            <w:hideMark/>
          </w:tcPr>
          <w:p>
            <w:pPr>
              <w:spacing w:before="60" w:after="60"/>
              <w:jc w:val="right"/>
              <w:rPr>
                <w:noProof/>
                <w:color w:val="000000"/>
                <w:lang w:val="de-DE" w:eastAsia="en-GB"/>
              </w:rPr>
            </w:pPr>
            <w:r>
              <w:rPr>
                <w:rFonts w:asciiTheme="majorBidi" w:hAnsiTheme="majorBidi" w:cstheme="majorBidi"/>
                <w:noProof/>
                <w:color w:val="000000"/>
                <w:lang w:val="de-DE" w:eastAsia="en-GB"/>
              </w:rPr>
              <w:t>64</w:t>
            </w:r>
          </w:p>
        </w:tc>
        <w:tc>
          <w:tcPr>
            <w:tcW w:w="3303" w:type="dxa"/>
            <w:noWrap/>
            <w:hideMark/>
          </w:tcPr>
          <w:p>
            <w:pPr>
              <w:rPr>
                <w:noProof/>
                <w:color w:val="000000"/>
                <w:lang w:val="de-DE"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Latvia</w:t>
            </w:r>
          </w:p>
        </w:tc>
        <w:tc>
          <w:tcPr>
            <w:tcW w:w="2399" w:type="dxa"/>
            <w:gridSpan w:val="2"/>
            <w:noWrap/>
            <w:hideMark/>
          </w:tcPr>
          <w:p>
            <w:pPr>
              <w:spacing w:before="60" w:after="60"/>
              <w:jc w:val="right"/>
              <w:rPr>
                <w:noProof/>
                <w:color w:val="000000"/>
                <w:lang w:val="de-DE" w:eastAsia="en-GB"/>
              </w:rPr>
            </w:pPr>
            <w:r>
              <w:rPr>
                <w:rFonts w:asciiTheme="majorBidi" w:hAnsiTheme="majorBidi" w:cstheme="majorBidi"/>
                <w:noProof/>
                <w:color w:val="000000"/>
                <w:lang w:val="de-DE" w:eastAsia="en-GB"/>
              </w:rPr>
              <w:t>123</w:t>
            </w:r>
          </w:p>
        </w:tc>
        <w:tc>
          <w:tcPr>
            <w:tcW w:w="3303" w:type="dxa"/>
            <w:noWrap/>
            <w:hideMark/>
          </w:tcPr>
          <w:p>
            <w:pPr>
              <w:rPr>
                <w:noProof/>
                <w:color w:val="000000"/>
                <w:lang w:val="de-DE"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Lithuania</w:t>
            </w:r>
          </w:p>
        </w:tc>
        <w:tc>
          <w:tcPr>
            <w:tcW w:w="2399" w:type="dxa"/>
            <w:gridSpan w:val="2"/>
            <w:noWrap/>
            <w:hideMark/>
          </w:tcPr>
          <w:p>
            <w:pPr>
              <w:spacing w:before="60" w:after="60"/>
              <w:jc w:val="right"/>
              <w:rPr>
                <w:noProof/>
                <w:color w:val="000000"/>
                <w:lang w:val="de-DE" w:eastAsia="en-GB"/>
              </w:rPr>
            </w:pPr>
            <w:r>
              <w:rPr>
                <w:rFonts w:asciiTheme="majorBidi" w:hAnsiTheme="majorBidi" w:cstheme="majorBidi"/>
                <w:noProof/>
                <w:color w:val="000000"/>
                <w:lang w:val="de-DE" w:eastAsia="en-GB"/>
              </w:rPr>
              <w:t>145</w:t>
            </w:r>
          </w:p>
        </w:tc>
        <w:tc>
          <w:tcPr>
            <w:tcW w:w="3303" w:type="dxa"/>
            <w:noWrap/>
            <w:hideMark/>
          </w:tcPr>
          <w:p>
            <w:pPr>
              <w:rPr>
                <w:noProof/>
                <w:color w:val="000000"/>
                <w:lang w:val="de-DE"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Poland</w:t>
            </w:r>
          </w:p>
        </w:tc>
        <w:tc>
          <w:tcPr>
            <w:tcW w:w="2399" w:type="dxa"/>
            <w:gridSpan w:val="2"/>
            <w:noWrap/>
            <w:hideMark/>
          </w:tcPr>
          <w:p>
            <w:pPr>
              <w:spacing w:before="60" w:after="60"/>
              <w:jc w:val="right"/>
              <w:rPr>
                <w:noProof/>
                <w:color w:val="000000"/>
                <w:lang w:val="de-DE" w:eastAsia="en-GB"/>
              </w:rPr>
            </w:pPr>
            <w:r>
              <w:rPr>
                <w:rFonts w:asciiTheme="majorBidi" w:hAnsiTheme="majorBidi" w:cstheme="majorBidi"/>
                <w:noProof/>
                <w:color w:val="000000"/>
                <w:lang w:val="de-DE" w:eastAsia="en-GB"/>
              </w:rPr>
              <w:t>25</w:t>
            </w:r>
          </w:p>
        </w:tc>
        <w:tc>
          <w:tcPr>
            <w:tcW w:w="3303" w:type="dxa"/>
            <w:noWrap/>
            <w:hideMark/>
          </w:tcPr>
          <w:p>
            <w:pPr>
              <w:rPr>
                <w:noProof/>
                <w:color w:val="000000"/>
                <w:lang w:val="de-DE" w:eastAsia="en-GB"/>
              </w:rPr>
            </w:pPr>
          </w:p>
        </w:tc>
      </w:tr>
      <w:tr>
        <w:trPr>
          <w:trHeight w:val="227"/>
        </w:trPr>
        <w:tc>
          <w:tcPr>
            <w:tcW w:w="0" w:type="auto"/>
            <w:vMerge/>
            <w:tcBorders>
              <w:top w:val="nil"/>
              <w:left w:val="nil"/>
              <w:bottom w:val="single" w:sz="8" w:space="0" w:color="auto"/>
              <w:right w:val="nil"/>
            </w:tcBorders>
            <w:vAlign w:val="center"/>
            <w:hideMark/>
          </w:tcPr>
          <w:p>
            <w:pPr>
              <w:spacing w:before="0" w:after="0"/>
              <w:rPr>
                <w:noProof/>
                <w:sz w:val="20"/>
                <w:szCs w:val="20"/>
                <w:lang w:eastAsia="en-GB"/>
              </w:rPr>
            </w:pPr>
          </w:p>
        </w:tc>
        <w:tc>
          <w:tcPr>
            <w:tcW w:w="2367" w:type="dxa"/>
            <w:tcBorders>
              <w:top w:val="nil"/>
              <w:left w:val="nil"/>
              <w:bottom w:val="single" w:sz="8" w:space="0" w:color="auto"/>
              <w:right w:val="nil"/>
            </w:tcBorders>
            <w:noWrap/>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Portugal</w:t>
            </w:r>
          </w:p>
        </w:tc>
        <w:tc>
          <w:tcPr>
            <w:tcW w:w="2399" w:type="dxa"/>
            <w:gridSpan w:val="2"/>
            <w:tcBorders>
              <w:top w:val="nil"/>
              <w:left w:val="nil"/>
              <w:bottom w:val="single" w:sz="8" w:space="0" w:color="auto"/>
              <w:right w:val="nil"/>
            </w:tcBorders>
            <w:noWrap/>
            <w:hideMark/>
          </w:tcPr>
          <w:p>
            <w:pPr>
              <w:spacing w:before="60" w:after="60"/>
              <w:jc w:val="right"/>
              <w:rPr>
                <w:noProof/>
                <w:color w:val="000000"/>
                <w:lang w:val="de-DE" w:eastAsia="en-GB"/>
              </w:rPr>
            </w:pPr>
            <w:r>
              <w:rPr>
                <w:rFonts w:asciiTheme="majorBidi" w:hAnsiTheme="majorBidi" w:cstheme="majorBidi"/>
                <w:noProof/>
                <w:color w:val="000000"/>
                <w:lang w:val="de-DE" w:eastAsia="en-GB"/>
              </w:rPr>
              <w:t>17</w:t>
            </w:r>
          </w:p>
        </w:tc>
        <w:tc>
          <w:tcPr>
            <w:tcW w:w="3303" w:type="dxa"/>
            <w:tcBorders>
              <w:top w:val="nil"/>
              <w:left w:val="nil"/>
              <w:bottom w:val="single" w:sz="8" w:space="0" w:color="auto"/>
              <w:right w:val="nil"/>
            </w:tcBorders>
            <w:noWrap/>
            <w:hideMark/>
          </w:tcPr>
          <w:p>
            <w:pPr>
              <w:rPr>
                <w:noProof/>
                <w:color w:val="000000"/>
                <w:lang w:val="de-DE" w:eastAsia="en-GB"/>
              </w:rPr>
            </w:pPr>
          </w:p>
        </w:tc>
      </w:tr>
      <w:tr>
        <w:trPr>
          <w:trHeight w:val="227"/>
        </w:trPr>
        <w:tc>
          <w:tcPr>
            <w:tcW w:w="1678" w:type="dxa"/>
            <w:tcBorders>
              <w:top w:val="single" w:sz="8" w:space="0" w:color="auto"/>
              <w:left w:val="nil"/>
              <w:bottom w:val="single" w:sz="8" w:space="0" w:color="auto"/>
              <w:right w:val="nil"/>
            </w:tcBorders>
            <w:noWrap/>
            <w:hideMark/>
          </w:tcPr>
          <w:p>
            <w:pPr>
              <w:spacing w:before="0" w:after="0"/>
              <w:rPr>
                <w:noProof/>
                <w:sz w:val="20"/>
                <w:szCs w:val="20"/>
                <w:lang w:eastAsia="en-GB"/>
              </w:rPr>
            </w:pPr>
          </w:p>
        </w:tc>
        <w:tc>
          <w:tcPr>
            <w:tcW w:w="8069" w:type="dxa"/>
            <w:gridSpan w:val="4"/>
            <w:tcBorders>
              <w:top w:val="single" w:sz="8" w:space="0" w:color="auto"/>
              <w:left w:val="nil"/>
              <w:bottom w:val="single" w:sz="8" w:space="0" w:color="auto"/>
              <w:right w:val="nil"/>
            </w:tcBorders>
            <w:hideMark/>
          </w:tcPr>
          <w:p>
            <w:pPr>
              <w:spacing w:before="60" w:after="60"/>
              <w:ind w:left="567" w:hanging="567"/>
              <w:rPr>
                <w:noProof/>
                <w:szCs w:val="24"/>
                <w:vertAlign w:val="superscript"/>
                <w:lang w:val="de-DE"/>
              </w:rPr>
            </w:pPr>
            <w:r>
              <w:rPr>
                <w:b/>
                <w:bCs/>
                <w:noProof/>
                <w:vertAlign w:val="superscript"/>
                <w:lang w:val="de-DE"/>
              </w:rPr>
              <w:t>*</w:t>
            </w:r>
            <w:r>
              <w:rPr>
                <w:noProof/>
                <w:lang w:val="de-DE"/>
              </w:rPr>
              <w:tab/>
              <w:t>The NAFO Commission agreed at its 2020 Annual Meeting that the European Union (Estonia) will transfer 25 fishing days of its fishing days allocation for 2021 to France, in respect of St Pierre et Miquelon. Those 25 fishing days have been deducted from Estonia’s number of fishing days, which would otherwise have been 416 days, under this interim regime for 2020 that will not create any catch history.</w:t>
            </w:r>
          </w:p>
        </w:tc>
      </w:tr>
      <w:tr>
        <w:trPr>
          <w:trHeight w:val="227"/>
        </w:trPr>
        <w:tc>
          <w:tcPr>
            <w:tcW w:w="9747" w:type="dxa"/>
            <w:gridSpan w:val="5"/>
            <w:tcBorders>
              <w:top w:val="single" w:sz="8" w:space="0" w:color="auto"/>
              <w:left w:val="nil"/>
              <w:bottom w:val="single" w:sz="8" w:space="0" w:color="auto"/>
              <w:right w:val="nil"/>
            </w:tcBorders>
            <w:noWrap/>
            <w:hideMark/>
          </w:tcPr>
          <w:p>
            <w:pPr>
              <w:rPr>
                <w:noProof/>
                <w:vertAlign w:val="superscript"/>
                <w:lang w:val="de-DE"/>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Greenland halibut</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Reinhardtius hippoglossoides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3LMNO</w:t>
            </w:r>
          </w:p>
          <w:p>
            <w:pPr>
              <w:spacing w:before="60" w:after="60"/>
              <w:rPr>
                <w:rFonts w:asciiTheme="majorBidi" w:hAnsiTheme="majorBidi" w:cstheme="majorBidi"/>
                <w:noProof/>
                <w:lang w:val="en-US"/>
              </w:rPr>
            </w:pPr>
            <w:r>
              <w:rPr>
                <w:rFonts w:asciiTheme="majorBidi" w:hAnsiTheme="majorBidi" w:cstheme="majorBidi"/>
                <w:noProof/>
                <w:lang w:val="en-US"/>
              </w:rPr>
              <w:t>(GHL/N3LMNO)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Estonia</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331</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lang w:val="en-US"/>
              </w:rPr>
            </w:pPr>
          </w:p>
        </w:tc>
        <w:tc>
          <w:tcPr>
            <w:tcW w:w="4506"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Germany</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338</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Latvia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47</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Lithuania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24</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Spain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4 533</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Portugal</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1 895</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 xml:space="preserve"> 7 168</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tcBorders>
              <w:top w:val="nil"/>
              <w:left w:val="nil"/>
              <w:bottom w:val="single" w:sz="8" w:space="0" w:color="auto"/>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12 225</w:t>
            </w:r>
          </w:p>
        </w:tc>
        <w:tc>
          <w:tcPr>
            <w:tcW w:w="1196" w:type="dxa"/>
            <w:tcBorders>
              <w:top w:val="nil"/>
              <w:left w:val="nil"/>
              <w:bottom w:val="single" w:sz="8" w:space="0" w:color="auto"/>
              <w:right w:val="nil"/>
            </w:tcBorders>
            <w:noWrap/>
          </w:tcPr>
          <w:p>
            <w:pPr>
              <w:spacing w:before="60" w:after="60"/>
              <w:rPr>
                <w:rFonts w:asciiTheme="majorBidi" w:hAnsiTheme="majorBidi" w:cstheme="majorBidi"/>
                <w:noProof/>
                <w:lang w:val="en-US"/>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Skate</w:t>
            </w:r>
          </w:p>
          <w:p>
            <w:pPr>
              <w:spacing w:before="60" w:after="60"/>
              <w:rPr>
                <w:rFonts w:asciiTheme="majorBidi" w:hAnsiTheme="majorBidi" w:cstheme="majorBidi"/>
                <w:noProof/>
                <w:lang w:val="en-US"/>
              </w:rPr>
            </w:pPr>
            <w:r>
              <w:rPr>
                <w:rFonts w:asciiTheme="majorBidi" w:hAnsiTheme="majorBidi" w:cstheme="majorBidi"/>
                <w:i/>
                <w:iCs/>
                <w:noProof/>
                <w:lang w:val="en-US"/>
              </w:rPr>
              <w:t>Rajidae</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3LNO</w:t>
            </w:r>
          </w:p>
          <w:p>
            <w:pPr>
              <w:spacing w:before="60" w:after="60"/>
              <w:rPr>
                <w:rFonts w:asciiTheme="majorBidi" w:hAnsiTheme="majorBidi" w:cstheme="majorBidi"/>
                <w:noProof/>
                <w:lang w:val="en-US"/>
              </w:rPr>
            </w:pPr>
            <w:r>
              <w:rPr>
                <w:rFonts w:asciiTheme="majorBidi" w:hAnsiTheme="majorBidi" w:cstheme="majorBidi"/>
                <w:noProof/>
                <w:lang w:val="en-US"/>
              </w:rPr>
              <w:t>(SKA/N3LNO.)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Estonia</w:t>
            </w:r>
          </w:p>
        </w:tc>
        <w:tc>
          <w:tcPr>
            <w:tcW w:w="2367" w:type="dxa"/>
            <w:tcBorders>
              <w:top w:val="single" w:sz="8" w:space="0" w:color="auto"/>
              <w:left w:val="nil"/>
              <w:bottom w:val="nil"/>
              <w:right w:val="nil"/>
            </w:tcBorders>
            <w:noWrap/>
            <w:hideMark/>
          </w:tcPr>
          <w:p>
            <w:pPr>
              <w:spacing w:before="60" w:after="60"/>
              <w:jc w:val="right"/>
              <w:rPr>
                <w:noProof/>
                <w:lang w:val="en-US"/>
              </w:rPr>
            </w:pPr>
            <w:r>
              <w:rPr>
                <w:rFonts w:asciiTheme="majorBidi" w:hAnsiTheme="majorBidi" w:cstheme="majorBidi"/>
                <w:noProof/>
                <w:color w:val="000000"/>
                <w:lang w:val="de-DE" w:eastAsia="en-GB"/>
              </w:rPr>
              <w:t>283</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lang w:val="en-US"/>
              </w:rPr>
            </w:pPr>
          </w:p>
        </w:tc>
        <w:tc>
          <w:tcPr>
            <w:tcW w:w="4506"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Lithuania</w:t>
            </w:r>
          </w:p>
        </w:tc>
        <w:tc>
          <w:tcPr>
            <w:tcW w:w="2367" w:type="dxa"/>
            <w:noWrap/>
            <w:hideMark/>
          </w:tcPr>
          <w:p>
            <w:pPr>
              <w:spacing w:before="60" w:after="60"/>
              <w:jc w:val="right"/>
              <w:rPr>
                <w:noProof/>
                <w:lang w:val="en-US"/>
              </w:rPr>
            </w:pPr>
            <w:r>
              <w:rPr>
                <w:rFonts w:asciiTheme="majorBidi" w:hAnsiTheme="majorBidi" w:cstheme="majorBidi"/>
                <w:noProof/>
                <w:color w:val="000000"/>
                <w:lang w:val="de-DE" w:eastAsia="en-GB"/>
              </w:rPr>
              <w:t>62</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Spain</w:t>
            </w:r>
          </w:p>
        </w:tc>
        <w:tc>
          <w:tcPr>
            <w:tcW w:w="2367" w:type="dxa"/>
            <w:noWrap/>
            <w:hideMark/>
          </w:tcPr>
          <w:p>
            <w:pPr>
              <w:spacing w:before="60" w:after="60"/>
              <w:jc w:val="right"/>
              <w:rPr>
                <w:noProof/>
                <w:lang w:val="en-US"/>
              </w:rPr>
            </w:pPr>
            <w:r>
              <w:rPr>
                <w:rFonts w:asciiTheme="majorBidi" w:hAnsiTheme="majorBidi" w:cstheme="majorBidi"/>
                <w:noProof/>
                <w:color w:val="000000"/>
                <w:lang w:val="de-DE" w:eastAsia="en-GB"/>
              </w:rPr>
              <w:t>3 403</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Portugal</w:t>
            </w:r>
          </w:p>
        </w:tc>
        <w:tc>
          <w:tcPr>
            <w:tcW w:w="2367" w:type="dxa"/>
            <w:noWrap/>
            <w:hideMark/>
          </w:tcPr>
          <w:p>
            <w:pPr>
              <w:spacing w:before="60" w:after="60"/>
              <w:jc w:val="right"/>
              <w:rPr>
                <w:noProof/>
                <w:lang w:val="en-US"/>
              </w:rPr>
            </w:pPr>
            <w:r>
              <w:rPr>
                <w:rFonts w:asciiTheme="majorBidi" w:hAnsiTheme="majorBidi" w:cstheme="majorBidi"/>
                <w:noProof/>
                <w:color w:val="000000"/>
                <w:lang w:val="de-DE" w:eastAsia="en-GB"/>
              </w:rPr>
              <w:t>660</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noProof/>
                <w:lang w:val="en-US"/>
              </w:rPr>
            </w:pPr>
            <w:r>
              <w:rPr>
                <w:rFonts w:asciiTheme="majorBidi" w:hAnsiTheme="majorBidi" w:cstheme="majorBidi"/>
                <w:noProof/>
                <w:color w:val="000000"/>
                <w:lang w:val="de-DE" w:eastAsia="en-GB"/>
              </w:rPr>
              <w:t>4 408</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tcBorders>
              <w:top w:val="nil"/>
              <w:left w:val="nil"/>
              <w:bottom w:val="single" w:sz="8" w:space="0" w:color="auto"/>
              <w:right w:val="nil"/>
            </w:tcBorders>
            <w:noWrap/>
            <w:hideMark/>
          </w:tcPr>
          <w:p>
            <w:pPr>
              <w:spacing w:before="60" w:after="60"/>
              <w:jc w:val="right"/>
              <w:rPr>
                <w:noProof/>
                <w:lang w:val="en-US"/>
              </w:rPr>
            </w:pPr>
            <w:r>
              <w:rPr>
                <w:rFonts w:asciiTheme="majorBidi" w:hAnsiTheme="majorBidi" w:cstheme="majorBidi"/>
                <w:noProof/>
                <w:color w:val="000000"/>
                <w:lang w:val="de-DE" w:eastAsia="en-GB"/>
              </w:rPr>
              <w:t>7 000</w:t>
            </w:r>
          </w:p>
        </w:tc>
        <w:tc>
          <w:tcPr>
            <w:tcW w:w="1196" w:type="dxa"/>
            <w:tcBorders>
              <w:top w:val="nil"/>
              <w:left w:val="nil"/>
              <w:bottom w:val="single" w:sz="8" w:space="0" w:color="auto"/>
              <w:right w:val="nil"/>
            </w:tcBorders>
            <w:noWrap/>
          </w:tcPr>
          <w:p>
            <w:pPr>
              <w:spacing w:before="60" w:after="60"/>
              <w:rPr>
                <w:rFonts w:asciiTheme="majorBidi" w:hAnsiTheme="majorBidi" w:cstheme="majorBidi"/>
                <w:noProof/>
                <w:lang w:val="en-US"/>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lang w:val="en-US"/>
              </w:rPr>
            </w:pPr>
            <w:r>
              <w:rPr>
                <w:noProof/>
              </w:rPr>
              <w:br w:type="page"/>
            </w: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Redfish</w:t>
            </w:r>
          </w:p>
          <w:p>
            <w:pPr>
              <w:spacing w:before="60" w:after="60"/>
              <w:rPr>
                <w:rFonts w:asciiTheme="majorBidi" w:hAnsiTheme="majorBidi" w:cstheme="majorBidi"/>
                <w:noProof/>
                <w:lang w:val="en-US"/>
              </w:rPr>
            </w:pPr>
            <w:r>
              <w:rPr>
                <w:rFonts w:asciiTheme="majorBidi" w:hAnsiTheme="majorBidi" w:cstheme="majorBidi"/>
                <w:i/>
                <w:iCs/>
                <w:noProof/>
                <w:lang w:val="en-US"/>
              </w:rPr>
              <w:t>Sebastes</w:t>
            </w:r>
            <w:r>
              <w:rPr>
                <w:rFonts w:asciiTheme="majorBidi" w:hAnsiTheme="majorBidi" w:cstheme="majorBidi"/>
                <w:noProof/>
                <w:lang w:val="en-US"/>
              </w:rPr>
              <w:t xml:space="preserve"> spp.</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3LN</w:t>
            </w:r>
          </w:p>
          <w:p>
            <w:pPr>
              <w:spacing w:before="60" w:after="60"/>
              <w:rPr>
                <w:rFonts w:asciiTheme="majorBidi" w:hAnsiTheme="majorBidi" w:cstheme="majorBidi"/>
                <w:noProof/>
                <w:lang w:val="en-US"/>
              </w:rPr>
            </w:pPr>
            <w:r>
              <w:rPr>
                <w:rFonts w:asciiTheme="majorBidi" w:hAnsiTheme="majorBidi" w:cstheme="majorBidi"/>
                <w:noProof/>
                <w:lang w:val="en-US"/>
              </w:rPr>
              <w:t>(RED/N3LN.)</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Estonia</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895</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lang w:val="en-US"/>
              </w:rPr>
            </w:pPr>
          </w:p>
        </w:tc>
        <w:tc>
          <w:tcPr>
            <w:tcW w:w="4506"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Germany</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615</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Latvia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895</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Lithuania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895</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3 300</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tcBorders>
              <w:top w:val="nil"/>
              <w:left w:val="nil"/>
              <w:bottom w:val="single" w:sz="8" w:space="0" w:color="auto"/>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18 100</w:t>
            </w:r>
          </w:p>
        </w:tc>
        <w:tc>
          <w:tcPr>
            <w:tcW w:w="1196" w:type="dxa"/>
            <w:tcBorders>
              <w:top w:val="nil"/>
              <w:left w:val="nil"/>
              <w:bottom w:val="single" w:sz="8" w:space="0" w:color="auto"/>
              <w:right w:val="nil"/>
            </w:tcBorders>
            <w:noWrap/>
          </w:tcPr>
          <w:p>
            <w:pPr>
              <w:spacing w:before="60" w:after="60"/>
              <w:rPr>
                <w:rFonts w:asciiTheme="majorBidi" w:hAnsiTheme="majorBidi" w:cstheme="majorBidi"/>
                <w:noProof/>
                <w:lang w:val="en-US"/>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Redfish</w:t>
            </w:r>
          </w:p>
          <w:p>
            <w:pPr>
              <w:spacing w:before="60" w:after="60"/>
              <w:rPr>
                <w:rFonts w:asciiTheme="majorBidi" w:hAnsiTheme="majorBidi" w:cstheme="majorBidi"/>
                <w:noProof/>
                <w:lang w:val="en-US"/>
              </w:rPr>
            </w:pPr>
            <w:r>
              <w:rPr>
                <w:rFonts w:asciiTheme="majorBidi" w:hAnsiTheme="majorBidi" w:cstheme="majorBidi"/>
                <w:i/>
                <w:iCs/>
                <w:noProof/>
                <w:lang w:val="en-US"/>
              </w:rPr>
              <w:t>Sebastes</w:t>
            </w:r>
            <w:r>
              <w:rPr>
                <w:rFonts w:asciiTheme="majorBidi" w:hAnsiTheme="majorBidi" w:cstheme="majorBidi"/>
                <w:noProof/>
                <w:lang w:val="en-US"/>
              </w:rPr>
              <w:t xml:space="preserve"> spp.</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3M</w:t>
            </w:r>
          </w:p>
          <w:p>
            <w:pPr>
              <w:spacing w:before="60" w:after="60"/>
              <w:rPr>
                <w:rFonts w:asciiTheme="majorBidi" w:hAnsiTheme="majorBidi" w:cstheme="majorBidi"/>
                <w:noProof/>
                <w:lang w:val="en-US"/>
              </w:rPr>
            </w:pPr>
            <w:r>
              <w:rPr>
                <w:rFonts w:asciiTheme="majorBidi" w:hAnsiTheme="majorBidi" w:cstheme="majorBidi"/>
                <w:noProof/>
                <w:lang w:val="en-US"/>
              </w:rPr>
              <w:t>(RED/N3M.)</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Estonia</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1 571</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Germany</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513</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Latvia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1 571</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Lithuania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1 571</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Spain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233</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 xml:space="preserve">Portugal </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2 354</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7 813</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8 448</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This quota is subject to compliance with the TAC as shown, which is established for this stock for all NAFO Contracting Parties. Within that TAC, no more than the following mid</w:t>
            </w:r>
            <w:r>
              <w:rPr>
                <w:rFonts w:asciiTheme="majorBidi" w:hAnsiTheme="majorBidi" w:cstheme="majorBidi"/>
                <w:noProof/>
                <w:lang w:val="en-US"/>
              </w:rPr>
              <w:noBreakHyphen/>
              <w:t xml:space="preserve">term limit may be fished before 1 July 2020: </w:t>
            </w:r>
            <w:r>
              <w:rPr>
                <w:rFonts w:asciiTheme="majorBidi" w:hAnsiTheme="majorBidi" w:cstheme="majorBidi"/>
                <w:noProof/>
                <w:color w:val="000000"/>
                <w:lang w:val="de-DE" w:eastAsia="en-GB"/>
              </w:rPr>
              <w:t>pm</w:t>
            </w:r>
          </w:p>
        </w:tc>
      </w:tr>
      <w:tr>
        <w:trPr>
          <w:trHeight w:val="227"/>
        </w:trPr>
        <w:tc>
          <w:tcPr>
            <w:tcW w:w="9747" w:type="dxa"/>
            <w:gridSpan w:val="5"/>
            <w:tcBorders>
              <w:top w:val="single" w:sz="8" w:space="0" w:color="auto"/>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Redfish</w:t>
            </w:r>
          </w:p>
          <w:p>
            <w:pPr>
              <w:spacing w:before="60" w:after="60"/>
              <w:rPr>
                <w:rFonts w:asciiTheme="majorBidi" w:hAnsiTheme="majorBidi" w:cstheme="majorBidi"/>
                <w:noProof/>
                <w:lang w:val="en-US"/>
              </w:rPr>
            </w:pPr>
            <w:r>
              <w:rPr>
                <w:rFonts w:asciiTheme="majorBidi" w:hAnsiTheme="majorBidi" w:cstheme="majorBidi"/>
                <w:i/>
                <w:iCs/>
                <w:noProof/>
                <w:lang w:val="en-US"/>
              </w:rPr>
              <w:t>Sebastes</w:t>
            </w:r>
            <w:r>
              <w:rPr>
                <w:rFonts w:asciiTheme="majorBidi" w:hAnsiTheme="majorBidi" w:cstheme="majorBidi"/>
                <w:noProof/>
                <w:lang w:val="en-US"/>
              </w:rPr>
              <w:t xml:space="preserve"> spp.</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3O</w:t>
            </w:r>
          </w:p>
          <w:p>
            <w:pPr>
              <w:spacing w:before="60" w:after="60"/>
              <w:rPr>
                <w:rFonts w:asciiTheme="majorBidi" w:hAnsiTheme="majorBidi" w:cstheme="majorBidi"/>
                <w:noProof/>
                <w:lang w:val="en-US"/>
              </w:rPr>
            </w:pPr>
            <w:r>
              <w:rPr>
                <w:rFonts w:asciiTheme="majorBidi" w:hAnsiTheme="majorBidi" w:cstheme="majorBidi"/>
                <w:noProof/>
                <w:lang w:val="en-US"/>
              </w:rPr>
              <w:t>(RED/N3O.)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Spain</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1 771</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lang w:val="en-US"/>
              </w:rPr>
            </w:pPr>
          </w:p>
        </w:tc>
        <w:tc>
          <w:tcPr>
            <w:tcW w:w="4506" w:type="dxa"/>
            <w:gridSpan w:val="2"/>
            <w:vMerge w:val="restart"/>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Portugal</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5 229</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7 000</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tcBorders>
              <w:top w:val="nil"/>
              <w:left w:val="nil"/>
              <w:bottom w:val="single" w:sz="8" w:space="0" w:color="auto"/>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20 000</w:t>
            </w:r>
          </w:p>
        </w:tc>
        <w:tc>
          <w:tcPr>
            <w:tcW w:w="1196" w:type="dxa"/>
            <w:tcBorders>
              <w:top w:val="nil"/>
              <w:left w:val="nil"/>
              <w:bottom w:val="single" w:sz="8" w:space="0" w:color="auto"/>
              <w:right w:val="nil"/>
            </w:tcBorders>
            <w:noWrap/>
          </w:tcPr>
          <w:p>
            <w:pPr>
              <w:spacing w:before="60" w:after="60"/>
              <w:rPr>
                <w:rFonts w:asciiTheme="majorBidi" w:hAnsiTheme="majorBidi" w:cstheme="majorBidi"/>
                <w:noProof/>
                <w:lang w:val="en-US"/>
              </w:rPr>
            </w:pPr>
          </w:p>
        </w:tc>
        <w:tc>
          <w:tcPr>
            <w:tcW w:w="0" w:type="auto"/>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lang w:val="en-US"/>
              </w:rPr>
            </w:pP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Redfish</w:t>
            </w:r>
          </w:p>
          <w:p>
            <w:pPr>
              <w:spacing w:before="60" w:after="60"/>
              <w:rPr>
                <w:rFonts w:asciiTheme="majorBidi" w:hAnsiTheme="majorBidi" w:cstheme="majorBidi"/>
                <w:noProof/>
                <w:lang w:val="en-US"/>
              </w:rPr>
            </w:pPr>
            <w:r>
              <w:rPr>
                <w:rFonts w:asciiTheme="majorBidi" w:hAnsiTheme="majorBidi" w:cstheme="majorBidi"/>
                <w:i/>
                <w:iCs/>
                <w:noProof/>
                <w:lang w:val="en-US"/>
              </w:rPr>
              <w:t>Sebastes</w:t>
            </w:r>
            <w:r>
              <w:rPr>
                <w:rFonts w:asciiTheme="majorBidi" w:hAnsiTheme="majorBidi" w:cstheme="majorBidi"/>
                <w:noProof/>
                <w:lang w:val="en-US"/>
              </w:rPr>
              <w:t xml:space="preserve"> spp.</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Subarea 2, Divisions 1F and 3K</w:t>
            </w:r>
          </w:p>
          <w:p>
            <w:pPr>
              <w:spacing w:before="60" w:after="60"/>
              <w:rPr>
                <w:rFonts w:asciiTheme="majorBidi" w:hAnsiTheme="majorBidi" w:cstheme="majorBidi"/>
                <w:noProof/>
                <w:lang w:val="en-US"/>
              </w:rPr>
            </w:pPr>
            <w:r>
              <w:rPr>
                <w:rFonts w:asciiTheme="majorBidi" w:hAnsiTheme="majorBidi" w:cstheme="majorBidi"/>
                <w:noProof/>
                <w:lang w:val="en-US"/>
              </w:rPr>
              <w:t>(RED/N1F3K.)</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 xml:space="preserve">Latvia </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tcBorders>
              <w:top w:val="single" w:sz="8" w:space="0" w:color="auto"/>
              <w:left w:val="nil"/>
              <w:bottom w:val="nil"/>
              <w:right w:val="nil"/>
            </w:tcBorders>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Lithuania</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0</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tcBorders>
              <w:top w:val="nil"/>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No directed fisheries are permitted under this quota. This species shall only be taken as by</w:t>
            </w:r>
            <w:r>
              <w:rPr>
                <w:rFonts w:asciiTheme="majorBidi" w:hAnsiTheme="majorBidi" w:cstheme="majorBidi"/>
                <w:noProof/>
                <w:lang w:val="en-US"/>
              </w:rPr>
              <w:noBreakHyphen/>
              <w:t>catch within the following limits: a maximum of 1 250 kg or 5 %, whichever is greater.</w:t>
            </w:r>
          </w:p>
        </w:tc>
      </w:tr>
      <w:tr>
        <w:trPr>
          <w:trHeight w:val="227"/>
        </w:trPr>
        <w:tc>
          <w:tcPr>
            <w:tcW w:w="9747" w:type="dxa"/>
            <w:gridSpan w:val="5"/>
            <w:tcBorders>
              <w:top w:val="nil"/>
              <w:left w:val="nil"/>
              <w:bottom w:val="single" w:sz="8" w:space="0" w:color="auto"/>
              <w:right w:val="nil"/>
            </w:tcBorders>
            <w:noWrap/>
            <w:hideMark/>
          </w:tcPr>
          <w:p>
            <w:pPr>
              <w:rPr>
                <w:rFonts w:asciiTheme="majorBidi" w:hAnsiTheme="majorBidi" w:cstheme="majorBidi"/>
                <w:noProof/>
                <w:lang w:val="en-US"/>
              </w:rPr>
            </w:pPr>
          </w:p>
        </w:tc>
      </w:tr>
      <w:tr>
        <w:trPr>
          <w:trHeight w:val="227"/>
        </w:trPr>
        <w:tc>
          <w:tcPr>
            <w:tcW w:w="1678" w:type="dxa"/>
            <w:tcBorders>
              <w:top w:val="single" w:sz="8" w:space="0" w:color="auto"/>
              <w:left w:val="nil"/>
              <w:bottom w:val="single" w:sz="8" w:space="0" w:color="auto"/>
              <w:right w:val="nil"/>
            </w:tcBorders>
            <w:noWrap/>
            <w:hideMark/>
          </w:tcPr>
          <w:p>
            <w:pPr>
              <w:pageBreakBefore/>
              <w:spacing w:before="60" w:after="60"/>
              <w:rPr>
                <w:rFonts w:asciiTheme="majorBidi" w:hAnsiTheme="majorBidi" w:cstheme="majorBidi"/>
                <w:noProof/>
                <w:szCs w:val="24"/>
                <w:lang w:val="en-US"/>
              </w:rPr>
            </w:pPr>
            <w:r>
              <w:rPr>
                <w:rFonts w:asciiTheme="majorBidi" w:hAnsiTheme="majorBidi" w:cstheme="majorBidi"/>
                <w:noProof/>
                <w:lang w:val="en-US"/>
              </w:rPr>
              <w:t>Species:</w:t>
            </w:r>
          </w:p>
        </w:tc>
        <w:tc>
          <w:tcPr>
            <w:tcW w:w="3563" w:type="dxa"/>
            <w:gridSpan w:val="2"/>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White hake</w:t>
            </w:r>
          </w:p>
          <w:p>
            <w:pPr>
              <w:keepNext/>
              <w:tabs>
                <w:tab w:val="left" w:pos="850"/>
              </w:tabs>
              <w:spacing w:before="60" w:after="60"/>
              <w:ind w:left="850" w:hanging="850"/>
              <w:outlineLvl w:val="0"/>
              <w:rPr>
                <w:rFonts w:asciiTheme="majorBidi" w:hAnsiTheme="majorBidi" w:cstheme="majorBidi"/>
                <w:noProof/>
                <w:lang w:val="en-US"/>
              </w:rPr>
            </w:pPr>
            <w:r>
              <w:rPr>
                <w:rFonts w:asciiTheme="majorBidi" w:hAnsiTheme="majorBidi" w:cstheme="majorBidi"/>
                <w:i/>
                <w:iCs/>
                <w:noProof/>
                <w:lang w:val="en-US"/>
              </w:rPr>
              <w:t>Urophycis tenuis</w:t>
            </w:r>
          </w:p>
        </w:tc>
        <w:tc>
          <w:tcPr>
            <w:tcW w:w="1203" w:type="dxa"/>
            <w:tcBorders>
              <w:top w:val="single" w:sz="8" w:space="0" w:color="auto"/>
              <w:left w:val="single" w:sz="8" w:space="0" w:color="auto"/>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303" w:type="dxa"/>
            <w:tcBorders>
              <w:top w:val="single" w:sz="8" w:space="0" w:color="auto"/>
              <w:left w:val="nil"/>
              <w:bottom w:val="single" w:sz="8" w:space="0" w:color="auto"/>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NAFO 3NO</w:t>
            </w:r>
          </w:p>
          <w:p>
            <w:pPr>
              <w:spacing w:before="60" w:after="60"/>
              <w:rPr>
                <w:rFonts w:asciiTheme="majorBidi" w:hAnsiTheme="majorBidi" w:cstheme="majorBidi"/>
                <w:noProof/>
                <w:lang w:val="en-US"/>
              </w:rPr>
            </w:pPr>
            <w:r>
              <w:rPr>
                <w:rFonts w:asciiTheme="majorBidi" w:hAnsiTheme="majorBidi" w:cstheme="majorBidi"/>
                <w:noProof/>
                <w:lang w:val="en-US"/>
              </w:rPr>
              <w:t>(HKW/N3NO.)</w:t>
            </w:r>
          </w:p>
        </w:tc>
      </w:tr>
      <w:tr>
        <w:trPr>
          <w:trHeight w:val="227"/>
        </w:trPr>
        <w:tc>
          <w:tcPr>
            <w:tcW w:w="1678" w:type="dxa"/>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Spain</w:t>
            </w:r>
          </w:p>
        </w:tc>
        <w:tc>
          <w:tcPr>
            <w:tcW w:w="2367" w:type="dxa"/>
            <w:tcBorders>
              <w:top w:val="single" w:sz="8" w:space="0" w:color="auto"/>
              <w:left w:val="nil"/>
              <w:bottom w:val="nil"/>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255</w:t>
            </w:r>
          </w:p>
        </w:tc>
        <w:tc>
          <w:tcPr>
            <w:tcW w:w="1196" w:type="dxa"/>
            <w:tcBorders>
              <w:top w:val="single" w:sz="8" w:space="0" w:color="auto"/>
              <w:left w:val="nil"/>
              <w:bottom w:val="nil"/>
              <w:right w:val="nil"/>
            </w:tcBorders>
            <w:noWrap/>
          </w:tcPr>
          <w:p>
            <w:pPr>
              <w:spacing w:before="60" w:after="60"/>
              <w:rPr>
                <w:rFonts w:asciiTheme="majorBidi" w:hAnsiTheme="majorBidi" w:cstheme="majorBidi"/>
                <w:noProof/>
                <w:lang w:val="en-US"/>
              </w:rPr>
            </w:pPr>
          </w:p>
        </w:tc>
        <w:tc>
          <w:tcPr>
            <w:tcW w:w="4506" w:type="dxa"/>
            <w:gridSpan w:val="2"/>
            <w:vMerge w:val="restart"/>
            <w:tcBorders>
              <w:top w:val="single" w:sz="8" w:space="0" w:color="auto"/>
              <w:left w:val="nil"/>
              <w:bottom w:val="nil"/>
              <w:right w:val="nil"/>
            </w:tcBorders>
            <w:noWrap/>
            <w:hideMark/>
          </w:tcPr>
          <w:p>
            <w:pPr>
              <w:spacing w:before="60" w:after="60"/>
              <w:rPr>
                <w:rFonts w:asciiTheme="majorBidi" w:hAnsiTheme="majorBidi" w:cstheme="majorBidi"/>
                <w:noProof/>
                <w:lang w:val="en-US"/>
              </w:rPr>
            </w:pPr>
            <w:r>
              <w:rPr>
                <w:rFonts w:asciiTheme="majorBidi" w:hAnsiTheme="majorBidi" w:cstheme="majorBidi"/>
                <w:noProof/>
                <w:lang w:val="en-US"/>
              </w:rPr>
              <w:t>Analytical TAC</w:t>
            </w:r>
          </w:p>
          <w:p>
            <w:pPr>
              <w:spacing w:before="60" w:after="60"/>
              <w:rPr>
                <w:rFonts w:asciiTheme="majorBidi" w:hAnsiTheme="majorBidi" w:cstheme="majorBidi"/>
                <w:noProof/>
                <w:lang w:val="en-US"/>
              </w:rPr>
            </w:pPr>
            <w:r>
              <w:rPr>
                <w:rFonts w:asciiTheme="majorBidi" w:hAnsiTheme="majorBidi" w:cstheme="majorBidi"/>
                <w:noProof/>
                <w:lang w:val="en-US"/>
              </w:rPr>
              <w:t>Article 3 of Regulation (EC) No 847/96 shall not apply</w:t>
            </w:r>
          </w:p>
          <w:p>
            <w:pPr>
              <w:spacing w:before="60" w:after="60"/>
              <w:rPr>
                <w:rFonts w:asciiTheme="majorBidi" w:hAnsiTheme="majorBidi" w:cstheme="majorBidi"/>
                <w:noProof/>
                <w:lang w:val="en-US"/>
              </w:rPr>
            </w:pPr>
            <w:r>
              <w:rPr>
                <w:rFonts w:asciiTheme="majorBidi" w:hAnsiTheme="majorBidi" w:cstheme="majorBidi"/>
                <w:noProof/>
                <w:lang w:val="en-US"/>
              </w:rPr>
              <w:t>Article 4 of Regulation (EC) No 847/96 shall not apply</w:t>
            </w: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Portugal</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333</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Union</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588</w:t>
            </w:r>
          </w:p>
        </w:tc>
        <w:tc>
          <w:tcPr>
            <w:tcW w:w="1196" w:type="dxa"/>
            <w:noWrap/>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2367"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1 000</w:t>
            </w:r>
          </w:p>
        </w:tc>
        <w:tc>
          <w:tcPr>
            <w:tcW w:w="1196" w:type="dxa"/>
            <w:noWrap/>
          </w:tcPr>
          <w:p>
            <w:pPr>
              <w:spacing w:before="60" w:after="60"/>
              <w:rPr>
                <w:rFonts w:asciiTheme="majorBidi" w:hAnsiTheme="majorBidi" w:cstheme="majorBidi"/>
                <w:noProof/>
                <w:lang w:val="en-US"/>
              </w:rPr>
            </w:pPr>
          </w:p>
        </w:tc>
        <w:tc>
          <w:tcPr>
            <w:tcW w:w="0" w:type="auto"/>
            <w:gridSpan w:val="2"/>
            <w:vMerge/>
            <w:tcBorders>
              <w:top w:val="single" w:sz="8" w:space="0" w:color="auto"/>
              <w:left w:val="nil"/>
              <w:bottom w:val="nil"/>
              <w:right w:val="nil"/>
            </w:tcBorders>
            <w:vAlign w:val="center"/>
            <w:hideMark/>
          </w:tcPr>
          <w:p>
            <w:pPr>
              <w:spacing w:before="0" w:after="0"/>
              <w:rPr>
                <w:rFonts w:asciiTheme="majorBidi" w:hAnsiTheme="majorBidi" w:cstheme="majorBidi"/>
                <w:noProof/>
                <w:szCs w:val="24"/>
                <w:lang w:val="en-US"/>
              </w:rPr>
            </w:pPr>
          </w:p>
        </w:tc>
      </w:tr>
      <w:tr>
        <w:trPr>
          <w:trHeight w:val="227"/>
        </w:trPr>
        <w:tc>
          <w:tcPr>
            <w:tcW w:w="1678" w:type="dxa"/>
            <w:vMerge w:val="restart"/>
            <w:tcBorders>
              <w:top w:val="nil"/>
              <w:left w:val="nil"/>
              <w:bottom w:val="single" w:sz="8" w:space="0" w:color="auto"/>
              <w:right w:val="nil"/>
            </w:tcBorders>
            <w:noWrap/>
            <w:hideMark/>
          </w:tcPr>
          <w:p>
            <w:pPr>
              <w:spacing w:before="60" w:after="60"/>
              <w:jc w:val="right"/>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8069" w:type="dxa"/>
            <w:gridSpan w:val="4"/>
            <w:noWrap/>
            <w:hideMark/>
          </w:tcPr>
          <w:p>
            <w:pPr>
              <w:spacing w:before="60" w:after="60"/>
              <w:rPr>
                <w:rFonts w:asciiTheme="majorBidi" w:hAnsiTheme="majorBidi" w:cstheme="majorBidi"/>
                <w:noProof/>
                <w:lang w:val="en-US"/>
              </w:rPr>
            </w:pPr>
            <w:r>
              <w:rPr>
                <w:rFonts w:asciiTheme="majorBidi" w:hAnsiTheme="majorBidi" w:cstheme="majorBidi"/>
                <w:noProof/>
                <w:lang w:val="en-US"/>
              </w:rPr>
              <w:t>Where, in accordance with Annex IA of the NAFO Conservation and Enforcement Measures, a positive vote by the Contracting Parties confirms the TAC to be 2 000 tonnes, the corresponding Union and Member State quotas shall be deemed to be as below:</w:t>
            </w:r>
          </w:p>
        </w:tc>
      </w:tr>
      <w:tr>
        <w:trPr>
          <w:trHeight w:val="227"/>
        </w:trPr>
        <w:tc>
          <w:tcPr>
            <w:tcW w:w="0" w:type="auto"/>
            <w:vMerge/>
            <w:tcBorders>
              <w:top w:val="nil"/>
              <w:left w:val="nil"/>
              <w:bottom w:val="single" w:sz="8" w:space="0" w:color="auto"/>
              <w:right w:val="nil"/>
            </w:tcBorders>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lang w:val="en-US"/>
              </w:rPr>
            </w:pPr>
            <w:r>
              <w:rPr>
                <w:rFonts w:asciiTheme="majorBidi" w:hAnsiTheme="majorBidi" w:cstheme="majorBidi"/>
                <w:noProof/>
                <w:lang w:val="en-US"/>
              </w:rPr>
              <w:t>Spain</w:t>
            </w:r>
          </w:p>
        </w:tc>
        <w:tc>
          <w:tcPr>
            <w:tcW w:w="1196"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509</w:t>
            </w:r>
          </w:p>
        </w:tc>
        <w:tc>
          <w:tcPr>
            <w:tcW w:w="1203" w:type="dxa"/>
            <w:noWrap/>
          </w:tcPr>
          <w:p>
            <w:pPr>
              <w:spacing w:before="60" w:after="60"/>
              <w:rPr>
                <w:rFonts w:asciiTheme="majorBidi" w:hAnsiTheme="majorBidi" w:cstheme="majorBidi"/>
                <w:noProof/>
                <w:lang w:val="en-US"/>
              </w:rPr>
            </w:pPr>
          </w:p>
        </w:tc>
        <w:tc>
          <w:tcPr>
            <w:tcW w:w="3303" w:type="dxa"/>
            <w:noWrap/>
            <w:hideMark/>
          </w:tcPr>
          <w:p>
            <w:pPr>
              <w:rPr>
                <w:rFonts w:asciiTheme="majorBidi" w:hAnsiTheme="majorBidi" w:cstheme="majorBidi"/>
                <w:noProof/>
                <w:lang w:val="en-US"/>
              </w:rPr>
            </w:pPr>
          </w:p>
        </w:tc>
      </w:tr>
      <w:tr>
        <w:trPr>
          <w:trHeight w:val="227"/>
        </w:trPr>
        <w:tc>
          <w:tcPr>
            <w:tcW w:w="0" w:type="auto"/>
            <w:vMerge/>
            <w:tcBorders>
              <w:top w:val="nil"/>
              <w:left w:val="nil"/>
              <w:bottom w:val="single" w:sz="8" w:space="0" w:color="auto"/>
              <w:right w:val="nil"/>
            </w:tcBorders>
            <w:vAlign w:val="center"/>
            <w:hideMark/>
          </w:tcPr>
          <w:p>
            <w:pPr>
              <w:spacing w:before="0" w:after="0"/>
              <w:rPr>
                <w:rFonts w:asciiTheme="majorBidi" w:hAnsiTheme="majorBidi" w:cstheme="majorBidi"/>
                <w:b/>
                <w:bCs/>
                <w:noProof/>
                <w:szCs w:val="24"/>
                <w:vertAlign w:val="superscript"/>
                <w:lang w:val="en-US"/>
              </w:rPr>
            </w:pPr>
          </w:p>
        </w:tc>
        <w:tc>
          <w:tcPr>
            <w:tcW w:w="2367" w:type="dxa"/>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Portugal</w:t>
            </w:r>
          </w:p>
        </w:tc>
        <w:tc>
          <w:tcPr>
            <w:tcW w:w="1196" w:type="dxa"/>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667</w:t>
            </w:r>
          </w:p>
        </w:tc>
        <w:tc>
          <w:tcPr>
            <w:tcW w:w="1203" w:type="dxa"/>
            <w:noWrap/>
          </w:tcPr>
          <w:p>
            <w:pPr>
              <w:spacing w:before="60" w:after="60"/>
              <w:rPr>
                <w:rFonts w:asciiTheme="majorBidi" w:hAnsiTheme="majorBidi" w:cstheme="majorBidi"/>
                <w:noProof/>
                <w:lang w:val="en-US"/>
              </w:rPr>
            </w:pPr>
          </w:p>
        </w:tc>
        <w:tc>
          <w:tcPr>
            <w:tcW w:w="3303" w:type="dxa"/>
            <w:noWrap/>
            <w:hideMark/>
          </w:tcPr>
          <w:p>
            <w:pPr>
              <w:rPr>
                <w:rFonts w:asciiTheme="majorBidi" w:hAnsiTheme="majorBidi" w:cstheme="majorBidi"/>
                <w:noProof/>
                <w:lang w:val="en-US"/>
              </w:rPr>
            </w:pPr>
          </w:p>
        </w:tc>
      </w:tr>
      <w:tr>
        <w:trPr>
          <w:trHeight w:val="227"/>
        </w:trPr>
        <w:tc>
          <w:tcPr>
            <w:tcW w:w="0" w:type="auto"/>
            <w:vMerge/>
            <w:tcBorders>
              <w:top w:val="nil"/>
              <w:left w:val="nil"/>
              <w:bottom w:val="single" w:sz="8" w:space="0" w:color="auto"/>
              <w:right w:val="nil"/>
            </w:tcBorders>
            <w:vAlign w:val="center"/>
            <w:hideMark/>
          </w:tcPr>
          <w:p>
            <w:pPr>
              <w:spacing w:before="0" w:after="0"/>
              <w:rPr>
                <w:rFonts w:asciiTheme="majorBidi" w:hAnsiTheme="majorBidi" w:cstheme="majorBidi"/>
                <w:b/>
                <w:bCs/>
                <w:noProof/>
                <w:szCs w:val="24"/>
                <w:vertAlign w:val="superscript"/>
                <w:lang w:val="en-US"/>
              </w:rPr>
            </w:pPr>
          </w:p>
        </w:tc>
        <w:tc>
          <w:tcPr>
            <w:tcW w:w="2367" w:type="dxa"/>
            <w:tcBorders>
              <w:top w:val="nil"/>
              <w:left w:val="nil"/>
              <w:bottom w:val="single" w:sz="8" w:space="0" w:color="auto"/>
              <w:right w:val="nil"/>
            </w:tcBorders>
            <w:noWrap/>
            <w:hideMark/>
          </w:tcPr>
          <w:p>
            <w:pPr>
              <w:spacing w:before="60" w:after="60"/>
              <w:rPr>
                <w:rFonts w:asciiTheme="majorBidi" w:hAnsiTheme="majorBidi" w:cstheme="majorBidi"/>
                <w:noProof/>
                <w:szCs w:val="24"/>
                <w:lang w:val="en-US"/>
              </w:rPr>
            </w:pPr>
            <w:r>
              <w:rPr>
                <w:rFonts w:asciiTheme="majorBidi" w:hAnsiTheme="majorBidi" w:cstheme="majorBidi"/>
                <w:noProof/>
                <w:lang w:val="en-US"/>
              </w:rPr>
              <w:t>Union</w:t>
            </w:r>
          </w:p>
        </w:tc>
        <w:tc>
          <w:tcPr>
            <w:tcW w:w="1196" w:type="dxa"/>
            <w:tcBorders>
              <w:top w:val="nil"/>
              <w:left w:val="nil"/>
              <w:bottom w:val="single" w:sz="8" w:space="0" w:color="auto"/>
              <w:right w:val="nil"/>
            </w:tcBorders>
            <w:noWrap/>
            <w:hideMark/>
          </w:tcPr>
          <w:p>
            <w:pPr>
              <w:spacing w:before="60" w:after="60"/>
              <w:jc w:val="right"/>
              <w:rPr>
                <w:noProof/>
                <w:color w:val="000000"/>
                <w:lang w:val="en-US" w:eastAsia="en-GB"/>
              </w:rPr>
            </w:pPr>
            <w:r>
              <w:rPr>
                <w:rFonts w:asciiTheme="majorBidi" w:hAnsiTheme="majorBidi" w:cstheme="majorBidi"/>
                <w:noProof/>
                <w:color w:val="000000"/>
                <w:lang w:val="de-DE" w:eastAsia="en-GB"/>
              </w:rPr>
              <w:t>1 176</w:t>
            </w:r>
          </w:p>
        </w:tc>
        <w:tc>
          <w:tcPr>
            <w:tcW w:w="1203" w:type="dxa"/>
            <w:tcBorders>
              <w:top w:val="nil"/>
              <w:left w:val="nil"/>
              <w:bottom w:val="single" w:sz="8" w:space="0" w:color="auto"/>
              <w:right w:val="nil"/>
            </w:tcBorders>
            <w:noWrap/>
          </w:tcPr>
          <w:p>
            <w:pPr>
              <w:spacing w:before="60" w:after="60"/>
              <w:rPr>
                <w:rFonts w:asciiTheme="majorBidi" w:hAnsiTheme="majorBidi" w:cstheme="majorBidi"/>
                <w:noProof/>
                <w:lang w:val="en-US"/>
              </w:rPr>
            </w:pPr>
          </w:p>
        </w:tc>
        <w:tc>
          <w:tcPr>
            <w:tcW w:w="3303" w:type="dxa"/>
            <w:tcBorders>
              <w:top w:val="nil"/>
              <w:left w:val="nil"/>
              <w:bottom w:val="single" w:sz="8" w:space="0" w:color="auto"/>
              <w:right w:val="nil"/>
            </w:tcBorders>
            <w:noWrap/>
            <w:hideMark/>
          </w:tcPr>
          <w:p>
            <w:pPr>
              <w:rPr>
                <w:rFonts w:asciiTheme="majorBidi" w:hAnsiTheme="majorBidi" w:cstheme="majorBidi"/>
                <w:noProof/>
                <w:lang w:val="en-US"/>
              </w:rPr>
            </w:pPr>
          </w:p>
        </w:tc>
      </w:tr>
    </w:tbl>
    <w:p>
      <w:pPr>
        <w:pStyle w:val="Lignefinal"/>
        <w:rPr>
          <w:noProof/>
          <w:szCs w:val="22"/>
        </w:rPr>
      </w:pPr>
    </w:p>
    <w:p>
      <w:pPr>
        <w:spacing w:before="0" w:after="0"/>
        <w:rPr>
          <w:noProof/>
        </w:rPr>
        <w:sectPr>
          <w:pgSz w:w="11907" w:h="16840"/>
          <w:pgMar w:top="1134" w:right="1134" w:bottom="1134" w:left="1134" w:header="567" w:footer="567" w:gutter="0"/>
          <w:pgNumType w:start="84"/>
          <w:cols w:space="720"/>
          <w:docGrid w:linePitch="326"/>
        </w:sectPr>
      </w:pPr>
    </w:p>
    <w:p>
      <w:pPr>
        <w:jc w:val="center"/>
        <w:rPr>
          <w:b/>
          <w:noProof/>
          <w:szCs w:val="24"/>
        </w:rPr>
      </w:pPr>
      <w:r>
        <w:rPr>
          <w:b/>
          <w:noProof/>
        </w:rPr>
        <w:t>ANNEX ID</w:t>
      </w:r>
    </w:p>
    <w:p>
      <w:pPr>
        <w:pStyle w:val="NormalCentered"/>
        <w:rPr>
          <w:noProof/>
        </w:rPr>
      </w:pPr>
      <w:r>
        <w:rPr>
          <w:noProof/>
        </w:rPr>
        <w:t>ICCAT CONVENTION AREA</w:t>
      </w:r>
    </w:p>
    <w:tbl>
      <w:tblPr>
        <w:tblW w:w="5000" w:type="pct"/>
        <w:tblLook w:val="06A0" w:firstRow="1" w:lastRow="0" w:firstColumn="1" w:lastColumn="0" w:noHBand="1" w:noVBand="1"/>
      </w:tblPr>
      <w:tblGrid>
        <w:gridCol w:w="1842"/>
        <w:gridCol w:w="1468"/>
        <w:gridCol w:w="142"/>
        <w:gridCol w:w="1269"/>
        <w:gridCol w:w="28"/>
        <w:gridCol w:w="30"/>
        <w:gridCol w:w="1234"/>
        <w:gridCol w:w="20"/>
        <w:gridCol w:w="3822"/>
      </w:tblGrid>
      <w:tr>
        <w:trPr>
          <w:trHeight w:val="227"/>
        </w:trPr>
        <w:tc>
          <w:tcPr>
            <w:tcW w:w="935" w:type="pct"/>
            <w:tcBorders>
              <w:top w:val="single" w:sz="8" w:space="0" w:color="auto"/>
              <w:left w:val="nil"/>
              <w:bottom w:val="single" w:sz="8" w:space="0" w:color="auto"/>
              <w:right w:val="nil"/>
            </w:tcBorders>
            <w:hideMark/>
          </w:tcPr>
          <w:p>
            <w:pPr>
              <w:spacing w:before="60" w:after="60"/>
              <w:rPr>
                <w:noProof/>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Bluefin tuna</w:t>
            </w:r>
          </w:p>
          <w:p>
            <w:pPr>
              <w:keepNext/>
              <w:tabs>
                <w:tab w:val="left" w:pos="850"/>
              </w:tabs>
              <w:spacing w:before="60" w:after="60"/>
              <w:ind w:left="850" w:hanging="850"/>
              <w:outlineLvl w:val="0"/>
              <w:rPr>
                <w:noProof/>
                <w:lang w:val="de-DE"/>
              </w:rPr>
            </w:pPr>
            <w:bookmarkStart w:id="3" w:name="_Toc26205832"/>
            <w:bookmarkStart w:id="4" w:name="_Toc26207249"/>
            <w:r>
              <w:rPr>
                <w:i/>
                <w:iCs/>
                <w:noProof/>
                <w:lang w:val="de-DE"/>
              </w:rPr>
              <w:t>Thunnus thynnus</w:t>
            </w:r>
            <w:bookmarkEnd w:id="3"/>
            <w:bookmarkEnd w:id="4"/>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en-IE"/>
              </w:rPr>
            </w:pPr>
            <w:r>
              <w:rPr>
                <w:noProof/>
                <w:lang w:val="en-IE"/>
              </w:rPr>
              <w:t>Atlantic Ocean, east of 45° W, and Mediterranean</w:t>
            </w:r>
          </w:p>
          <w:p>
            <w:pPr>
              <w:spacing w:before="60" w:after="60"/>
              <w:rPr>
                <w:noProof/>
                <w:lang w:val="de-DE"/>
              </w:rPr>
            </w:pPr>
            <w:r>
              <w:rPr>
                <w:noProof/>
                <w:lang w:val="de-DE"/>
              </w:rPr>
              <w:t>(BFT/AE45WM)</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Cyprus</w:t>
            </w:r>
          </w:p>
        </w:tc>
        <w:tc>
          <w:tcPr>
            <w:tcW w:w="817" w:type="pct"/>
            <w:gridSpan w:val="2"/>
            <w:tcBorders>
              <w:top w:val="single" w:sz="8"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hideMark/>
          </w:tcPr>
          <w:p>
            <w:pPr>
              <w:spacing w:before="60" w:after="60"/>
              <w:rPr>
                <w:b/>
                <w:bCs/>
                <w:noProof/>
                <w:vertAlign w:val="superscript"/>
                <w:lang w:val="de-DE"/>
              </w:rPr>
            </w:pPr>
            <w:r>
              <w:rPr>
                <w:b/>
                <w:bCs/>
                <w:noProof/>
                <w:vertAlign w:val="superscript"/>
                <w:lang w:val="de-DE"/>
              </w:rPr>
              <w:t>(4)</w:t>
            </w:r>
          </w:p>
        </w:tc>
        <w:tc>
          <w:tcPr>
            <w:tcW w:w="2591" w:type="pct"/>
            <w:gridSpan w:val="4"/>
            <w:vMerge w:val="restart"/>
            <w:tcBorders>
              <w:top w:val="single" w:sz="8" w:space="0" w:color="auto"/>
              <w:left w:val="nil"/>
              <w:bottom w:val="nil"/>
              <w:right w:val="nil"/>
            </w:tcBorders>
            <w:hideMark/>
          </w:tcPr>
          <w:p>
            <w:pPr>
              <w:spacing w:before="60" w:after="60"/>
              <w:rPr>
                <w:noProof/>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935" w:type="pct"/>
            <w:hideMark/>
          </w:tcPr>
          <w:p>
            <w:pPr>
              <w:spacing w:before="60" w:after="60"/>
              <w:rPr>
                <w:noProof/>
                <w:lang w:val="de-DE"/>
              </w:rPr>
            </w:pPr>
            <w:r>
              <w:rPr>
                <w:noProof/>
                <w:lang w:val="de-DE"/>
              </w:rPr>
              <w:t>Greece</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(7)</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Spain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(2)(4)(7)</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France</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 xml:space="preserve">(2)(3)(4) </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Croatia</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(6)</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Italy</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(4)(5)</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Malta</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(4)</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Portugal</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ind w:left="-969"/>
              <w:jc w:val="center"/>
              <w:rPr>
                <w:b/>
                <w:bCs/>
                <w:noProof/>
                <w:vertAlign w:val="superscript"/>
                <w:lang w:val="de-DE"/>
              </w:rPr>
            </w:pPr>
            <w:r>
              <w:rPr>
                <w:b/>
                <w:bCs/>
                <w:noProof/>
                <w:vertAlign w:val="superscript"/>
                <w:lang w:val="pt-PT"/>
              </w:rPr>
              <w:t>(7)</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Other Member States</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(1)</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en-IE"/>
              </w:rPr>
            </w:pPr>
            <w:r>
              <w:rPr>
                <w:noProof/>
                <w:lang w:val="en-IE"/>
              </w:rPr>
              <w:t>Union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noProof/>
                <w:lang w:val="de-DE"/>
              </w:rPr>
            </w:pPr>
            <w:r>
              <w:rPr>
                <w:b/>
                <w:bCs/>
                <w:noProof/>
                <w:vertAlign w:val="superscript"/>
                <w:lang w:val="de-DE"/>
              </w:rPr>
              <w:t>(2)(3)(4)(5)</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en-IE"/>
              </w:rPr>
            </w:pPr>
            <w:r>
              <w:rPr>
                <w:noProof/>
                <w:lang w:val="en-IE"/>
              </w:rPr>
              <w:t>Special additional allocation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pt-PT"/>
              </w:rPr>
              <w:t>(7)</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en-IE"/>
              </w:rPr>
            </w:pPr>
            <w:r>
              <w:rPr>
                <w:noProof/>
                <w:lang w:val="en-IE"/>
              </w:rPr>
              <w:t>TAC</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b/>
                <w:bCs/>
                <w:noProof/>
                <w:vertAlign w:val="superscript"/>
                <w:lang w:val="pt-PT"/>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pageBreakBefore/>
              <w:spacing w:before="60" w:after="60"/>
              <w:rPr>
                <w:b/>
                <w:bCs/>
                <w:noProof/>
                <w:vertAlign w:val="superscript"/>
                <w:lang w:val="de-DE"/>
              </w:rPr>
            </w:pPr>
            <w:r>
              <w:rPr>
                <w:b/>
                <w:bCs/>
                <w:noProof/>
                <w:vertAlign w:val="superscript"/>
                <w:lang w:val="de-DE"/>
              </w:rPr>
              <w:t>(1)</w:t>
            </w:r>
          </w:p>
        </w:tc>
        <w:tc>
          <w:tcPr>
            <w:tcW w:w="4065" w:type="pct"/>
            <w:gridSpan w:val="8"/>
            <w:hideMark/>
          </w:tcPr>
          <w:p>
            <w:pPr>
              <w:spacing w:before="60" w:after="60"/>
              <w:rPr>
                <w:noProof/>
                <w:lang w:val="en-IE"/>
              </w:rPr>
            </w:pPr>
            <w:r>
              <w:rPr>
                <w:noProof/>
                <w:lang w:val="en-IE"/>
              </w:rPr>
              <w:t>Except Cyprus, Greece, Spain, France, Croatia, Italy, Malta and Portugal, and exclusively as by</w:t>
            </w:r>
            <w:r>
              <w:rPr>
                <w:noProof/>
                <w:lang w:val="en-IE"/>
              </w:rPr>
              <w:noBreakHyphen/>
              <w:t>catch. Catches to be counted against this shared quota shall be reported separately (BFT/AE45WM_AMS).</w:t>
            </w:r>
          </w:p>
        </w:tc>
      </w:tr>
      <w:tr>
        <w:trPr>
          <w:trHeight w:val="227"/>
        </w:trPr>
        <w:tc>
          <w:tcPr>
            <w:tcW w:w="935" w:type="pct"/>
            <w:vMerge w:val="restart"/>
            <w:hideMark/>
          </w:tcPr>
          <w:p>
            <w:pPr>
              <w:spacing w:before="60" w:after="60"/>
              <w:jc w:val="right"/>
              <w:rPr>
                <w:b/>
                <w:bCs/>
                <w:noProof/>
                <w:vertAlign w:val="superscript"/>
                <w:lang w:val="de-DE"/>
              </w:rPr>
            </w:pPr>
            <w:r>
              <w:rPr>
                <w:b/>
                <w:bCs/>
                <w:noProof/>
                <w:vertAlign w:val="superscript"/>
                <w:lang w:val="de-DE"/>
              </w:rPr>
              <w:t>(2)</w:t>
            </w:r>
          </w:p>
        </w:tc>
        <w:tc>
          <w:tcPr>
            <w:tcW w:w="4065" w:type="pct"/>
            <w:gridSpan w:val="8"/>
            <w:hideMark/>
          </w:tcPr>
          <w:p>
            <w:pPr>
              <w:spacing w:before="60" w:after="60"/>
              <w:rPr>
                <w:noProof/>
                <w:lang w:val="en-IE"/>
              </w:rPr>
            </w:pPr>
            <w:r>
              <w:rPr>
                <w:noProof/>
                <w:lang w:val="en-IE"/>
              </w:rPr>
              <w:t>Special condition: within this TAC, the following catch limits and allocation between Member States shall apply to catches of bluefin tuna between 8 kg/75 cm and 30 kg/115 cm by the vessels referred to in point 1 of Annex VI (BFT/*8301):</w:t>
            </w: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lang w:val="de-DE"/>
              </w:rPr>
            </w:pPr>
            <w:r>
              <w:rPr>
                <w:noProof/>
                <w:lang w:val="de-DE"/>
              </w:rPr>
              <w:t xml:space="preserve">Spain </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szCs w:val="24"/>
                <w:lang w:val="de-DE"/>
              </w:rPr>
            </w:pPr>
            <w:r>
              <w:rPr>
                <w:noProof/>
                <w:lang w:val="de-DE"/>
              </w:rPr>
              <w:t>France</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szCs w:val="24"/>
                <w:lang w:val="de-DE"/>
              </w:rPr>
            </w:pPr>
            <w:r>
              <w:rPr>
                <w:noProof/>
                <w:lang w:val="de-DE"/>
              </w:rPr>
              <w:t>Union</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935" w:type="pct"/>
            <w:vMerge w:val="restart"/>
            <w:hideMark/>
          </w:tcPr>
          <w:p>
            <w:pPr>
              <w:spacing w:before="60" w:after="60"/>
              <w:jc w:val="right"/>
              <w:rPr>
                <w:b/>
                <w:bCs/>
                <w:noProof/>
                <w:szCs w:val="24"/>
                <w:vertAlign w:val="superscript"/>
                <w:lang w:val="de-DE"/>
              </w:rPr>
            </w:pPr>
            <w:r>
              <w:rPr>
                <w:b/>
                <w:bCs/>
                <w:noProof/>
                <w:vertAlign w:val="superscript"/>
                <w:lang w:val="de-DE"/>
              </w:rPr>
              <w:t>(3)</w:t>
            </w:r>
          </w:p>
        </w:tc>
        <w:tc>
          <w:tcPr>
            <w:tcW w:w="4065" w:type="pct"/>
            <w:gridSpan w:val="8"/>
            <w:hideMark/>
          </w:tcPr>
          <w:p>
            <w:pPr>
              <w:spacing w:before="60" w:after="60"/>
              <w:rPr>
                <w:noProof/>
                <w:lang w:val="en-IE"/>
              </w:rPr>
            </w:pPr>
            <w:r>
              <w:rPr>
                <w:noProof/>
                <w:lang w:val="en-IE"/>
              </w:rPr>
              <w:t>Special condition: within this TAC, the following catch limits and allocation between Member States shall apply to catches of bluefin tuna weighing no less than 6,4 kg or measuring no less than 70 cm by the vessels referred to in point 1 of Annex VI (BFT/*641):</w:t>
            </w: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lang w:val="de-DE"/>
              </w:rPr>
            </w:pPr>
            <w:r>
              <w:rPr>
                <w:noProof/>
                <w:lang w:val="de-DE"/>
              </w:rPr>
              <w:t>France</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szCs w:val="24"/>
                <w:lang w:val="de-DE"/>
              </w:rPr>
            </w:pPr>
            <w:r>
              <w:rPr>
                <w:noProof/>
                <w:lang w:val="de-DE"/>
              </w:rPr>
              <w:t xml:space="preserve">Union </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935" w:type="pct"/>
            <w:vMerge w:val="restart"/>
            <w:hideMark/>
          </w:tcPr>
          <w:p>
            <w:pPr>
              <w:spacing w:before="60" w:after="60"/>
              <w:jc w:val="right"/>
              <w:rPr>
                <w:b/>
                <w:bCs/>
                <w:noProof/>
                <w:szCs w:val="24"/>
                <w:vertAlign w:val="superscript"/>
                <w:lang w:val="de-DE"/>
              </w:rPr>
            </w:pPr>
            <w:r>
              <w:rPr>
                <w:b/>
                <w:bCs/>
                <w:noProof/>
                <w:vertAlign w:val="superscript"/>
                <w:lang w:val="de-DE"/>
              </w:rPr>
              <w:t>(4)</w:t>
            </w:r>
          </w:p>
        </w:tc>
        <w:tc>
          <w:tcPr>
            <w:tcW w:w="4065" w:type="pct"/>
            <w:gridSpan w:val="8"/>
            <w:hideMark/>
          </w:tcPr>
          <w:p>
            <w:pPr>
              <w:spacing w:before="60" w:after="60"/>
              <w:rPr>
                <w:noProof/>
                <w:lang w:val="en-IE"/>
              </w:rPr>
            </w:pPr>
            <w:r>
              <w:rPr>
                <w:noProof/>
                <w:lang w:val="en-IE"/>
              </w:rPr>
              <w:t>Special condition: within this TAC, the following catch limits and allocations between Member States shall apply to catches of bluefin tuna between 8 kg/75 cm and 30 kg/115 cm by the vessels referred to in point 2 of Annex VI (BFT/*8302):</w:t>
            </w: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lang w:val="de-DE"/>
              </w:rPr>
            </w:pPr>
            <w:r>
              <w:rPr>
                <w:noProof/>
                <w:lang w:val="de-DE"/>
              </w:rPr>
              <w:t>Spain</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szCs w:val="24"/>
                <w:lang w:val="de-DE"/>
              </w:rPr>
            </w:pPr>
            <w:r>
              <w:rPr>
                <w:noProof/>
                <w:lang w:val="de-DE"/>
              </w:rPr>
              <w:t>France</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szCs w:val="24"/>
                <w:lang w:val="de-DE"/>
              </w:rPr>
            </w:pPr>
            <w:r>
              <w:rPr>
                <w:noProof/>
                <w:lang w:val="de-DE"/>
              </w:rPr>
              <w:t>Italy</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szCs w:val="24"/>
                <w:lang w:val="de-DE"/>
              </w:rPr>
            </w:pPr>
            <w:r>
              <w:rPr>
                <w:noProof/>
                <w:lang w:val="de-DE"/>
              </w:rPr>
              <w:t>Cyprus</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szCs w:val="24"/>
                <w:lang w:val="de-DE"/>
              </w:rPr>
            </w:pPr>
            <w:r>
              <w:rPr>
                <w:noProof/>
                <w:lang w:val="de-DE"/>
              </w:rPr>
              <w:t xml:space="preserve">Malta </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szCs w:val="24"/>
                <w:lang w:val="de-DE"/>
              </w:rPr>
            </w:pPr>
            <w:r>
              <w:rPr>
                <w:noProof/>
                <w:lang w:val="de-DE"/>
              </w:rPr>
              <w:t>Union</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935" w:type="pct"/>
            <w:vMerge w:val="restart"/>
            <w:hideMark/>
          </w:tcPr>
          <w:p>
            <w:pPr>
              <w:pageBreakBefore/>
              <w:spacing w:before="60" w:after="60"/>
              <w:rPr>
                <w:b/>
                <w:bCs/>
                <w:noProof/>
                <w:szCs w:val="24"/>
                <w:vertAlign w:val="superscript"/>
                <w:lang w:val="de-DE"/>
              </w:rPr>
            </w:pPr>
            <w:r>
              <w:rPr>
                <w:b/>
                <w:bCs/>
                <w:noProof/>
                <w:vertAlign w:val="superscript"/>
                <w:lang w:val="de-DE"/>
              </w:rPr>
              <w:t>(5)</w:t>
            </w:r>
          </w:p>
        </w:tc>
        <w:tc>
          <w:tcPr>
            <w:tcW w:w="4065" w:type="pct"/>
            <w:gridSpan w:val="8"/>
            <w:hideMark/>
          </w:tcPr>
          <w:p>
            <w:pPr>
              <w:spacing w:before="60" w:after="60"/>
              <w:rPr>
                <w:noProof/>
                <w:lang w:val="en-IE"/>
              </w:rPr>
            </w:pPr>
            <w:r>
              <w:rPr>
                <w:noProof/>
                <w:lang w:val="en-IE"/>
              </w:rPr>
              <w:t>Special condition: within this TAC, the following catch limits and allocations between Member States shall apply to catches of bluefin tuna between 8 kg/75 cm and 30 kg/115 cm by the vessels referred to in point 3 of Annex VI (BFT/*643):</w:t>
            </w: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lang w:val="de-DE"/>
              </w:rPr>
            </w:pPr>
            <w:r>
              <w:rPr>
                <w:noProof/>
                <w:lang w:val="de-DE"/>
              </w:rPr>
              <w:t>Italy</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szCs w:val="24"/>
                <w:lang w:val="de-DE"/>
              </w:rPr>
            </w:pPr>
            <w:r>
              <w:rPr>
                <w:noProof/>
                <w:lang w:val="de-DE"/>
              </w:rPr>
              <w:t>Union</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935" w:type="pct"/>
            <w:vMerge w:val="restart"/>
            <w:hideMark/>
          </w:tcPr>
          <w:p>
            <w:pPr>
              <w:spacing w:before="60" w:after="60"/>
              <w:jc w:val="right"/>
              <w:rPr>
                <w:b/>
                <w:bCs/>
                <w:noProof/>
                <w:szCs w:val="24"/>
                <w:vertAlign w:val="superscript"/>
                <w:lang w:val="de-DE"/>
              </w:rPr>
            </w:pPr>
            <w:r>
              <w:rPr>
                <w:b/>
                <w:bCs/>
                <w:noProof/>
                <w:vertAlign w:val="superscript"/>
                <w:lang w:val="de-DE"/>
              </w:rPr>
              <w:t>(6)</w:t>
            </w:r>
          </w:p>
        </w:tc>
        <w:tc>
          <w:tcPr>
            <w:tcW w:w="4065" w:type="pct"/>
            <w:gridSpan w:val="8"/>
            <w:hideMark/>
          </w:tcPr>
          <w:p>
            <w:pPr>
              <w:spacing w:before="60" w:after="60"/>
              <w:rPr>
                <w:noProof/>
                <w:lang w:val="en-IE"/>
              </w:rPr>
            </w:pPr>
            <w:r>
              <w:rPr>
                <w:noProof/>
                <w:lang w:val="en-IE"/>
              </w:rPr>
              <w:t>Special Condition: within this TAC, the following catch limits and allocations between Member States shall apply to catches of bluefin tuna between 8 kg/75 cm and 30 kg/115 cm by the vessels referred to in point 3 of Annex VI for farming purposes (BFT/*8303F):</w:t>
            </w: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lang w:val="de-DE"/>
              </w:rPr>
            </w:pPr>
            <w:r>
              <w:rPr>
                <w:noProof/>
                <w:lang w:val="de-DE"/>
              </w:rPr>
              <w:t>Croatia</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0" w:type="auto"/>
            <w:vMerge/>
            <w:vAlign w:val="center"/>
            <w:hideMark/>
          </w:tcPr>
          <w:p>
            <w:pPr>
              <w:spacing w:before="0" w:after="0"/>
              <w:rPr>
                <w:b/>
                <w:bCs/>
                <w:noProof/>
                <w:szCs w:val="24"/>
                <w:vertAlign w:val="superscript"/>
                <w:lang w:val="de-DE"/>
              </w:rPr>
            </w:pPr>
          </w:p>
        </w:tc>
        <w:tc>
          <w:tcPr>
            <w:tcW w:w="817" w:type="pct"/>
            <w:gridSpan w:val="2"/>
            <w:hideMark/>
          </w:tcPr>
          <w:p>
            <w:pPr>
              <w:spacing w:before="60" w:after="60"/>
              <w:rPr>
                <w:noProof/>
                <w:szCs w:val="24"/>
                <w:lang w:val="de-DE"/>
              </w:rPr>
            </w:pPr>
            <w:r>
              <w:rPr>
                <w:noProof/>
                <w:lang w:val="de-DE"/>
              </w:rPr>
              <w:t>Union</w:t>
            </w:r>
          </w:p>
        </w:tc>
        <w:tc>
          <w:tcPr>
            <w:tcW w:w="658"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1" w:type="pct"/>
            <w:gridSpan w:val="3"/>
          </w:tcPr>
          <w:p>
            <w:pPr>
              <w:spacing w:before="60" w:after="60"/>
              <w:rPr>
                <w:noProof/>
                <w:lang w:val="de-DE"/>
              </w:rPr>
            </w:pPr>
          </w:p>
        </w:tc>
        <w:tc>
          <w:tcPr>
            <w:tcW w:w="1939" w:type="pct"/>
            <w:hideMark/>
          </w:tcPr>
          <w:p>
            <w:pPr>
              <w:rPr>
                <w:noProof/>
                <w:lang w:val="de-DE"/>
              </w:rPr>
            </w:pPr>
          </w:p>
        </w:tc>
      </w:tr>
      <w:tr>
        <w:trPr>
          <w:trHeight w:val="227"/>
        </w:trPr>
        <w:tc>
          <w:tcPr>
            <w:tcW w:w="935" w:type="pct"/>
            <w:vMerge w:val="restart"/>
            <w:tcBorders>
              <w:top w:val="nil"/>
              <w:left w:val="nil"/>
              <w:bottom w:val="single" w:sz="4" w:space="0" w:color="auto"/>
              <w:right w:val="nil"/>
            </w:tcBorders>
            <w:hideMark/>
          </w:tcPr>
          <w:p>
            <w:pPr>
              <w:spacing w:before="60" w:after="60"/>
              <w:jc w:val="right"/>
              <w:rPr>
                <w:noProof/>
                <w:szCs w:val="24"/>
                <w:lang w:val="de-DE"/>
              </w:rPr>
            </w:pPr>
            <w:r>
              <w:rPr>
                <w:b/>
                <w:bCs/>
                <w:noProof/>
                <w:vertAlign w:val="superscript"/>
                <w:lang w:val="de-DE"/>
              </w:rPr>
              <w:t>(7)</w:t>
            </w:r>
          </w:p>
        </w:tc>
        <w:tc>
          <w:tcPr>
            <w:tcW w:w="4065" w:type="pct"/>
            <w:gridSpan w:val="8"/>
            <w:hideMark/>
          </w:tcPr>
          <w:p>
            <w:pPr>
              <w:spacing w:before="60" w:after="60"/>
              <w:rPr>
                <w:noProof/>
                <w:lang w:val="de-DE"/>
              </w:rPr>
            </w:pPr>
            <w:r>
              <w:rPr>
                <w:noProof/>
                <w:lang w:val="de-DE"/>
              </w:rPr>
              <w:t>As agreed during the 2018 ICCAT Annual Meeting, in 2020 the European Union will receive, in addition to the allocated quota of 19 360 tonnes, an extra allocation of 100 tonnes, exclusively for artisanal vessels from specific archipelagos in Greece (Ionian Islands), Spain (Canary Islands) and Portugal (Azores and Madeira). The specific allocation of this additional quantity to the Member States concerned shall be as follows (BFT/AVARCH):</w:t>
            </w: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lang w:val="de-DE"/>
              </w:rPr>
            </w:pPr>
          </w:p>
        </w:tc>
        <w:tc>
          <w:tcPr>
            <w:tcW w:w="745" w:type="pct"/>
            <w:hideMark/>
          </w:tcPr>
          <w:p>
            <w:pPr>
              <w:spacing w:before="60" w:after="60"/>
              <w:rPr>
                <w:noProof/>
                <w:lang w:val="de-DE"/>
              </w:rPr>
            </w:pPr>
            <w:r>
              <w:rPr>
                <w:noProof/>
                <w:lang w:val="de-DE"/>
              </w:rPr>
              <w:t>Greece</w:t>
            </w:r>
          </w:p>
        </w:tc>
        <w:tc>
          <w:tcPr>
            <w:tcW w:w="716" w:type="pct"/>
            <w:gridSpan w:val="2"/>
            <w:hideMark/>
          </w:tcPr>
          <w:p>
            <w:pPr>
              <w:spacing w:before="60" w:after="60"/>
              <w:jc w:val="right"/>
              <w:rPr>
                <w:noProof/>
                <w:lang w:val="de-DE"/>
              </w:rPr>
            </w:pPr>
            <w:r>
              <w:rPr>
                <w:rFonts w:asciiTheme="majorBidi" w:hAnsiTheme="majorBidi" w:cstheme="majorBidi"/>
                <w:noProof/>
                <w:color w:val="000000"/>
                <w:lang w:val="de-DE" w:eastAsia="en-GB"/>
              </w:rPr>
              <w:t>pm</w:t>
            </w:r>
          </w:p>
        </w:tc>
        <w:tc>
          <w:tcPr>
            <w:tcW w:w="2605" w:type="pct"/>
            <w:gridSpan w:val="5"/>
          </w:tcPr>
          <w:p>
            <w:pPr>
              <w:spacing w:before="60" w:after="60"/>
              <w:rPr>
                <w:noProof/>
                <w:lang w:val="de-DE"/>
              </w:rPr>
            </w:pP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lang w:val="de-DE"/>
              </w:rPr>
            </w:pPr>
          </w:p>
        </w:tc>
        <w:tc>
          <w:tcPr>
            <w:tcW w:w="745" w:type="pct"/>
            <w:hideMark/>
          </w:tcPr>
          <w:p>
            <w:pPr>
              <w:spacing w:before="60" w:after="60"/>
              <w:rPr>
                <w:noProof/>
                <w:lang w:val="de-DE"/>
              </w:rPr>
            </w:pPr>
            <w:r>
              <w:rPr>
                <w:noProof/>
                <w:lang w:val="de-DE"/>
              </w:rPr>
              <w:t>Spain</w:t>
            </w:r>
          </w:p>
        </w:tc>
        <w:tc>
          <w:tcPr>
            <w:tcW w:w="716" w:type="pct"/>
            <w:gridSpan w:val="2"/>
            <w:hideMark/>
          </w:tcPr>
          <w:p>
            <w:pPr>
              <w:spacing w:before="60" w:after="60"/>
              <w:jc w:val="right"/>
              <w:rPr>
                <w:noProof/>
                <w:lang w:val="de-DE"/>
              </w:rPr>
            </w:pPr>
            <w:r>
              <w:rPr>
                <w:rFonts w:asciiTheme="majorBidi" w:hAnsiTheme="majorBidi" w:cstheme="majorBidi"/>
                <w:noProof/>
                <w:color w:val="000000"/>
                <w:lang w:val="de-DE" w:eastAsia="en-GB"/>
              </w:rPr>
              <w:t>pm</w:t>
            </w:r>
          </w:p>
        </w:tc>
        <w:tc>
          <w:tcPr>
            <w:tcW w:w="2605" w:type="pct"/>
            <w:gridSpan w:val="5"/>
          </w:tcPr>
          <w:p>
            <w:pPr>
              <w:spacing w:before="60" w:after="60"/>
              <w:rPr>
                <w:noProof/>
                <w:lang w:val="de-DE"/>
              </w:rPr>
            </w:pP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lang w:val="de-DE"/>
              </w:rPr>
            </w:pPr>
          </w:p>
        </w:tc>
        <w:tc>
          <w:tcPr>
            <w:tcW w:w="745" w:type="pct"/>
            <w:hideMark/>
          </w:tcPr>
          <w:p>
            <w:pPr>
              <w:spacing w:before="60" w:after="60"/>
              <w:rPr>
                <w:noProof/>
                <w:lang w:val="de-DE"/>
              </w:rPr>
            </w:pPr>
            <w:r>
              <w:rPr>
                <w:noProof/>
                <w:lang w:val="de-DE"/>
              </w:rPr>
              <w:t>Portugal</w:t>
            </w:r>
          </w:p>
        </w:tc>
        <w:tc>
          <w:tcPr>
            <w:tcW w:w="716" w:type="pct"/>
            <w:gridSpan w:val="2"/>
            <w:hideMark/>
          </w:tcPr>
          <w:p>
            <w:pPr>
              <w:spacing w:before="60" w:after="60"/>
              <w:jc w:val="right"/>
              <w:rPr>
                <w:noProof/>
                <w:lang w:val="de-DE"/>
              </w:rPr>
            </w:pPr>
            <w:r>
              <w:rPr>
                <w:rFonts w:asciiTheme="majorBidi" w:hAnsiTheme="majorBidi" w:cstheme="majorBidi"/>
                <w:noProof/>
                <w:color w:val="000000"/>
                <w:lang w:val="de-DE" w:eastAsia="en-GB"/>
              </w:rPr>
              <w:t>pm</w:t>
            </w:r>
          </w:p>
        </w:tc>
        <w:tc>
          <w:tcPr>
            <w:tcW w:w="2605" w:type="pct"/>
            <w:gridSpan w:val="5"/>
          </w:tcPr>
          <w:p>
            <w:pPr>
              <w:spacing w:before="60" w:after="60"/>
              <w:rPr>
                <w:noProof/>
                <w:lang w:val="de-DE"/>
              </w:rPr>
            </w:pPr>
          </w:p>
        </w:tc>
      </w:tr>
      <w:tr>
        <w:trPr>
          <w:trHeight w:val="227"/>
        </w:trPr>
        <w:tc>
          <w:tcPr>
            <w:tcW w:w="0" w:type="auto"/>
            <w:vMerge/>
            <w:tcBorders>
              <w:top w:val="nil"/>
              <w:left w:val="nil"/>
              <w:bottom w:val="single" w:sz="4" w:space="0" w:color="auto"/>
              <w:right w:val="nil"/>
            </w:tcBorders>
            <w:vAlign w:val="center"/>
            <w:hideMark/>
          </w:tcPr>
          <w:p>
            <w:pPr>
              <w:spacing w:before="0" w:after="0"/>
              <w:rPr>
                <w:noProof/>
                <w:szCs w:val="24"/>
                <w:lang w:val="de-DE"/>
              </w:rPr>
            </w:pPr>
          </w:p>
        </w:tc>
        <w:tc>
          <w:tcPr>
            <w:tcW w:w="745" w:type="pct"/>
            <w:tcBorders>
              <w:top w:val="nil"/>
              <w:left w:val="nil"/>
              <w:bottom w:val="single" w:sz="4" w:space="0" w:color="auto"/>
              <w:right w:val="nil"/>
            </w:tcBorders>
            <w:hideMark/>
          </w:tcPr>
          <w:p>
            <w:pPr>
              <w:spacing w:before="60" w:after="60"/>
              <w:rPr>
                <w:noProof/>
                <w:lang w:val="de-DE"/>
              </w:rPr>
            </w:pPr>
            <w:r>
              <w:rPr>
                <w:noProof/>
                <w:lang w:val="de-DE"/>
              </w:rPr>
              <w:t>Union</w:t>
            </w:r>
          </w:p>
        </w:tc>
        <w:tc>
          <w:tcPr>
            <w:tcW w:w="716" w:type="pct"/>
            <w:gridSpan w:val="2"/>
            <w:tcBorders>
              <w:top w:val="nil"/>
              <w:left w:val="nil"/>
              <w:bottom w:val="single" w:sz="4" w:space="0" w:color="auto"/>
              <w:right w:val="nil"/>
            </w:tcBorders>
            <w:hideMark/>
          </w:tcPr>
          <w:p>
            <w:pPr>
              <w:spacing w:before="60" w:after="60"/>
              <w:jc w:val="right"/>
              <w:rPr>
                <w:noProof/>
                <w:lang w:val="de-DE"/>
              </w:rPr>
            </w:pPr>
            <w:r>
              <w:rPr>
                <w:rFonts w:asciiTheme="majorBidi" w:hAnsiTheme="majorBidi" w:cstheme="majorBidi"/>
                <w:noProof/>
                <w:color w:val="000000"/>
                <w:lang w:val="de-DE" w:eastAsia="en-GB"/>
              </w:rPr>
              <w:t>pm</w:t>
            </w:r>
          </w:p>
        </w:tc>
        <w:tc>
          <w:tcPr>
            <w:tcW w:w="2605" w:type="pct"/>
            <w:gridSpan w:val="5"/>
            <w:tcBorders>
              <w:top w:val="nil"/>
              <w:left w:val="nil"/>
              <w:bottom w:val="single" w:sz="4" w:space="0" w:color="auto"/>
              <w:right w:val="nil"/>
            </w:tcBorders>
          </w:tcPr>
          <w:p>
            <w:pPr>
              <w:spacing w:before="60" w:after="60"/>
              <w:rPr>
                <w:noProof/>
                <w:lang w:val="de-DE"/>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lang w:val="de-DE"/>
              </w:rPr>
            </w:pPr>
            <w:r>
              <w:rPr>
                <w:noProof/>
              </w:rPr>
              <w:br w:type="page"/>
            </w: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Swordfish</w:t>
            </w:r>
          </w:p>
          <w:p>
            <w:pPr>
              <w:keepNext/>
              <w:tabs>
                <w:tab w:val="left" w:pos="850"/>
              </w:tabs>
              <w:spacing w:before="60" w:after="60"/>
              <w:ind w:left="850" w:hanging="850"/>
              <w:outlineLvl w:val="0"/>
              <w:rPr>
                <w:noProof/>
                <w:lang w:val="de-DE"/>
              </w:rPr>
            </w:pPr>
            <w:bookmarkStart w:id="5" w:name="_Toc26205833"/>
            <w:bookmarkStart w:id="6" w:name="_Toc26207250"/>
            <w:r>
              <w:rPr>
                <w:i/>
                <w:iCs/>
                <w:noProof/>
                <w:lang w:val="de-DE"/>
              </w:rPr>
              <w:t>Xiphias gladius</w:t>
            </w:r>
            <w:bookmarkEnd w:id="5"/>
            <w:bookmarkEnd w:id="6"/>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en-IE"/>
              </w:rPr>
            </w:pPr>
            <w:r>
              <w:rPr>
                <w:noProof/>
                <w:lang w:val="en-IE"/>
              </w:rPr>
              <w:t>Atlantic Ocean, North of 5° N</w:t>
            </w:r>
          </w:p>
          <w:p>
            <w:pPr>
              <w:spacing w:before="60" w:after="60"/>
              <w:rPr>
                <w:noProof/>
                <w:lang w:val="en-IE"/>
              </w:rPr>
            </w:pPr>
            <w:r>
              <w:rPr>
                <w:noProof/>
                <w:lang w:val="en-IE"/>
              </w:rPr>
              <w:t>(SWO/AN05N)</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Spain</w:t>
            </w:r>
          </w:p>
        </w:tc>
        <w:tc>
          <w:tcPr>
            <w:tcW w:w="817" w:type="pct"/>
            <w:gridSpan w:val="2"/>
            <w:tcBorders>
              <w:top w:val="single" w:sz="8"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hideMark/>
          </w:tcPr>
          <w:p>
            <w:pPr>
              <w:spacing w:before="60" w:after="60"/>
              <w:rPr>
                <w:b/>
                <w:bCs/>
                <w:noProof/>
                <w:vertAlign w:val="superscript"/>
                <w:lang w:val="de-DE"/>
              </w:rPr>
            </w:pPr>
            <w:r>
              <w:rPr>
                <w:b/>
                <w:bCs/>
                <w:noProof/>
                <w:vertAlign w:val="superscript"/>
                <w:lang w:val="de-DE"/>
              </w:rPr>
              <w:t>(2)</w:t>
            </w:r>
          </w:p>
        </w:tc>
        <w:tc>
          <w:tcPr>
            <w:tcW w:w="2591" w:type="pct"/>
            <w:gridSpan w:val="4"/>
            <w:vMerge w:val="restart"/>
            <w:tcBorders>
              <w:top w:val="single" w:sz="8" w:space="0" w:color="auto"/>
              <w:left w:val="nil"/>
              <w:bottom w:val="nil"/>
              <w:right w:val="nil"/>
            </w:tcBorders>
            <w:hideMark/>
          </w:tcPr>
          <w:p>
            <w:pPr>
              <w:spacing w:before="60" w:after="60"/>
              <w:rPr>
                <w:noProof/>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935" w:type="pct"/>
            <w:hideMark/>
          </w:tcPr>
          <w:p>
            <w:pPr>
              <w:spacing w:before="60" w:after="60"/>
              <w:rPr>
                <w:noProof/>
                <w:lang w:val="de-DE"/>
              </w:rPr>
            </w:pPr>
            <w:r>
              <w:rPr>
                <w:noProof/>
                <w:lang w:val="de-DE"/>
              </w:rPr>
              <w:t>Portugal</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(2)(3)</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Other Member States</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(1)(2)</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Union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noProof/>
                <w:lang w:val="de-DE"/>
              </w:rPr>
            </w:pPr>
            <w:r>
              <w:rPr>
                <w:b/>
                <w:bCs/>
                <w:noProof/>
                <w:vertAlign w:val="superscript"/>
                <w:lang w:val="de-DE"/>
              </w:rPr>
              <w:t>(4)</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TAC</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jc w:val="right"/>
              <w:rPr>
                <w:b/>
                <w:bCs/>
                <w:noProof/>
                <w:vertAlign w:val="superscript"/>
                <w:lang w:val="de-DE"/>
              </w:rPr>
            </w:pPr>
            <w:r>
              <w:rPr>
                <w:b/>
                <w:bCs/>
                <w:noProof/>
                <w:vertAlign w:val="superscript"/>
                <w:lang w:val="de-DE"/>
              </w:rPr>
              <w:t>(1)</w:t>
            </w:r>
          </w:p>
        </w:tc>
        <w:tc>
          <w:tcPr>
            <w:tcW w:w="4065" w:type="pct"/>
            <w:gridSpan w:val="8"/>
            <w:hideMark/>
          </w:tcPr>
          <w:p>
            <w:pPr>
              <w:spacing w:before="60" w:after="60"/>
              <w:rPr>
                <w:noProof/>
                <w:lang w:val="en-IE"/>
              </w:rPr>
            </w:pPr>
            <w:r>
              <w:rPr>
                <w:noProof/>
                <w:lang w:val="en-IE"/>
              </w:rPr>
              <w:t>Except Spain and Portugal, and exclusively as by</w:t>
            </w:r>
            <w:r>
              <w:rPr>
                <w:noProof/>
                <w:lang w:val="en-IE"/>
              </w:rPr>
              <w:noBreakHyphen/>
              <w:t>catch. Catches to be counted against this shared quota shall be reported separately (SWO/AN05N_AMS).</w:t>
            </w:r>
          </w:p>
        </w:tc>
      </w:tr>
      <w:tr>
        <w:trPr>
          <w:trHeight w:val="227"/>
        </w:trPr>
        <w:tc>
          <w:tcPr>
            <w:tcW w:w="935" w:type="pct"/>
            <w:hideMark/>
          </w:tcPr>
          <w:p>
            <w:pPr>
              <w:spacing w:before="60" w:after="60"/>
              <w:jc w:val="right"/>
              <w:rPr>
                <w:b/>
                <w:bCs/>
                <w:noProof/>
                <w:vertAlign w:val="superscript"/>
                <w:lang w:val="de-DE"/>
              </w:rPr>
            </w:pPr>
            <w:r>
              <w:rPr>
                <w:b/>
                <w:bCs/>
                <w:noProof/>
                <w:vertAlign w:val="superscript"/>
                <w:lang w:val="de-DE"/>
              </w:rPr>
              <w:t>(2)</w:t>
            </w:r>
          </w:p>
        </w:tc>
        <w:tc>
          <w:tcPr>
            <w:tcW w:w="4065" w:type="pct"/>
            <w:gridSpan w:val="8"/>
            <w:hideMark/>
          </w:tcPr>
          <w:p>
            <w:pPr>
              <w:spacing w:before="60" w:after="60"/>
              <w:rPr>
                <w:noProof/>
                <w:lang w:val="en-IE"/>
              </w:rPr>
            </w:pPr>
            <w:r>
              <w:rPr>
                <w:noProof/>
                <w:lang w:val="en-IE"/>
              </w:rPr>
              <w:t>Special condition: up to 2,39 % of this amount may be fished in the Atlantic Ocean, South of 5º N (SWO/*AS05N). Catches to be counted against the special condition of the shared quota shall be reported separately (SWO/*AS05N_AMS).</w:t>
            </w:r>
          </w:p>
        </w:tc>
      </w:tr>
      <w:tr>
        <w:trPr>
          <w:trHeight w:val="227"/>
        </w:trPr>
        <w:tc>
          <w:tcPr>
            <w:tcW w:w="935" w:type="pct"/>
            <w:hideMark/>
          </w:tcPr>
          <w:p>
            <w:pPr>
              <w:spacing w:before="60" w:after="60"/>
              <w:jc w:val="right"/>
              <w:rPr>
                <w:b/>
                <w:bCs/>
                <w:noProof/>
                <w:vertAlign w:val="superscript"/>
                <w:lang w:val="de-DE"/>
              </w:rPr>
            </w:pPr>
            <w:r>
              <w:rPr>
                <w:b/>
                <w:bCs/>
                <w:noProof/>
                <w:vertAlign w:val="superscript"/>
                <w:lang w:val="de-DE"/>
              </w:rPr>
              <w:t>(3)</w:t>
            </w:r>
          </w:p>
        </w:tc>
        <w:tc>
          <w:tcPr>
            <w:tcW w:w="4065" w:type="pct"/>
            <w:gridSpan w:val="8"/>
            <w:hideMark/>
          </w:tcPr>
          <w:p>
            <w:pPr>
              <w:spacing w:before="60" w:after="60"/>
              <w:rPr>
                <w:noProof/>
                <w:lang w:val="en-IE"/>
              </w:rPr>
            </w:pPr>
            <w:r>
              <w:rPr>
                <w:noProof/>
                <w:lang w:val="en-IE"/>
              </w:rPr>
              <w:t>36,34 tonnes have been allocated to Portugal to compensate a double deduction in 2018.</w:t>
            </w: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lang w:val="de-DE"/>
              </w:rPr>
            </w:pPr>
            <w:r>
              <w:rPr>
                <w:b/>
                <w:bCs/>
                <w:noProof/>
                <w:vertAlign w:val="superscript"/>
                <w:lang w:val="de-DE"/>
              </w:rPr>
              <w:t>(4)</w:t>
            </w:r>
          </w:p>
        </w:tc>
        <w:tc>
          <w:tcPr>
            <w:tcW w:w="4065" w:type="pct"/>
            <w:gridSpan w:val="8"/>
            <w:tcBorders>
              <w:top w:val="nil"/>
              <w:left w:val="nil"/>
              <w:bottom w:val="single" w:sz="8" w:space="0" w:color="auto"/>
              <w:right w:val="nil"/>
            </w:tcBorders>
            <w:hideMark/>
          </w:tcPr>
          <w:p>
            <w:pPr>
              <w:spacing w:before="60" w:after="60"/>
              <w:rPr>
                <w:noProof/>
                <w:lang w:val="en-IE"/>
              </w:rPr>
            </w:pPr>
            <w:r>
              <w:rPr>
                <w:noProof/>
                <w:lang w:val="de-DE"/>
              </w:rPr>
              <w:t>After transfer of 40 tonnes to Saint-Pierre et Miquelon (ICCAT Rec. 17-02).</w:t>
            </w:r>
          </w:p>
        </w:tc>
      </w:tr>
      <w:tr>
        <w:trPr>
          <w:trHeight w:val="227"/>
        </w:trPr>
        <w:tc>
          <w:tcPr>
            <w:tcW w:w="5000" w:type="pct"/>
            <w:gridSpan w:val="9"/>
            <w:tcBorders>
              <w:top w:val="nil"/>
              <w:left w:val="nil"/>
              <w:bottom w:val="single" w:sz="8" w:space="0" w:color="auto"/>
              <w:right w:val="nil"/>
            </w:tcBorders>
            <w:hideMark/>
          </w:tcPr>
          <w:p>
            <w:pPr>
              <w:rPr>
                <w:noProof/>
                <w:lang w:val="en-IE"/>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szCs w:val="24"/>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Swordfish</w:t>
            </w:r>
          </w:p>
          <w:p>
            <w:pPr>
              <w:keepNext/>
              <w:tabs>
                <w:tab w:val="left" w:pos="850"/>
              </w:tabs>
              <w:spacing w:before="60" w:after="60"/>
              <w:ind w:left="850" w:hanging="850"/>
              <w:outlineLvl w:val="0"/>
              <w:rPr>
                <w:noProof/>
                <w:lang w:val="de-DE"/>
              </w:rPr>
            </w:pPr>
            <w:bookmarkStart w:id="7" w:name="_Toc26205834"/>
            <w:bookmarkStart w:id="8" w:name="_Toc26207251"/>
            <w:r>
              <w:rPr>
                <w:i/>
                <w:iCs/>
                <w:noProof/>
                <w:lang w:val="de-DE"/>
              </w:rPr>
              <w:t>Xiphias gladius</w:t>
            </w:r>
            <w:bookmarkEnd w:id="7"/>
            <w:bookmarkEnd w:id="8"/>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en-IE"/>
              </w:rPr>
            </w:pPr>
            <w:r>
              <w:rPr>
                <w:noProof/>
                <w:lang w:val="en-IE"/>
              </w:rPr>
              <w:t>Atlantic Ocean, South of 5° N</w:t>
            </w:r>
          </w:p>
          <w:p>
            <w:pPr>
              <w:spacing w:before="60" w:after="60"/>
              <w:rPr>
                <w:noProof/>
                <w:lang w:val="en-IE"/>
              </w:rPr>
            </w:pPr>
            <w:r>
              <w:rPr>
                <w:noProof/>
                <w:lang w:val="en-IE"/>
              </w:rPr>
              <w:t>(SWO/AS05N)</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Spain</w:t>
            </w:r>
          </w:p>
        </w:tc>
        <w:tc>
          <w:tcPr>
            <w:tcW w:w="817" w:type="pct"/>
            <w:gridSpan w:val="2"/>
            <w:tcBorders>
              <w:top w:val="single" w:sz="8"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hideMark/>
          </w:tcPr>
          <w:p>
            <w:pPr>
              <w:spacing w:before="60" w:after="60"/>
              <w:rPr>
                <w:b/>
                <w:bCs/>
                <w:noProof/>
                <w:vertAlign w:val="superscript"/>
                <w:lang w:val="de-DE"/>
              </w:rPr>
            </w:pPr>
            <w:r>
              <w:rPr>
                <w:b/>
                <w:bCs/>
                <w:noProof/>
                <w:vertAlign w:val="superscript"/>
                <w:lang w:val="de-DE"/>
              </w:rPr>
              <w:t>(1)</w:t>
            </w:r>
          </w:p>
        </w:tc>
        <w:tc>
          <w:tcPr>
            <w:tcW w:w="2591" w:type="pct"/>
            <w:gridSpan w:val="4"/>
            <w:vMerge w:val="restart"/>
            <w:tcBorders>
              <w:top w:val="single" w:sz="8" w:space="0" w:color="auto"/>
              <w:left w:val="nil"/>
              <w:bottom w:val="nil"/>
              <w:right w:val="nil"/>
            </w:tcBorders>
            <w:hideMark/>
          </w:tcPr>
          <w:p>
            <w:pPr>
              <w:spacing w:before="60" w:after="60"/>
              <w:rPr>
                <w:noProof/>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935" w:type="pct"/>
            <w:hideMark/>
          </w:tcPr>
          <w:p>
            <w:pPr>
              <w:spacing w:before="60" w:after="60"/>
              <w:rPr>
                <w:noProof/>
                <w:lang w:val="de-DE"/>
              </w:rPr>
            </w:pPr>
            <w:r>
              <w:rPr>
                <w:noProof/>
                <w:lang w:val="de-DE"/>
              </w:rPr>
              <w:t>Portugal</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(1)</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Union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rPr>
                <w:noProof/>
                <w:color w:val="000000"/>
                <w:lang w:val="de-DE"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szCs w:val="24"/>
                <w:lang w:val="de-DE"/>
              </w:rPr>
            </w:pPr>
            <w:r>
              <w:rPr>
                <w:noProof/>
                <w:lang w:val="de-DE"/>
              </w:rPr>
              <w:t>TAC</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lang w:val="de-DE"/>
              </w:rPr>
            </w:pPr>
            <w:r>
              <w:rPr>
                <w:b/>
                <w:bCs/>
                <w:noProof/>
                <w:vertAlign w:val="superscript"/>
                <w:lang w:val="de-DE"/>
              </w:rPr>
              <w:t>(1)</w:t>
            </w:r>
          </w:p>
        </w:tc>
        <w:tc>
          <w:tcPr>
            <w:tcW w:w="4065" w:type="pct"/>
            <w:gridSpan w:val="8"/>
            <w:tcBorders>
              <w:top w:val="nil"/>
              <w:left w:val="nil"/>
              <w:bottom w:val="single" w:sz="8" w:space="0" w:color="auto"/>
              <w:right w:val="nil"/>
            </w:tcBorders>
            <w:hideMark/>
          </w:tcPr>
          <w:p>
            <w:pPr>
              <w:spacing w:before="60" w:after="60"/>
              <w:rPr>
                <w:noProof/>
                <w:lang w:val="en-IE"/>
              </w:rPr>
            </w:pPr>
            <w:r>
              <w:rPr>
                <w:noProof/>
                <w:lang w:val="en-IE"/>
              </w:rPr>
              <w:t>Special condition: up to 3,51 % of this amount may be fished in the Atlantic Ocean, North of 5º N (SWO/*AN05N).</w:t>
            </w:r>
          </w:p>
        </w:tc>
      </w:tr>
      <w:tr>
        <w:trPr>
          <w:trHeight w:val="227"/>
        </w:trPr>
        <w:tc>
          <w:tcPr>
            <w:tcW w:w="5000" w:type="pct"/>
            <w:gridSpan w:val="9"/>
            <w:tcBorders>
              <w:top w:val="nil"/>
              <w:left w:val="nil"/>
              <w:bottom w:val="single" w:sz="4" w:space="0" w:color="auto"/>
              <w:right w:val="nil"/>
            </w:tcBorders>
            <w:hideMark/>
          </w:tcPr>
          <w:p>
            <w:pPr>
              <w:rPr>
                <w:noProof/>
                <w:lang w:val="en-IE"/>
              </w:rPr>
            </w:pPr>
          </w:p>
        </w:tc>
      </w:tr>
      <w:tr>
        <w:trPr>
          <w:trHeight w:val="227"/>
        </w:trPr>
        <w:tc>
          <w:tcPr>
            <w:tcW w:w="935" w:type="pct"/>
            <w:tcBorders>
              <w:top w:val="single" w:sz="4" w:space="0" w:color="auto"/>
              <w:left w:val="nil"/>
              <w:bottom w:val="single" w:sz="4" w:space="0" w:color="auto"/>
              <w:right w:val="nil"/>
            </w:tcBorders>
            <w:hideMark/>
          </w:tcPr>
          <w:p>
            <w:pPr>
              <w:pageBreakBefore/>
              <w:spacing w:before="60" w:after="60"/>
              <w:rPr>
                <w:noProof/>
                <w:szCs w:val="24"/>
                <w:lang w:val="de-DE"/>
              </w:rPr>
            </w:pPr>
            <w:r>
              <w:rPr>
                <w:noProof/>
                <w:lang w:val="de-DE"/>
              </w:rPr>
              <w:t>Species</w:t>
            </w:r>
          </w:p>
        </w:tc>
        <w:tc>
          <w:tcPr>
            <w:tcW w:w="1475" w:type="pct"/>
            <w:gridSpan w:val="4"/>
            <w:tcBorders>
              <w:top w:val="single" w:sz="4" w:space="0" w:color="auto"/>
              <w:left w:val="nil"/>
              <w:bottom w:val="single" w:sz="4" w:space="0" w:color="auto"/>
              <w:right w:val="single" w:sz="4" w:space="0" w:color="auto"/>
            </w:tcBorders>
            <w:hideMark/>
          </w:tcPr>
          <w:p>
            <w:pPr>
              <w:spacing w:before="60" w:after="60"/>
              <w:rPr>
                <w:noProof/>
                <w:lang w:val="de-DE"/>
              </w:rPr>
            </w:pPr>
            <w:r>
              <w:rPr>
                <w:noProof/>
                <w:lang w:val="de-DE"/>
              </w:rPr>
              <w:t>Swordfish</w:t>
            </w:r>
          </w:p>
          <w:p>
            <w:pPr>
              <w:spacing w:before="60" w:after="60"/>
              <w:rPr>
                <w:i/>
                <w:iCs/>
                <w:noProof/>
                <w:lang w:val="de-DE"/>
              </w:rPr>
            </w:pPr>
            <w:r>
              <w:rPr>
                <w:i/>
                <w:iCs/>
                <w:noProof/>
                <w:lang w:val="de-DE"/>
              </w:rPr>
              <w:t>Xiphias gladius</w:t>
            </w:r>
          </w:p>
        </w:tc>
        <w:tc>
          <w:tcPr>
            <w:tcW w:w="651" w:type="pct"/>
            <w:gridSpan w:val="3"/>
            <w:tcBorders>
              <w:top w:val="single" w:sz="4" w:space="0" w:color="auto"/>
              <w:left w:val="single" w:sz="4" w:space="0" w:color="auto"/>
              <w:bottom w:val="single" w:sz="4" w:space="0" w:color="auto"/>
              <w:right w:val="nil"/>
            </w:tcBorders>
            <w:hideMark/>
          </w:tcPr>
          <w:p>
            <w:pPr>
              <w:spacing w:before="60" w:after="60"/>
              <w:rPr>
                <w:noProof/>
                <w:lang w:val="de-DE"/>
              </w:rPr>
            </w:pPr>
            <w:r>
              <w:rPr>
                <w:noProof/>
                <w:lang w:val="de-DE"/>
              </w:rPr>
              <w:t>Zone:</w:t>
            </w:r>
          </w:p>
        </w:tc>
        <w:tc>
          <w:tcPr>
            <w:tcW w:w="1939" w:type="pct"/>
            <w:tcBorders>
              <w:top w:val="single" w:sz="4" w:space="0" w:color="auto"/>
              <w:left w:val="nil"/>
              <w:bottom w:val="single" w:sz="4" w:space="0" w:color="auto"/>
              <w:right w:val="nil"/>
            </w:tcBorders>
            <w:hideMark/>
          </w:tcPr>
          <w:p>
            <w:pPr>
              <w:spacing w:before="60" w:after="60"/>
              <w:rPr>
                <w:noProof/>
                <w:lang w:val="de-DE"/>
              </w:rPr>
            </w:pPr>
            <w:r>
              <w:rPr>
                <w:noProof/>
                <w:lang w:val="de-DE"/>
              </w:rPr>
              <w:t>Mediterranian Sea</w:t>
            </w:r>
          </w:p>
          <w:p>
            <w:pPr>
              <w:spacing w:before="60" w:after="60"/>
              <w:rPr>
                <w:noProof/>
                <w:lang w:val="de-DE"/>
              </w:rPr>
            </w:pPr>
            <w:r>
              <w:rPr>
                <w:noProof/>
                <w:lang w:val="de-DE"/>
              </w:rPr>
              <w:t>(SWO/MED)</w:t>
            </w:r>
          </w:p>
        </w:tc>
      </w:tr>
      <w:tr>
        <w:trPr>
          <w:trHeight w:val="227"/>
        </w:trPr>
        <w:tc>
          <w:tcPr>
            <w:tcW w:w="935" w:type="pct"/>
            <w:tcBorders>
              <w:top w:val="single" w:sz="4" w:space="0" w:color="auto"/>
              <w:left w:val="nil"/>
              <w:bottom w:val="nil"/>
              <w:right w:val="nil"/>
            </w:tcBorders>
            <w:hideMark/>
          </w:tcPr>
          <w:p>
            <w:pPr>
              <w:spacing w:before="60" w:after="60"/>
              <w:rPr>
                <w:noProof/>
                <w:lang w:val="de-DE"/>
              </w:rPr>
            </w:pPr>
            <w:r>
              <w:rPr>
                <w:noProof/>
                <w:lang w:val="de-DE" w:eastAsia="en-GB"/>
              </w:rPr>
              <w:t>Croatia</w:t>
            </w:r>
          </w:p>
        </w:tc>
        <w:tc>
          <w:tcPr>
            <w:tcW w:w="817" w:type="pct"/>
            <w:gridSpan w:val="2"/>
            <w:tcBorders>
              <w:top w:val="single" w:sz="4"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73" w:type="pct"/>
            <w:gridSpan w:val="3"/>
            <w:tcBorders>
              <w:top w:val="single" w:sz="4" w:space="0" w:color="auto"/>
              <w:left w:val="nil"/>
              <w:bottom w:val="nil"/>
              <w:right w:val="nil"/>
            </w:tcBorders>
            <w:hideMark/>
          </w:tcPr>
          <w:p>
            <w:pPr>
              <w:spacing w:before="60" w:after="60"/>
              <w:rPr>
                <w:noProof/>
                <w:lang w:val="de-DE"/>
              </w:rPr>
            </w:pPr>
            <w:r>
              <w:rPr>
                <w:b/>
                <w:bCs/>
                <w:noProof/>
                <w:vertAlign w:val="superscript"/>
                <w:lang w:val="de-DE"/>
              </w:rPr>
              <w:t>(1)</w:t>
            </w:r>
          </w:p>
        </w:tc>
        <w:tc>
          <w:tcPr>
            <w:tcW w:w="2575" w:type="pct"/>
            <w:gridSpan w:val="3"/>
            <w:vMerge w:val="restart"/>
            <w:tcBorders>
              <w:top w:val="single" w:sz="4" w:space="0" w:color="auto"/>
              <w:left w:val="nil"/>
              <w:bottom w:val="nil"/>
              <w:right w:val="nil"/>
            </w:tcBorders>
            <w:hideMark/>
          </w:tcPr>
          <w:p>
            <w:pPr>
              <w:spacing w:before="60" w:after="60"/>
              <w:rPr>
                <w:noProof/>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935" w:type="pct"/>
            <w:hideMark/>
          </w:tcPr>
          <w:p>
            <w:pPr>
              <w:spacing w:before="60" w:after="60"/>
              <w:rPr>
                <w:noProof/>
                <w:lang w:val="de-DE"/>
              </w:rPr>
            </w:pPr>
            <w:r>
              <w:rPr>
                <w:noProof/>
                <w:lang w:val="de-DE" w:eastAsia="en-GB"/>
              </w:rPr>
              <w:t>Cyprus</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73" w:type="pct"/>
            <w:gridSpan w:val="3"/>
            <w:hideMark/>
          </w:tcPr>
          <w:p>
            <w:pPr>
              <w:spacing w:before="60" w:after="60"/>
              <w:rPr>
                <w:noProof/>
                <w:lang w:val="de-DE"/>
              </w:rPr>
            </w:pPr>
            <w:r>
              <w:rPr>
                <w:b/>
                <w:bCs/>
                <w:noProof/>
                <w:vertAlign w:val="superscript"/>
                <w:lang w:val="de-DE"/>
              </w:rPr>
              <w:t>(1)</w:t>
            </w:r>
          </w:p>
        </w:tc>
        <w:tc>
          <w:tcPr>
            <w:tcW w:w="0" w:type="auto"/>
            <w:gridSpan w:val="3"/>
            <w:vMerge/>
            <w:tcBorders>
              <w:top w:val="single" w:sz="4"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Spain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73" w:type="pct"/>
            <w:gridSpan w:val="3"/>
            <w:hideMark/>
          </w:tcPr>
          <w:p>
            <w:pPr>
              <w:spacing w:before="60" w:after="60"/>
              <w:rPr>
                <w:noProof/>
                <w:lang w:val="de-DE"/>
              </w:rPr>
            </w:pPr>
            <w:r>
              <w:rPr>
                <w:b/>
                <w:bCs/>
                <w:noProof/>
                <w:vertAlign w:val="superscript"/>
                <w:lang w:val="de-DE"/>
              </w:rPr>
              <w:t>(1)</w:t>
            </w:r>
          </w:p>
        </w:tc>
        <w:tc>
          <w:tcPr>
            <w:tcW w:w="0" w:type="auto"/>
            <w:gridSpan w:val="3"/>
            <w:vMerge/>
            <w:tcBorders>
              <w:top w:val="single" w:sz="4"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France</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73" w:type="pct"/>
            <w:gridSpan w:val="3"/>
            <w:hideMark/>
          </w:tcPr>
          <w:p>
            <w:pPr>
              <w:spacing w:before="60" w:after="60"/>
              <w:rPr>
                <w:noProof/>
                <w:lang w:val="de-DE"/>
              </w:rPr>
            </w:pPr>
            <w:r>
              <w:rPr>
                <w:b/>
                <w:bCs/>
                <w:noProof/>
                <w:vertAlign w:val="superscript"/>
                <w:lang w:val="de-DE"/>
              </w:rPr>
              <w:t>(1)</w:t>
            </w:r>
          </w:p>
        </w:tc>
        <w:tc>
          <w:tcPr>
            <w:tcW w:w="0" w:type="auto"/>
            <w:gridSpan w:val="3"/>
            <w:vMerge/>
            <w:tcBorders>
              <w:top w:val="single" w:sz="4"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Greece</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73" w:type="pct"/>
            <w:gridSpan w:val="3"/>
            <w:hideMark/>
          </w:tcPr>
          <w:p>
            <w:pPr>
              <w:spacing w:before="60" w:after="60"/>
              <w:rPr>
                <w:noProof/>
                <w:lang w:val="de-DE"/>
              </w:rPr>
            </w:pPr>
            <w:r>
              <w:rPr>
                <w:b/>
                <w:bCs/>
                <w:noProof/>
                <w:vertAlign w:val="superscript"/>
                <w:lang w:val="de-DE"/>
              </w:rPr>
              <w:t>(1)</w:t>
            </w:r>
          </w:p>
        </w:tc>
        <w:tc>
          <w:tcPr>
            <w:tcW w:w="0" w:type="auto"/>
            <w:gridSpan w:val="3"/>
            <w:vMerge/>
            <w:tcBorders>
              <w:top w:val="single" w:sz="4"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Italy</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73" w:type="pct"/>
            <w:gridSpan w:val="3"/>
            <w:hideMark/>
          </w:tcPr>
          <w:p>
            <w:pPr>
              <w:spacing w:before="60" w:after="60"/>
              <w:rPr>
                <w:noProof/>
                <w:lang w:val="de-DE"/>
              </w:rPr>
            </w:pPr>
            <w:r>
              <w:rPr>
                <w:b/>
                <w:bCs/>
                <w:noProof/>
                <w:vertAlign w:val="superscript"/>
                <w:lang w:val="de-DE"/>
              </w:rPr>
              <w:t>(1)</w:t>
            </w:r>
          </w:p>
        </w:tc>
        <w:tc>
          <w:tcPr>
            <w:tcW w:w="0" w:type="auto"/>
            <w:gridSpan w:val="3"/>
            <w:vMerge/>
            <w:tcBorders>
              <w:top w:val="single" w:sz="4"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Malta</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73" w:type="pct"/>
            <w:gridSpan w:val="3"/>
            <w:hideMark/>
          </w:tcPr>
          <w:p>
            <w:pPr>
              <w:spacing w:before="60" w:after="60"/>
              <w:rPr>
                <w:noProof/>
                <w:lang w:val="de-DE"/>
              </w:rPr>
            </w:pPr>
            <w:r>
              <w:rPr>
                <w:b/>
                <w:bCs/>
                <w:noProof/>
                <w:vertAlign w:val="superscript"/>
                <w:lang w:val="de-DE"/>
              </w:rPr>
              <w:t>(1)</w:t>
            </w:r>
          </w:p>
        </w:tc>
        <w:tc>
          <w:tcPr>
            <w:tcW w:w="0" w:type="auto"/>
            <w:gridSpan w:val="3"/>
            <w:vMerge/>
            <w:tcBorders>
              <w:top w:val="single" w:sz="4"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Union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73" w:type="pct"/>
            <w:gridSpan w:val="3"/>
            <w:hideMark/>
          </w:tcPr>
          <w:p>
            <w:pPr>
              <w:spacing w:before="60" w:after="60"/>
              <w:rPr>
                <w:noProof/>
                <w:lang w:val="de-DE"/>
              </w:rPr>
            </w:pPr>
            <w:r>
              <w:rPr>
                <w:b/>
                <w:bCs/>
                <w:noProof/>
                <w:vertAlign w:val="superscript"/>
                <w:lang w:val="de-DE"/>
              </w:rPr>
              <w:t>(1)</w:t>
            </w:r>
          </w:p>
        </w:tc>
        <w:tc>
          <w:tcPr>
            <w:tcW w:w="0" w:type="auto"/>
            <w:gridSpan w:val="3"/>
            <w:vMerge/>
            <w:tcBorders>
              <w:top w:val="single" w:sz="4"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TAC</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73" w:type="pct"/>
            <w:gridSpan w:val="3"/>
          </w:tcPr>
          <w:p>
            <w:pPr>
              <w:spacing w:before="60" w:after="60"/>
              <w:rPr>
                <w:noProof/>
                <w:lang w:val="de-DE"/>
              </w:rPr>
            </w:pPr>
          </w:p>
        </w:tc>
        <w:tc>
          <w:tcPr>
            <w:tcW w:w="0" w:type="auto"/>
            <w:gridSpan w:val="3"/>
            <w:vMerge/>
            <w:tcBorders>
              <w:top w:val="single" w:sz="4" w:space="0" w:color="auto"/>
              <w:left w:val="nil"/>
              <w:bottom w:val="nil"/>
              <w:right w:val="nil"/>
            </w:tcBorders>
            <w:vAlign w:val="center"/>
            <w:hideMark/>
          </w:tcPr>
          <w:p>
            <w:pPr>
              <w:spacing w:before="0" w:after="0"/>
              <w:rPr>
                <w:noProof/>
                <w:szCs w:val="24"/>
                <w:lang w:val="en-IE"/>
              </w:rPr>
            </w:pPr>
          </w:p>
        </w:tc>
      </w:tr>
      <w:tr>
        <w:trPr>
          <w:trHeight w:val="227"/>
        </w:trPr>
        <w:tc>
          <w:tcPr>
            <w:tcW w:w="935" w:type="pct"/>
            <w:tcBorders>
              <w:top w:val="nil"/>
              <w:left w:val="nil"/>
              <w:bottom w:val="single" w:sz="4" w:space="0" w:color="auto"/>
              <w:right w:val="nil"/>
            </w:tcBorders>
            <w:hideMark/>
          </w:tcPr>
          <w:p>
            <w:pPr>
              <w:spacing w:before="60" w:after="60"/>
              <w:jc w:val="right"/>
              <w:rPr>
                <w:noProof/>
                <w:lang w:val="de-DE"/>
              </w:rPr>
            </w:pPr>
            <w:r>
              <w:rPr>
                <w:b/>
                <w:bCs/>
                <w:noProof/>
                <w:vertAlign w:val="superscript"/>
                <w:lang w:val="de-DE"/>
              </w:rPr>
              <w:t>(1)</w:t>
            </w:r>
          </w:p>
        </w:tc>
        <w:tc>
          <w:tcPr>
            <w:tcW w:w="4065" w:type="pct"/>
            <w:gridSpan w:val="8"/>
            <w:tcBorders>
              <w:top w:val="nil"/>
              <w:left w:val="nil"/>
              <w:bottom w:val="single" w:sz="4" w:space="0" w:color="auto"/>
              <w:right w:val="nil"/>
            </w:tcBorders>
            <w:hideMark/>
          </w:tcPr>
          <w:p>
            <w:pPr>
              <w:spacing w:before="60" w:after="60"/>
              <w:rPr>
                <w:noProof/>
                <w:lang w:val="en-IE"/>
              </w:rPr>
            </w:pPr>
            <w:r>
              <w:rPr>
                <w:noProof/>
                <w:lang w:val="en-IE"/>
              </w:rPr>
              <w:t>This quota may only be fished from 1 April to 31 December.</w:t>
            </w:r>
          </w:p>
        </w:tc>
      </w:tr>
      <w:tr>
        <w:trPr>
          <w:trHeight w:val="227"/>
        </w:trPr>
        <w:tc>
          <w:tcPr>
            <w:tcW w:w="5000" w:type="pct"/>
            <w:gridSpan w:val="9"/>
            <w:tcBorders>
              <w:top w:val="single" w:sz="4" w:space="0" w:color="auto"/>
              <w:left w:val="nil"/>
              <w:bottom w:val="nil"/>
              <w:right w:val="nil"/>
            </w:tcBorders>
          </w:tcPr>
          <w:p>
            <w:pPr>
              <w:spacing w:before="60" w:after="60"/>
              <w:rPr>
                <w:noProof/>
                <w:lang w:val="en-IE"/>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Northern albacore</w:t>
            </w:r>
          </w:p>
          <w:p>
            <w:pPr>
              <w:keepNext/>
              <w:tabs>
                <w:tab w:val="left" w:pos="850"/>
              </w:tabs>
              <w:spacing w:before="60" w:after="60"/>
              <w:ind w:left="850" w:hanging="850"/>
              <w:outlineLvl w:val="0"/>
              <w:rPr>
                <w:noProof/>
                <w:lang w:val="de-DE"/>
              </w:rPr>
            </w:pPr>
            <w:bookmarkStart w:id="9" w:name="_Toc26205835"/>
            <w:bookmarkStart w:id="10" w:name="_Toc26207252"/>
            <w:r>
              <w:rPr>
                <w:i/>
                <w:iCs/>
                <w:noProof/>
                <w:lang w:val="de-DE"/>
              </w:rPr>
              <w:t>Thunnus alalunga</w:t>
            </w:r>
            <w:bookmarkEnd w:id="9"/>
            <w:bookmarkEnd w:id="10"/>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en-IE"/>
              </w:rPr>
            </w:pPr>
            <w:r>
              <w:rPr>
                <w:noProof/>
                <w:lang w:val="en-IE"/>
              </w:rPr>
              <w:t>Atlantic Ocean, north of 5° N</w:t>
            </w:r>
          </w:p>
          <w:p>
            <w:pPr>
              <w:spacing w:before="60" w:after="60"/>
              <w:rPr>
                <w:noProof/>
                <w:lang w:val="en-IE"/>
              </w:rPr>
            </w:pPr>
            <w:r>
              <w:rPr>
                <w:noProof/>
                <w:lang w:val="en-IE"/>
              </w:rPr>
              <w:t>(ALB/AN05N)</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Ireland</w:t>
            </w:r>
          </w:p>
        </w:tc>
        <w:tc>
          <w:tcPr>
            <w:tcW w:w="817" w:type="pct"/>
            <w:gridSpan w:val="2"/>
            <w:tcBorders>
              <w:top w:val="single" w:sz="8"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hideMark/>
          </w:tcPr>
          <w:p>
            <w:pPr>
              <w:rPr>
                <w:noProof/>
                <w:color w:val="000000"/>
                <w:lang w:val="de-DE" w:eastAsia="en-GB"/>
              </w:rPr>
            </w:pPr>
          </w:p>
        </w:tc>
        <w:tc>
          <w:tcPr>
            <w:tcW w:w="2591" w:type="pct"/>
            <w:gridSpan w:val="4"/>
            <w:vMerge w:val="restart"/>
            <w:tcBorders>
              <w:top w:val="single" w:sz="8" w:space="0" w:color="auto"/>
              <w:left w:val="nil"/>
              <w:bottom w:val="nil"/>
              <w:right w:val="nil"/>
            </w:tcBorders>
            <w:hideMark/>
          </w:tcPr>
          <w:p>
            <w:pPr>
              <w:spacing w:before="60" w:after="60"/>
              <w:rPr>
                <w:noProof/>
                <w:szCs w:val="24"/>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935" w:type="pct"/>
            <w:hideMark/>
          </w:tcPr>
          <w:p>
            <w:pPr>
              <w:spacing w:before="60" w:after="60"/>
              <w:rPr>
                <w:noProof/>
                <w:lang w:val="de-DE"/>
              </w:rPr>
            </w:pPr>
            <w:r>
              <w:rPr>
                <w:noProof/>
                <w:lang w:val="de-DE"/>
              </w:rPr>
              <w:t>Spain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rPr>
                <w:noProof/>
                <w:color w:val="000000"/>
                <w:lang w:val="de-DE"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szCs w:val="24"/>
                <w:lang w:val="de-DE"/>
              </w:rPr>
            </w:pPr>
            <w:r>
              <w:rPr>
                <w:noProof/>
                <w:lang w:val="de-DE"/>
              </w:rPr>
              <w:t>France</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rPr>
                <w:noProof/>
                <w:color w:val="000000"/>
                <w:lang w:val="de-DE"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tcPr>
          <w:p>
            <w:pPr>
              <w:spacing w:before="60" w:after="60"/>
              <w:rPr>
                <w:noProof/>
                <w:szCs w:val="24"/>
                <w:lang w:val="de-DE"/>
              </w:rPr>
            </w:pPr>
            <w:r>
              <w:rPr>
                <w:noProof/>
                <w:lang w:val="de-DE"/>
              </w:rPr>
              <w:t>Portugal</w:t>
            </w:r>
          </w:p>
        </w:tc>
        <w:tc>
          <w:tcPr>
            <w:tcW w:w="817" w:type="pct"/>
            <w:gridSpan w:val="2"/>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rPr>
                <w:noProof/>
                <w:color w:val="000000"/>
                <w:lang w:val="de-DE" w:eastAsia="en-GB"/>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tcPr>
          <w:p>
            <w:pPr>
              <w:spacing w:before="60" w:after="60"/>
              <w:rPr>
                <w:noProof/>
                <w:szCs w:val="24"/>
                <w:lang w:val="de-DE"/>
              </w:rPr>
            </w:pPr>
            <w:r>
              <w:rPr>
                <w:noProof/>
                <w:lang w:val="de-DE"/>
              </w:rPr>
              <w:t>Union</w:t>
            </w:r>
          </w:p>
        </w:tc>
        <w:tc>
          <w:tcPr>
            <w:tcW w:w="817" w:type="pct"/>
            <w:gridSpan w:val="2"/>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rPr>
                <w:noProof/>
                <w:color w:val="000000"/>
                <w:lang w:val="de-DE" w:eastAsia="en-GB"/>
              </w:rPr>
            </w:pPr>
            <w:r>
              <w:rPr>
                <w:b/>
                <w:bCs/>
                <w:noProof/>
                <w:vertAlign w:val="superscript"/>
                <w:lang w:val="de-DE"/>
              </w:rPr>
              <w:t>(1)</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TAC</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lang w:val="de-DE"/>
              </w:rPr>
            </w:pPr>
            <w:r>
              <w:rPr>
                <w:b/>
                <w:bCs/>
                <w:noProof/>
                <w:vertAlign w:val="superscript"/>
                <w:lang w:val="de-DE"/>
              </w:rPr>
              <w:t>(1)</w:t>
            </w:r>
          </w:p>
        </w:tc>
        <w:tc>
          <w:tcPr>
            <w:tcW w:w="4065" w:type="pct"/>
            <w:gridSpan w:val="8"/>
            <w:tcBorders>
              <w:top w:val="nil"/>
              <w:left w:val="nil"/>
              <w:bottom w:val="single" w:sz="8" w:space="0" w:color="auto"/>
              <w:right w:val="nil"/>
            </w:tcBorders>
            <w:hideMark/>
          </w:tcPr>
          <w:p>
            <w:pPr>
              <w:spacing w:before="60" w:after="60"/>
              <w:rPr>
                <w:noProof/>
                <w:lang w:val="en-IE"/>
              </w:rPr>
            </w:pPr>
            <w:r>
              <w:rPr>
                <w:noProof/>
                <w:lang w:val="en-IE"/>
              </w:rPr>
              <w:t>The number of Union fishing vessels fishing for northern albacore as a target species, in accordance with Article 12 of Regulation (EC) No 520/2007, shall be as follows:</w:t>
            </w:r>
          </w:p>
          <w:p>
            <w:pPr>
              <w:spacing w:before="60" w:after="60"/>
              <w:rPr>
                <w:noProof/>
                <w:lang w:val="en-IE"/>
              </w:rPr>
            </w:pPr>
            <w:r>
              <w:rPr>
                <w:rFonts w:asciiTheme="majorBidi" w:hAnsiTheme="majorBidi" w:cstheme="majorBidi"/>
                <w:noProof/>
                <w:color w:val="000000"/>
                <w:lang w:val="de-DE" w:eastAsia="en-GB"/>
              </w:rPr>
              <w:t>pm</w:t>
            </w:r>
            <w:r>
              <w:rPr>
                <w:noProof/>
                <w:lang w:val="en-IE"/>
              </w:rPr>
              <w:t>.</w:t>
            </w:r>
          </w:p>
        </w:tc>
      </w:tr>
      <w:tr>
        <w:trPr>
          <w:trHeight w:val="227"/>
        </w:trPr>
        <w:tc>
          <w:tcPr>
            <w:tcW w:w="5000" w:type="pct"/>
            <w:gridSpan w:val="9"/>
            <w:tcBorders>
              <w:top w:val="single" w:sz="8" w:space="0" w:color="auto"/>
              <w:left w:val="nil"/>
              <w:bottom w:val="single" w:sz="8" w:space="0" w:color="auto"/>
              <w:right w:val="nil"/>
            </w:tcBorders>
            <w:hideMark/>
          </w:tcPr>
          <w:p>
            <w:pPr>
              <w:rPr>
                <w:noProof/>
                <w:lang w:val="en-IE"/>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szCs w:val="24"/>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Southern albacore</w:t>
            </w:r>
          </w:p>
          <w:p>
            <w:pPr>
              <w:keepNext/>
              <w:tabs>
                <w:tab w:val="left" w:pos="850"/>
              </w:tabs>
              <w:spacing w:before="60" w:after="60"/>
              <w:ind w:left="850" w:hanging="850"/>
              <w:outlineLvl w:val="0"/>
              <w:rPr>
                <w:noProof/>
                <w:lang w:val="de-DE"/>
              </w:rPr>
            </w:pPr>
            <w:bookmarkStart w:id="11" w:name="_Toc26205836"/>
            <w:bookmarkStart w:id="12" w:name="_Toc26207253"/>
            <w:r>
              <w:rPr>
                <w:i/>
                <w:iCs/>
                <w:noProof/>
                <w:lang w:val="de-DE"/>
              </w:rPr>
              <w:t>Thunnus alalunga</w:t>
            </w:r>
            <w:bookmarkEnd w:id="11"/>
            <w:bookmarkEnd w:id="12"/>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en-IE"/>
              </w:rPr>
            </w:pPr>
            <w:r>
              <w:rPr>
                <w:noProof/>
                <w:lang w:val="en-IE"/>
              </w:rPr>
              <w:t>Atlantic Ocean, south of 5° N</w:t>
            </w:r>
          </w:p>
          <w:p>
            <w:pPr>
              <w:spacing w:before="60" w:after="60"/>
              <w:rPr>
                <w:noProof/>
                <w:lang w:val="en-IE"/>
              </w:rPr>
            </w:pPr>
            <w:r>
              <w:rPr>
                <w:noProof/>
                <w:lang w:val="en-IE"/>
              </w:rPr>
              <w:t>(ALB/AS05N)</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Spain</w:t>
            </w:r>
          </w:p>
        </w:tc>
        <w:tc>
          <w:tcPr>
            <w:tcW w:w="817" w:type="pct"/>
            <w:gridSpan w:val="2"/>
            <w:tcBorders>
              <w:top w:val="single" w:sz="8"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tcPr>
          <w:p>
            <w:pPr>
              <w:spacing w:before="60" w:after="60"/>
              <w:rPr>
                <w:noProof/>
                <w:lang w:val="de-DE"/>
              </w:rPr>
            </w:pPr>
          </w:p>
        </w:tc>
        <w:tc>
          <w:tcPr>
            <w:tcW w:w="2591" w:type="pct"/>
            <w:gridSpan w:val="4"/>
            <w:vMerge w:val="restart"/>
            <w:tcBorders>
              <w:top w:val="single" w:sz="8" w:space="0" w:color="auto"/>
              <w:left w:val="nil"/>
              <w:bottom w:val="single" w:sz="8" w:space="0" w:color="auto"/>
              <w:right w:val="nil"/>
            </w:tcBorders>
            <w:hideMark/>
          </w:tcPr>
          <w:p>
            <w:pPr>
              <w:spacing w:before="60" w:after="60"/>
              <w:rPr>
                <w:noProof/>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935" w:type="pct"/>
            <w:hideMark/>
          </w:tcPr>
          <w:p>
            <w:pPr>
              <w:spacing w:before="60" w:after="60"/>
              <w:rPr>
                <w:noProof/>
                <w:lang w:val="de-DE"/>
              </w:rPr>
            </w:pPr>
            <w:r>
              <w:rPr>
                <w:noProof/>
                <w:lang w:val="de-DE"/>
              </w:rPr>
              <w:t>France</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Portugal</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Union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935" w:type="pct"/>
            <w:tcBorders>
              <w:top w:val="nil"/>
              <w:left w:val="nil"/>
              <w:bottom w:val="single" w:sz="8" w:space="0" w:color="auto"/>
              <w:right w:val="nil"/>
            </w:tcBorders>
            <w:hideMark/>
          </w:tcPr>
          <w:p>
            <w:pPr>
              <w:spacing w:before="60" w:after="60"/>
              <w:rPr>
                <w:noProof/>
                <w:lang w:val="de-DE"/>
              </w:rPr>
            </w:pPr>
            <w:r>
              <w:rPr>
                <w:noProof/>
                <w:lang w:val="de-DE"/>
              </w:rPr>
              <w:t>TAC</w:t>
            </w:r>
          </w:p>
        </w:tc>
        <w:tc>
          <w:tcPr>
            <w:tcW w:w="817" w:type="pct"/>
            <w:gridSpan w:val="2"/>
            <w:tcBorders>
              <w:top w:val="nil"/>
              <w:left w:val="nil"/>
              <w:bottom w:val="single" w:sz="8" w:space="0" w:color="auto"/>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nil"/>
              <w:left w:val="nil"/>
              <w:bottom w:val="single" w:sz="8" w:space="0" w:color="auto"/>
              <w:right w:val="nil"/>
            </w:tcBorders>
          </w:tcPr>
          <w:p>
            <w:pPr>
              <w:spacing w:before="60" w:after="60"/>
              <w:rPr>
                <w:noProof/>
                <w:lang w:val="de-DE"/>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5000" w:type="pct"/>
            <w:gridSpan w:val="9"/>
            <w:tcBorders>
              <w:top w:val="nil"/>
              <w:left w:val="nil"/>
              <w:bottom w:val="single" w:sz="8" w:space="0" w:color="auto"/>
              <w:right w:val="nil"/>
            </w:tcBorders>
            <w:hideMark/>
          </w:tcPr>
          <w:p>
            <w:pPr>
              <w:rPr>
                <w:noProof/>
                <w:lang w:val="de-DE"/>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szCs w:val="24"/>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Bigeye tuna</w:t>
            </w:r>
          </w:p>
          <w:p>
            <w:pPr>
              <w:keepNext/>
              <w:tabs>
                <w:tab w:val="left" w:pos="850"/>
              </w:tabs>
              <w:spacing w:before="60" w:after="60"/>
              <w:ind w:left="850" w:hanging="850"/>
              <w:outlineLvl w:val="0"/>
              <w:rPr>
                <w:noProof/>
                <w:lang w:val="de-DE"/>
              </w:rPr>
            </w:pPr>
            <w:bookmarkStart w:id="13" w:name="_Toc26205837"/>
            <w:bookmarkStart w:id="14" w:name="_Toc26207254"/>
            <w:r>
              <w:rPr>
                <w:i/>
                <w:iCs/>
                <w:noProof/>
                <w:lang w:val="de-DE"/>
              </w:rPr>
              <w:t>Thunnus obesus</w:t>
            </w:r>
            <w:bookmarkEnd w:id="13"/>
            <w:bookmarkEnd w:id="14"/>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de-DE"/>
              </w:rPr>
            </w:pPr>
            <w:r>
              <w:rPr>
                <w:noProof/>
                <w:lang w:val="de-DE"/>
              </w:rPr>
              <w:t>Atlantic Ocean</w:t>
            </w:r>
          </w:p>
          <w:p>
            <w:pPr>
              <w:spacing w:before="60" w:after="60"/>
              <w:rPr>
                <w:noProof/>
                <w:lang w:val="de-DE"/>
              </w:rPr>
            </w:pPr>
            <w:r>
              <w:rPr>
                <w:noProof/>
                <w:lang w:val="de-DE"/>
              </w:rPr>
              <w:t>(BET/ATLANT)</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Spain</w:t>
            </w:r>
          </w:p>
        </w:tc>
        <w:tc>
          <w:tcPr>
            <w:tcW w:w="817" w:type="pct"/>
            <w:gridSpan w:val="2"/>
            <w:tcBorders>
              <w:top w:val="single" w:sz="8"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tcPr>
          <w:p>
            <w:pPr>
              <w:spacing w:before="60" w:after="60"/>
              <w:rPr>
                <w:noProof/>
                <w:lang w:val="de-DE"/>
              </w:rPr>
            </w:pPr>
            <w:r>
              <w:rPr>
                <w:b/>
                <w:bCs/>
                <w:noProof/>
                <w:vertAlign w:val="superscript"/>
                <w:lang w:val="de-DE"/>
              </w:rPr>
              <w:t>(1)(2)</w:t>
            </w:r>
          </w:p>
        </w:tc>
        <w:tc>
          <w:tcPr>
            <w:tcW w:w="2591" w:type="pct"/>
            <w:gridSpan w:val="4"/>
            <w:vMerge w:val="restart"/>
            <w:tcBorders>
              <w:top w:val="single" w:sz="8" w:space="0" w:color="auto"/>
              <w:left w:val="nil"/>
              <w:bottom w:val="single" w:sz="8" w:space="0" w:color="auto"/>
              <w:right w:val="nil"/>
            </w:tcBorders>
            <w:hideMark/>
          </w:tcPr>
          <w:p>
            <w:pPr>
              <w:spacing w:before="60" w:after="60"/>
              <w:rPr>
                <w:noProof/>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935" w:type="pct"/>
            <w:hideMark/>
          </w:tcPr>
          <w:p>
            <w:pPr>
              <w:spacing w:before="60" w:after="60"/>
              <w:rPr>
                <w:noProof/>
                <w:lang w:val="de-DE"/>
              </w:rPr>
            </w:pPr>
            <w:r>
              <w:rPr>
                <w:noProof/>
                <w:lang w:val="de-DE"/>
              </w:rPr>
              <w:t>France</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r>
              <w:rPr>
                <w:b/>
                <w:bCs/>
                <w:noProof/>
                <w:vertAlign w:val="superscript"/>
                <w:lang w:val="de-DE"/>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Portugal</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r>
              <w:rPr>
                <w:b/>
                <w:bCs/>
                <w:noProof/>
                <w:vertAlign w:val="superscript"/>
                <w:lang w:val="de-DE"/>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Union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r>
              <w:rPr>
                <w:b/>
                <w:bCs/>
                <w:noProof/>
                <w:vertAlign w:val="superscript"/>
                <w:lang w:val="de-DE"/>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935" w:type="pct"/>
            <w:tcBorders>
              <w:top w:val="nil"/>
              <w:left w:val="nil"/>
              <w:bottom w:val="single" w:sz="8" w:space="0" w:color="auto"/>
              <w:right w:val="nil"/>
            </w:tcBorders>
            <w:hideMark/>
          </w:tcPr>
          <w:p>
            <w:pPr>
              <w:spacing w:before="60" w:after="60"/>
              <w:rPr>
                <w:noProof/>
                <w:lang w:val="de-DE"/>
              </w:rPr>
            </w:pPr>
            <w:r>
              <w:rPr>
                <w:noProof/>
                <w:lang w:val="de-DE"/>
              </w:rPr>
              <w:t>TAC</w:t>
            </w:r>
          </w:p>
        </w:tc>
        <w:tc>
          <w:tcPr>
            <w:tcW w:w="817" w:type="pct"/>
            <w:gridSpan w:val="2"/>
            <w:tcBorders>
              <w:top w:val="nil"/>
              <w:left w:val="nil"/>
              <w:bottom w:val="single" w:sz="8" w:space="0" w:color="auto"/>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nil"/>
              <w:left w:val="nil"/>
              <w:bottom w:val="single" w:sz="8" w:space="0" w:color="auto"/>
              <w:right w:val="nil"/>
            </w:tcBorders>
          </w:tcPr>
          <w:p>
            <w:pPr>
              <w:spacing w:before="60" w:after="60"/>
              <w:rPr>
                <w:noProof/>
                <w:lang w:val="de-DE"/>
              </w:rPr>
            </w:pPr>
            <w:r>
              <w:rPr>
                <w:b/>
                <w:bCs/>
                <w:noProof/>
                <w:vertAlign w:val="superscript"/>
                <w:lang w:val="de-DE"/>
              </w:rPr>
              <w:t>(1)(2)</w:t>
            </w: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935" w:type="pct"/>
            <w:tcBorders>
              <w:top w:val="nil"/>
              <w:left w:val="nil"/>
              <w:bottom w:val="single" w:sz="8" w:space="0" w:color="auto"/>
              <w:right w:val="nil"/>
            </w:tcBorders>
          </w:tcPr>
          <w:p>
            <w:pPr>
              <w:spacing w:before="60" w:after="60"/>
              <w:jc w:val="right"/>
              <w:rPr>
                <w:noProof/>
                <w:lang w:val="de-DE"/>
              </w:rPr>
            </w:pPr>
            <w:r>
              <w:rPr>
                <w:b/>
                <w:bCs/>
                <w:noProof/>
                <w:vertAlign w:val="superscript"/>
                <w:lang w:val="de-DE"/>
              </w:rPr>
              <w:t>(1)</w:t>
            </w:r>
          </w:p>
        </w:tc>
        <w:tc>
          <w:tcPr>
            <w:tcW w:w="4065" w:type="pct"/>
            <w:gridSpan w:val="8"/>
            <w:tcBorders>
              <w:top w:val="nil"/>
              <w:left w:val="nil"/>
              <w:bottom w:val="single" w:sz="8" w:space="0" w:color="auto"/>
              <w:right w:val="nil"/>
            </w:tcBorders>
          </w:tcPr>
          <w:p>
            <w:pPr>
              <w:spacing w:before="0" w:after="0"/>
              <w:rPr>
                <w:noProof/>
                <w:szCs w:val="24"/>
                <w:lang w:val="en-IE"/>
              </w:rPr>
            </w:pPr>
            <w:r>
              <w:rPr>
                <w:noProof/>
                <w:szCs w:val="24"/>
                <w:lang w:val="en-IE"/>
              </w:rPr>
              <w:t>Catches of bigeye tuna by purse seiners (BET/*ATLPS) and long liners with an overall length of 20 metres and above (BET/ *ATLLL) shall be reported separately.</w:t>
            </w:r>
          </w:p>
        </w:tc>
      </w:tr>
      <w:tr>
        <w:trPr>
          <w:trHeight w:val="227"/>
        </w:trPr>
        <w:tc>
          <w:tcPr>
            <w:tcW w:w="935" w:type="pct"/>
            <w:tcBorders>
              <w:top w:val="nil"/>
              <w:left w:val="nil"/>
              <w:bottom w:val="single" w:sz="8" w:space="0" w:color="auto"/>
              <w:right w:val="nil"/>
            </w:tcBorders>
          </w:tcPr>
          <w:p>
            <w:pPr>
              <w:spacing w:before="60" w:after="60"/>
              <w:jc w:val="right"/>
              <w:rPr>
                <w:b/>
                <w:bCs/>
                <w:noProof/>
                <w:vertAlign w:val="superscript"/>
                <w:lang w:val="de-DE"/>
              </w:rPr>
            </w:pPr>
            <w:r>
              <w:rPr>
                <w:b/>
                <w:bCs/>
                <w:noProof/>
                <w:vertAlign w:val="superscript"/>
                <w:lang w:val="de-DE"/>
              </w:rPr>
              <w:t>(2)</w:t>
            </w:r>
          </w:p>
        </w:tc>
        <w:tc>
          <w:tcPr>
            <w:tcW w:w="4065" w:type="pct"/>
            <w:gridSpan w:val="8"/>
            <w:tcBorders>
              <w:top w:val="nil"/>
              <w:left w:val="nil"/>
              <w:bottom w:val="single" w:sz="8" w:space="0" w:color="auto"/>
              <w:right w:val="nil"/>
            </w:tcBorders>
          </w:tcPr>
          <w:p>
            <w:pPr>
              <w:spacing w:before="0" w:after="0"/>
              <w:rPr>
                <w:noProof/>
                <w:szCs w:val="24"/>
                <w:lang w:val="en-IE"/>
              </w:rPr>
            </w:pPr>
            <w:r>
              <w:rPr>
                <w:noProof/>
                <w:szCs w:val="24"/>
                <w:lang w:val="en-IE"/>
              </w:rPr>
              <w:t>As of June 2021, when catches reach 80 % of the quota, Member States are required to transmit the catches for these vessels on a weekly basis.</w:t>
            </w:r>
          </w:p>
        </w:tc>
      </w:tr>
      <w:tr>
        <w:trPr>
          <w:trHeight w:val="227"/>
        </w:trPr>
        <w:tc>
          <w:tcPr>
            <w:tcW w:w="5000" w:type="pct"/>
            <w:gridSpan w:val="9"/>
            <w:tcBorders>
              <w:top w:val="nil"/>
              <w:left w:val="nil"/>
              <w:bottom w:val="single" w:sz="8" w:space="0" w:color="auto"/>
              <w:right w:val="nil"/>
            </w:tcBorders>
            <w:hideMark/>
          </w:tcPr>
          <w:p>
            <w:pPr>
              <w:rPr>
                <w:noProof/>
                <w:lang w:val="de-DE"/>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szCs w:val="24"/>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Blue marlin</w:t>
            </w:r>
          </w:p>
          <w:p>
            <w:pPr>
              <w:keepNext/>
              <w:tabs>
                <w:tab w:val="left" w:pos="850"/>
              </w:tabs>
              <w:spacing w:before="60" w:after="60"/>
              <w:ind w:left="850" w:hanging="850"/>
              <w:outlineLvl w:val="0"/>
              <w:rPr>
                <w:noProof/>
                <w:lang w:val="de-DE"/>
              </w:rPr>
            </w:pPr>
            <w:bookmarkStart w:id="15" w:name="_Toc26205838"/>
            <w:bookmarkStart w:id="16" w:name="_Toc26207255"/>
            <w:r>
              <w:rPr>
                <w:i/>
                <w:iCs/>
                <w:noProof/>
                <w:lang w:val="de-DE"/>
              </w:rPr>
              <w:t>Makaira nigricans</w:t>
            </w:r>
            <w:bookmarkEnd w:id="15"/>
            <w:bookmarkEnd w:id="16"/>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de-DE"/>
              </w:rPr>
            </w:pPr>
            <w:r>
              <w:rPr>
                <w:noProof/>
                <w:lang w:val="de-DE"/>
              </w:rPr>
              <w:t>Atlantic Ocean</w:t>
            </w:r>
          </w:p>
          <w:p>
            <w:pPr>
              <w:spacing w:before="60" w:after="60"/>
              <w:rPr>
                <w:noProof/>
                <w:lang w:val="de-DE"/>
              </w:rPr>
            </w:pPr>
            <w:r>
              <w:rPr>
                <w:noProof/>
                <w:lang w:val="de-DE"/>
              </w:rPr>
              <w:t>(BUM/ATLANT)</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Spain</w:t>
            </w:r>
          </w:p>
        </w:tc>
        <w:tc>
          <w:tcPr>
            <w:tcW w:w="817" w:type="pct"/>
            <w:gridSpan w:val="2"/>
            <w:tcBorders>
              <w:top w:val="single" w:sz="8"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tcPr>
          <w:p>
            <w:pPr>
              <w:spacing w:before="60" w:after="60"/>
              <w:rPr>
                <w:noProof/>
                <w:lang w:val="de-DE"/>
              </w:rPr>
            </w:pPr>
          </w:p>
        </w:tc>
        <w:tc>
          <w:tcPr>
            <w:tcW w:w="2591" w:type="pct"/>
            <w:gridSpan w:val="4"/>
            <w:vMerge w:val="restart"/>
            <w:tcBorders>
              <w:top w:val="single" w:sz="8" w:space="0" w:color="auto"/>
              <w:left w:val="nil"/>
              <w:bottom w:val="nil"/>
              <w:right w:val="nil"/>
            </w:tcBorders>
            <w:hideMark/>
          </w:tcPr>
          <w:p>
            <w:pPr>
              <w:spacing w:before="60" w:after="60"/>
              <w:rPr>
                <w:noProof/>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935" w:type="pct"/>
            <w:hideMark/>
          </w:tcPr>
          <w:p>
            <w:pPr>
              <w:spacing w:before="60" w:after="60"/>
              <w:rPr>
                <w:noProof/>
                <w:lang w:val="de-DE"/>
              </w:rPr>
            </w:pPr>
            <w:r>
              <w:rPr>
                <w:noProof/>
                <w:lang w:val="de-DE"/>
              </w:rPr>
              <w:t>France</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Portugal</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Union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hideMark/>
          </w:tcPr>
          <w:p>
            <w:pPr>
              <w:spacing w:before="60" w:after="60"/>
              <w:rPr>
                <w:noProof/>
                <w:lang w:val="de-DE"/>
              </w:rPr>
            </w:pPr>
            <w:r>
              <w:rPr>
                <w:b/>
                <w:bCs/>
                <w:noProof/>
                <w:vertAlign w:val="superscript"/>
                <w:lang w:val="de-DE"/>
              </w:rPr>
              <w:t>(1)</w:t>
            </w: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TAC</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en-IE"/>
              </w:rPr>
            </w:pPr>
          </w:p>
        </w:tc>
      </w:tr>
      <w:tr>
        <w:trPr>
          <w:trHeight w:val="227"/>
        </w:trPr>
        <w:tc>
          <w:tcPr>
            <w:tcW w:w="935" w:type="pct"/>
            <w:tcBorders>
              <w:top w:val="nil"/>
              <w:left w:val="nil"/>
              <w:bottom w:val="single" w:sz="4" w:space="0" w:color="auto"/>
              <w:right w:val="nil"/>
            </w:tcBorders>
            <w:hideMark/>
          </w:tcPr>
          <w:p>
            <w:pPr>
              <w:spacing w:before="60" w:after="60"/>
              <w:jc w:val="right"/>
              <w:rPr>
                <w:noProof/>
                <w:lang w:val="de-DE"/>
              </w:rPr>
            </w:pPr>
            <w:r>
              <w:rPr>
                <w:b/>
                <w:bCs/>
                <w:noProof/>
                <w:vertAlign w:val="superscript"/>
                <w:lang w:val="en-IE"/>
              </w:rPr>
              <w:t>(1)</w:t>
            </w:r>
          </w:p>
        </w:tc>
        <w:tc>
          <w:tcPr>
            <w:tcW w:w="4065" w:type="pct"/>
            <w:gridSpan w:val="8"/>
            <w:tcBorders>
              <w:top w:val="nil"/>
              <w:left w:val="nil"/>
              <w:bottom w:val="single" w:sz="4" w:space="0" w:color="auto"/>
              <w:right w:val="nil"/>
            </w:tcBorders>
            <w:hideMark/>
          </w:tcPr>
          <w:p>
            <w:pPr>
              <w:spacing w:before="60" w:after="60"/>
              <w:rPr>
                <w:noProof/>
                <w:lang w:val="de-DE"/>
              </w:rPr>
            </w:pPr>
            <w:r>
              <w:rPr>
                <w:noProof/>
                <w:lang w:val="en-IE"/>
              </w:rPr>
              <w:t xml:space="preserve">After transfer of 2 tonnes to Trinidad &amp; Tobago (ICCAT Rec. </w:t>
            </w:r>
            <w:r>
              <w:rPr>
                <w:noProof/>
                <w:lang w:val="de-DE"/>
              </w:rPr>
              <w:t>19-05).</w:t>
            </w:r>
          </w:p>
        </w:tc>
      </w:tr>
      <w:tr>
        <w:trPr>
          <w:trHeight w:val="227"/>
        </w:trPr>
        <w:tc>
          <w:tcPr>
            <w:tcW w:w="5000" w:type="pct"/>
            <w:gridSpan w:val="9"/>
            <w:tcBorders>
              <w:top w:val="single" w:sz="4" w:space="0" w:color="auto"/>
              <w:left w:val="nil"/>
              <w:bottom w:val="single" w:sz="8" w:space="0" w:color="auto"/>
              <w:right w:val="nil"/>
            </w:tcBorders>
            <w:hideMark/>
          </w:tcPr>
          <w:p>
            <w:pPr>
              <w:rPr>
                <w:noProof/>
                <w:lang w:val="de-DE"/>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szCs w:val="24"/>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White marlin</w:t>
            </w:r>
          </w:p>
          <w:p>
            <w:pPr>
              <w:keepNext/>
              <w:tabs>
                <w:tab w:val="left" w:pos="850"/>
              </w:tabs>
              <w:spacing w:before="60" w:after="60"/>
              <w:ind w:left="850" w:hanging="850"/>
              <w:outlineLvl w:val="0"/>
              <w:rPr>
                <w:noProof/>
                <w:lang w:val="de-DE"/>
              </w:rPr>
            </w:pPr>
            <w:bookmarkStart w:id="17" w:name="_Toc26205839"/>
            <w:bookmarkStart w:id="18" w:name="_Toc26207256"/>
            <w:r>
              <w:rPr>
                <w:i/>
                <w:iCs/>
                <w:noProof/>
                <w:lang w:val="de-DE"/>
              </w:rPr>
              <w:t>Tetrapturus albidus</w:t>
            </w:r>
            <w:bookmarkEnd w:id="17"/>
            <w:bookmarkEnd w:id="18"/>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de-DE"/>
              </w:rPr>
            </w:pPr>
            <w:r>
              <w:rPr>
                <w:noProof/>
                <w:lang w:val="de-DE"/>
              </w:rPr>
              <w:t>Atlantic Ocean</w:t>
            </w:r>
          </w:p>
          <w:p>
            <w:pPr>
              <w:spacing w:before="60" w:after="60"/>
              <w:rPr>
                <w:noProof/>
                <w:lang w:val="de-DE"/>
              </w:rPr>
            </w:pPr>
            <w:r>
              <w:rPr>
                <w:noProof/>
                <w:lang w:val="de-DE"/>
              </w:rPr>
              <w:t>(WHM/ATLANT)</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Spain</w:t>
            </w:r>
          </w:p>
        </w:tc>
        <w:tc>
          <w:tcPr>
            <w:tcW w:w="817" w:type="pct"/>
            <w:gridSpan w:val="2"/>
            <w:tcBorders>
              <w:top w:val="single" w:sz="8"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tcPr>
          <w:p>
            <w:pPr>
              <w:spacing w:before="60" w:after="60"/>
              <w:rPr>
                <w:noProof/>
                <w:lang w:val="de-DE"/>
              </w:rPr>
            </w:pPr>
          </w:p>
        </w:tc>
        <w:tc>
          <w:tcPr>
            <w:tcW w:w="2591" w:type="pct"/>
            <w:gridSpan w:val="4"/>
            <w:vMerge w:val="restart"/>
            <w:tcBorders>
              <w:top w:val="single" w:sz="8" w:space="0" w:color="auto"/>
              <w:left w:val="nil"/>
              <w:bottom w:val="single" w:sz="8" w:space="0" w:color="auto"/>
              <w:right w:val="nil"/>
            </w:tcBorders>
            <w:hideMark/>
          </w:tcPr>
          <w:p>
            <w:pPr>
              <w:spacing w:before="60" w:after="60"/>
              <w:rPr>
                <w:noProof/>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935" w:type="pct"/>
            <w:hideMark/>
          </w:tcPr>
          <w:p>
            <w:pPr>
              <w:spacing w:before="60" w:after="60"/>
              <w:rPr>
                <w:noProof/>
                <w:lang w:val="de-DE"/>
              </w:rPr>
            </w:pPr>
            <w:r>
              <w:rPr>
                <w:noProof/>
                <w:lang w:val="de-DE"/>
              </w:rPr>
              <w:t>Portugal</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935" w:type="pct"/>
            <w:hideMark/>
          </w:tcPr>
          <w:p>
            <w:pPr>
              <w:spacing w:before="60" w:after="60"/>
              <w:rPr>
                <w:noProof/>
                <w:lang w:val="de-DE"/>
              </w:rPr>
            </w:pPr>
            <w:r>
              <w:rPr>
                <w:noProof/>
                <w:lang w:val="de-DE"/>
              </w:rPr>
              <w:t>Union</w:t>
            </w:r>
          </w:p>
        </w:tc>
        <w:tc>
          <w:tcPr>
            <w:tcW w:w="817" w:type="pct"/>
            <w:gridSpan w:val="2"/>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935" w:type="pct"/>
            <w:tcBorders>
              <w:top w:val="nil"/>
              <w:left w:val="nil"/>
              <w:bottom w:val="single" w:sz="8" w:space="0" w:color="auto"/>
              <w:right w:val="nil"/>
            </w:tcBorders>
            <w:hideMark/>
          </w:tcPr>
          <w:p>
            <w:pPr>
              <w:spacing w:before="60" w:after="60"/>
              <w:rPr>
                <w:noProof/>
                <w:lang w:val="de-DE"/>
              </w:rPr>
            </w:pPr>
            <w:r>
              <w:rPr>
                <w:noProof/>
                <w:lang w:val="de-DE"/>
              </w:rPr>
              <w:t>TAC</w:t>
            </w:r>
          </w:p>
        </w:tc>
        <w:tc>
          <w:tcPr>
            <w:tcW w:w="817" w:type="pct"/>
            <w:gridSpan w:val="2"/>
            <w:tcBorders>
              <w:top w:val="nil"/>
              <w:left w:val="nil"/>
              <w:bottom w:val="single" w:sz="8" w:space="0" w:color="auto"/>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nil"/>
              <w:left w:val="nil"/>
              <w:bottom w:val="single" w:sz="8" w:space="0" w:color="auto"/>
              <w:right w:val="nil"/>
            </w:tcBorders>
          </w:tcPr>
          <w:p>
            <w:pPr>
              <w:spacing w:before="60" w:after="60"/>
              <w:rPr>
                <w:noProof/>
                <w:lang w:val="de-DE"/>
              </w:rPr>
            </w:pPr>
          </w:p>
        </w:tc>
        <w:tc>
          <w:tcPr>
            <w:tcW w:w="0" w:type="auto"/>
            <w:gridSpan w:val="4"/>
            <w:vMerge/>
            <w:tcBorders>
              <w:top w:val="single" w:sz="8" w:space="0" w:color="auto"/>
              <w:left w:val="nil"/>
              <w:bottom w:val="single" w:sz="8" w:space="0" w:color="auto"/>
              <w:right w:val="nil"/>
            </w:tcBorders>
            <w:vAlign w:val="center"/>
            <w:hideMark/>
          </w:tcPr>
          <w:p>
            <w:pPr>
              <w:spacing w:before="0" w:after="0"/>
              <w:rPr>
                <w:noProof/>
                <w:szCs w:val="24"/>
                <w:lang w:val="en-IE"/>
              </w:rPr>
            </w:pP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lang w:val="de-DE"/>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Yellowfin tuna</w:t>
            </w:r>
          </w:p>
          <w:p>
            <w:pPr>
              <w:keepNext/>
              <w:tabs>
                <w:tab w:val="left" w:pos="850"/>
              </w:tabs>
              <w:spacing w:before="60" w:after="60"/>
              <w:ind w:left="850" w:hanging="850"/>
              <w:outlineLvl w:val="0"/>
              <w:rPr>
                <w:noProof/>
                <w:lang w:val="de-DE"/>
              </w:rPr>
            </w:pPr>
            <w:bookmarkStart w:id="19" w:name="_Toc26205840"/>
            <w:bookmarkStart w:id="20" w:name="_Toc26207257"/>
            <w:r>
              <w:rPr>
                <w:i/>
                <w:iCs/>
                <w:noProof/>
                <w:lang w:val="de-DE"/>
              </w:rPr>
              <w:t>Thunnus albacares</w:t>
            </w:r>
            <w:bookmarkEnd w:id="19"/>
            <w:bookmarkEnd w:id="20"/>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de-DE"/>
              </w:rPr>
            </w:pPr>
            <w:r>
              <w:rPr>
                <w:noProof/>
                <w:lang w:val="de-DE"/>
              </w:rPr>
              <w:t>Atlantic Ocean</w:t>
            </w:r>
          </w:p>
          <w:p>
            <w:pPr>
              <w:spacing w:before="60" w:after="60"/>
              <w:rPr>
                <w:noProof/>
                <w:lang w:val="de-DE"/>
              </w:rPr>
            </w:pPr>
            <w:r>
              <w:rPr>
                <w:noProof/>
                <w:lang w:val="de-DE"/>
              </w:rPr>
              <w:t>(YFT/ATLANT)</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TAC</w:t>
            </w:r>
          </w:p>
        </w:tc>
        <w:tc>
          <w:tcPr>
            <w:tcW w:w="817" w:type="pct"/>
            <w:gridSpan w:val="2"/>
            <w:tcBorders>
              <w:top w:val="single" w:sz="8"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hideMark/>
          </w:tcPr>
          <w:p>
            <w:pPr>
              <w:rPr>
                <w:noProof/>
                <w:color w:val="000000"/>
                <w:lang w:val="de-DE" w:eastAsia="en-GB"/>
              </w:rPr>
            </w:pPr>
            <w:r>
              <w:rPr>
                <w:b/>
                <w:bCs/>
                <w:noProof/>
                <w:vertAlign w:val="superscript"/>
                <w:lang w:val="en-IE"/>
              </w:rPr>
              <w:t>(1)</w:t>
            </w:r>
          </w:p>
        </w:tc>
        <w:tc>
          <w:tcPr>
            <w:tcW w:w="2591" w:type="pct"/>
            <w:gridSpan w:val="4"/>
            <w:tcBorders>
              <w:top w:val="single" w:sz="8" w:space="0" w:color="auto"/>
              <w:left w:val="nil"/>
              <w:bottom w:val="nil"/>
              <w:right w:val="nil"/>
            </w:tcBorders>
            <w:hideMark/>
          </w:tcPr>
          <w:p>
            <w:pPr>
              <w:spacing w:before="60" w:after="60"/>
              <w:rPr>
                <w:noProof/>
                <w:szCs w:val="24"/>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935" w:type="pct"/>
            <w:tcBorders>
              <w:top w:val="single" w:sz="8" w:space="0" w:color="auto"/>
              <w:left w:val="nil"/>
              <w:bottom w:val="nil"/>
              <w:right w:val="nil"/>
            </w:tcBorders>
          </w:tcPr>
          <w:p>
            <w:pPr>
              <w:spacing w:before="60" w:after="60"/>
              <w:jc w:val="right"/>
              <w:rPr>
                <w:noProof/>
                <w:lang w:val="de-DE"/>
              </w:rPr>
            </w:pPr>
            <w:r>
              <w:rPr>
                <w:b/>
                <w:bCs/>
                <w:noProof/>
                <w:vertAlign w:val="superscript"/>
                <w:lang w:val="en-IE"/>
              </w:rPr>
              <w:t>(1)</w:t>
            </w:r>
          </w:p>
        </w:tc>
        <w:tc>
          <w:tcPr>
            <w:tcW w:w="4065" w:type="pct"/>
            <w:gridSpan w:val="8"/>
            <w:tcBorders>
              <w:top w:val="single" w:sz="8" w:space="0" w:color="auto"/>
              <w:left w:val="nil"/>
              <w:bottom w:val="nil"/>
              <w:right w:val="nil"/>
            </w:tcBorders>
          </w:tcPr>
          <w:p>
            <w:pPr>
              <w:spacing w:before="60" w:after="60"/>
              <w:rPr>
                <w:noProof/>
                <w:lang w:val="en-IE"/>
              </w:rPr>
            </w:pPr>
            <w:r>
              <w:rPr>
                <w:noProof/>
                <w:lang w:val="en-IE"/>
              </w:rPr>
              <w:t>Catches of yellowfin tuna by purse seiners (YFT/*ATLPS) and long liners with an overall length of 20 metres and above (YFT/ *ATLLL) shall be reported separately.</w:t>
            </w: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lang w:val="en-IE"/>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Sailfish</w:t>
            </w:r>
          </w:p>
          <w:p>
            <w:pPr>
              <w:keepNext/>
              <w:tabs>
                <w:tab w:val="left" w:pos="850"/>
              </w:tabs>
              <w:spacing w:before="60" w:after="60"/>
              <w:ind w:left="850" w:hanging="850"/>
              <w:outlineLvl w:val="0"/>
              <w:rPr>
                <w:noProof/>
                <w:lang w:val="de-DE"/>
              </w:rPr>
            </w:pPr>
            <w:bookmarkStart w:id="21" w:name="_Toc26205841"/>
            <w:bookmarkStart w:id="22" w:name="_Toc26207258"/>
            <w:r>
              <w:rPr>
                <w:i/>
                <w:iCs/>
                <w:noProof/>
                <w:lang w:val="de-DE"/>
              </w:rPr>
              <w:t>Istiophorus albicans</w:t>
            </w:r>
            <w:bookmarkEnd w:id="21"/>
            <w:bookmarkEnd w:id="22"/>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en-IE"/>
              </w:rPr>
            </w:pPr>
            <w:r>
              <w:rPr>
                <w:noProof/>
                <w:lang w:val="en-IE"/>
              </w:rPr>
              <w:t>Atlantic Ocean, east of 45°W</w:t>
            </w:r>
          </w:p>
          <w:p>
            <w:pPr>
              <w:spacing w:before="60" w:after="60"/>
              <w:rPr>
                <w:noProof/>
                <w:lang w:val="en-IE"/>
              </w:rPr>
            </w:pPr>
            <w:r>
              <w:rPr>
                <w:noProof/>
                <w:lang w:val="en-IE"/>
              </w:rPr>
              <w:t>(SAI/AE45W)</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TAC</w:t>
            </w:r>
          </w:p>
        </w:tc>
        <w:tc>
          <w:tcPr>
            <w:tcW w:w="817" w:type="pct"/>
            <w:gridSpan w:val="2"/>
            <w:tcBorders>
              <w:top w:val="single" w:sz="8" w:space="0" w:color="auto"/>
              <w:left w:val="nil"/>
              <w:bottom w:val="nil"/>
              <w:right w:val="nil"/>
            </w:tcBorders>
            <w:hideMark/>
          </w:tcPr>
          <w:p>
            <w:pPr>
              <w:spacing w:before="60" w:after="60"/>
              <w:jc w:val="right"/>
              <w:rPr>
                <w:noProof/>
                <w:lang w:val="de-DE"/>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hideMark/>
          </w:tcPr>
          <w:p>
            <w:pPr>
              <w:rPr>
                <w:noProof/>
                <w:lang w:val="de-DE"/>
              </w:rPr>
            </w:pPr>
          </w:p>
        </w:tc>
        <w:tc>
          <w:tcPr>
            <w:tcW w:w="2591" w:type="pct"/>
            <w:gridSpan w:val="4"/>
            <w:tcBorders>
              <w:top w:val="single" w:sz="8" w:space="0" w:color="auto"/>
              <w:left w:val="nil"/>
              <w:bottom w:val="nil"/>
              <w:right w:val="nil"/>
            </w:tcBorders>
            <w:hideMark/>
          </w:tcPr>
          <w:p>
            <w:pPr>
              <w:spacing w:before="60" w:after="60"/>
              <w:rPr>
                <w:noProof/>
                <w:szCs w:val="24"/>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lang w:val="en-IE"/>
              </w:rPr>
            </w:pPr>
          </w:p>
        </w:tc>
      </w:tr>
      <w:tr>
        <w:trPr>
          <w:trHeight w:val="227"/>
        </w:trPr>
        <w:tc>
          <w:tcPr>
            <w:tcW w:w="935" w:type="pct"/>
            <w:tcBorders>
              <w:top w:val="single" w:sz="8" w:space="0" w:color="auto"/>
              <w:left w:val="nil"/>
              <w:bottom w:val="single" w:sz="8" w:space="0" w:color="auto"/>
              <w:right w:val="nil"/>
            </w:tcBorders>
            <w:hideMark/>
          </w:tcPr>
          <w:p>
            <w:pPr>
              <w:pageBreakBefore/>
              <w:spacing w:before="60" w:after="60"/>
              <w:rPr>
                <w:noProof/>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spacing w:before="60" w:after="60"/>
              <w:rPr>
                <w:noProof/>
                <w:lang w:val="de-DE"/>
              </w:rPr>
            </w:pPr>
            <w:r>
              <w:rPr>
                <w:noProof/>
                <w:lang w:val="de-DE"/>
              </w:rPr>
              <w:t>Sailfish</w:t>
            </w:r>
          </w:p>
          <w:p>
            <w:pPr>
              <w:keepNext/>
              <w:tabs>
                <w:tab w:val="left" w:pos="850"/>
              </w:tabs>
              <w:spacing w:before="60" w:after="60"/>
              <w:ind w:left="850" w:hanging="850"/>
              <w:outlineLvl w:val="0"/>
              <w:rPr>
                <w:noProof/>
                <w:lang w:val="de-DE"/>
              </w:rPr>
            </w:pPr>
            <w:bookmarkStart w:id="23" w:name="_Toc26205842"/>
            <w:bookmarkStart w:id="24" w:name="_Toc26207259"/>
            <w:r>
              <w:rPr>
                <w:i/>
                <w:iCs/>
                <w:noProof/>
                <w:lang w:val="de-DE"/>
              </w:rPr>
              <w:t>Istiophorus albicans</w:t>
            </w:r>
            <w:bookmarkEnd w:id="23"/>
            <w:bookmarkEnd w:id="24"/>
          </w:p>
        </w:tc>
        <w:tc>
          <w:tcPr>
            <w:tcW w:w="651" w:type="pct"/>
            <w:gridSpan w:val="3"/>
            <w:tcBorders>
              <w:top w:val="single" w:sz="8" w:space="0" w:color="auto"/>
              <w:left w:val="single" w:sz="8" w:space="0" w:color="auto"/>
              <w:bottom w:val="single" w:sz="8" w:space="0" w:color="auto"/>
              <w:right w:val="nil"/>
            </w:tcBorders>
            <w:hideMark/>
          </w:tcPr>
          <w:p>
            <w:pPr>
              <w:spacing w:before="60" w:after="60"/>
              <w:rPr>
                <w:noProof/>
                <w:lang w:val="de-DE"/>
              </w:rPr>
            </w:pPr>
            <w:r>
              <w:rPr>
                <w:noProof/>
                <w:lang w:val="de-DE"/>
              </w:rPr>
              <w:t>Zone:</w:t>
            </w:r>
          </w:p>
        </w:tc>
        <w:tc>
          <w:tcPr>
            <w:tcW w:w="1939" w:type="pct"/>
            <w:tcBorders>
              <w:top w:val="single" w:sz="8" w:space="0" w:color="auto"/>
              <w:left w:val="nil"/>
              <w:bottom w:val="single" w:sz="8" w:space="0" w:color="auto"/>
              <w:right w:val="nil"/>
            </w:tcBorders>
            <w:hideMark/>
          </w:tcPr>
          <w:p>
            <w:pPr>
              <w:spacing w:before="60" w:after="60"/>
              <w:rPr>
                <w:noProof/>
                <w:lang w:val="en-IE"/>
              </w:rPr>
            </w:pPr>
            <w:r>
              <w:rPr>
                <w:noProof/>
                <w:lang w:val="en-IE"/>
              </w:rPr>
              <w:t>Atlantic Ocean, west of 45°W</w:t>
            </w:r>
          </w:p>
          <w:p>
            <w:pPr>
              <w:spacing w:before="60" w:after="60"/>
              <w:rPr>
                <w:noProof/>
                <w:lang w:val="en-IE"/>
              </w:rPr>
            </w:pPr>
            <w:r>
              <w:rPr>
                <w:noProof/>
                <w:lang w:val="en-IE"/>
              </w:rPr>
              <w:t>(SAI/AW45W)</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TAC</w:t>
            </w:r>
          </w:p>
        </w:tc>
        <w:tc>
          <w:tcPr>
            <w:tcW w:w="817" w:type="pct"/>
            <w:gridSpan w:val="2"/>
            <w:tcBorders>
              <w:top w:val="single" w:sz="8" w:space="0" w:color="auto"/>
              <w:left w:val="nil"/>
              <w:bottom w:val="nil"/>
              <w:right w:val="nil"/>
            </w:tcBorders>
            <w:hideMark/>
          </w:tcPr>
          <w:p>
            <w:pPr>
              <w:spacing w:before="60" w:after="60"/>
              <w:jc w:val="right"/>
              <w:rPr>
                <w:noProof/>
                <w:lang w:val="de-DE"/>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hideMark/>
          </w:tcPr>
          <w:p>
            <w:pPr>
              <w:rPr>
                <w:noProof/>
                <w:lang w:val="de-DE"/>
              </w:rPr>
            </w:pPr>
          </w:p>
        </w:tc>
        <w:tc>
          <w:tcPr>
            <w:tcW w:w="2591" w:type="pct"/>
            <w:gridSpan w:val="4"/>
            <w:tcBorders>
              <w:top w:val="single" w:sz="8" w:space="0" w:color="auto"/>
              <w:left w:val="nil"/>
              <w:bottom w:val="nil"/>
              <w:right w:val="nil"/>
            </w:tcBorders>
            <w:hideMark/>
          </w:tcPr>
          <w:p>
            <w:pPr>
              <w:spacing w:before="60" w:after="60"/>
              <w:rPr>
                <w:noProof/>
                <w:szCs w:val="24"/>
                <w:lang w:val="en-IE"/>
              </w:rPr>
            </w:pPr>
            <w:r>
              <w:rPr>
                <w:noProof/>
                <w:lang w:val="en-IE"/>
              </w:rPr>
              <w:t>Analytical TAC</w:t>
            </w:r>
          </w:p>
          <w:p>
            <w:pPr>
              <w:spacing w:before="60" w:after="60"/>
              <w:rPr>
                <w:noProof/>
                <w:lang w:val="en-IE"/>
              </w:rPr>
            </w:pPr>
            <w:r>
              <w:rPr>
                <w:noProof/>
                <w:lang w:val="en-IE"/>
              </w:rPr>
              <w:t>Article 3 of Regulation (EC) No 847/96 shall not apply</w:t>
            </w:r>
          </w:p>
          <w:p>
            <w:pPr>
              <w:spacing w:before="60" w:after="60"/>
              <w:rPr>
                <w:noProof/>
                <w:lang w:val="en-IE"/>
              </w:rPr>
            </w:pPr>
            <w:r>
              <w:rPr>
                <w:noProof/>
                <w:lang w:val="en-IE"/>
              </w:rPr>
              <w:t>Article 4 of Regulation (EC) No 847/96 shall not apply</w:t>
            </w:r>
          </w:p>
        </w:tc>
      </w:tr>
      <w:tr>
        <w:trPr>
          <w:trHeight w:val="227"/>
        </w:trPr>
        <w:tc>
          <w:tcPr>
            <w:tcW w:w="5000" w:type="pct"/>
            <w:gridSpan w:val="9"/>
            <w:tcBorders>
              <w:top w:val="single" w:sz="8" w:space="0" w:color="auto"/>
              <w:left w:val="nil"/>
              <w:bottom w:val="single" w:sz="8" w:space="0" w:color="auto"/>
              <w:right w:val="nil"/>
            </w:tcBorders>
          </w:tcPr>
          <w:p>
            <w:pPr>
              <w:spacing w:before="60" w:after="60"/>
              <w:rPr>
                <w:noProof/>
                <w:lang w:val="en-IE"/>
              </w:rPr>
            </w:pPr>
          </w:p>
        </w:tc>
      </w:tr>
      <w:tr>
        <w:trPr>
          <w:trHeight w:val="227"/>
        </w:trPr>
        <w:tc>
          <w:tcPr>
            <w:tcW w:w="935" w:type="pct"/>
            <w:tcBorders>
              <w:top w:val="single" w:sz="8" w:space="0" w:color="auto"/>
              <w:left w:val="nil"/>
              <w:bottom w:val="single" w:sz="8" w:space="0" w:color="auto"/>
              <w:right w:val="nil"/>
            </w:tcBorders>
            <w:hideMark/>
          </w:tcPr>
          <w:p>
            <w:pPr>
              <w:spacing w:before="60" w:after="60"/>
              <w:rPr>
                <w:noProof/>
                <w:lang w:val="de-DE"/>
              </w:rPr>
            </w:pPr>
            <w:r>
              <w:rPr>
                <w:noProof/>
                <w:lang w:val="de-DE"/>
              </w:rPr>
              <w:t>Species:</w:t>
            </w:r>
          </w:p>
        </w:tc>
        <w:tc>
          <w:tcPr>
            <w:tcW w:w="1475" w:type="pct"/>
            <w:gridSpan w:val="4"/>
            <w:tcBorders>
              <w:top w:val="single" w:sz="8" w:space="0" w:color="auto"/>
              <w:left w:val="nil"/>
              <w:bottom w:val="single" w:sz="8" w:space="0" w:color="auto"/>
              <w:right w:val="nil"/>
            </w:tcBorders>
            <w:hideMark/>
          </w:tcPr>
          <w:p>
            <w:pPr>
              <w:keepNext/>
              <w:spacing w:before="60" w:after="60"/>
              <w:rPr>
                <w:noProof/>
                <w:lang w:val="de-DE"/>
              </w:rPr>
            </w:pPr>
            <w:r>
              <w:rPr>
                <w:noProof/>
                <w:lang w:val="de-DE"/>
              </w:rPr>
              <w:t>Blue shark</w:t>
            </w:r>
          </w:p>
          <w:p>
            <w:pPr>
              <w:keepNext/>
              <w:tabs>
                <w:tab w:val="left" w:pos="850"/>
              </w:tabs>
              <w:spacing w:before="60" w:after="60"/>
              <w:ind w:left="850" w:hanging="850"/>
              <w:outlineLvl w:val="0"/>
              <w:rPr>
                <w:noProof/>
                <w:lang w:val="de-DE"/>
              </w:rPr>
            </w:pPr>
            <w:bookmarkStart w:id="25" w:name="_Toc26205843"/>
            <w:bookmarkStart w:id="26" w:name="_Toc26207260"/>
            <w:r>
              <w:rPr>
                <w:i/>
                <w:iCs/>
                <w:noProof/>
                <w:lang w:val="de-DE"/>
              </w:rPr>
              <w:t>Prionace glauca</w:t>
            </w:r>
            <w:bookmarkEnd w:id="25"/>
            <w:bookmarkEnd w:id="26"/>
          </w:p>
        </w:tc>
        <w:tc>
          <w:tcPr>
            <w:tcW w:w="641" w:type="pct"/>
            <w:gridSpan w:val="2"/>
            <w:tcBorders>
              <w:top w:val="single" w:sz="8" w:space="0" w:color="auto"/>
              <w:left w:val="single" w:sz="8" w:space="0" w:color="auto"/>
              <w:bottom w:val="single" w:sz="8" w:space="0" w:color="auto"/>
              <w:right w:val="nil"/>
            </w:tcBorders>
            <w:hideMark/>
          </w:tcPr>
          <w:p>
            <w:pPr>
              <w:keepNext/>
              <w:spacing w:before="60" w:after="60"/>
              <w:rPr>
                <w:noProof/>
                <w:lang w:val="de-DE"/>
              </w:rPr>
            </w:pPr>
            <w:r>
              <w:rPr>
                <w:noProof/>
                <w:lang w:val="de-DE"/>
              </w:rPr>
              <w:t>Zone:</w:t>
            </w:r>
          </w:p>
        </w:tc>
        <w:tc>
          <w:tcPr>
            <w:tcW w:w="1949" w:type="pct"/>
            <w:gridSpan w:val="2"/>
            <w:tcBorders>
              <w:top w:val="single" w:sz="8" w:space="0" w:color="auto"/>
              <w:left w:val="nil"/>
              <w:bottom w:val="single" w:sz="8" w:space="0" w:color="auto"/>
              <w:right w:val="nil"/>
            </w:tcBorders>
            <w:hideMark/>
          </w:tcPr>
          <w:p>
            <w:pPr>
              <w:keepNext/>
              <w:spacing w:before="60" w:after="60"/>
              <w:rPr>
                <w:noProof/>
                <w:lang w:val="en-IE"/>
              </w:rPr>
            </w:pPr>
            <w:r>
              <w:rPr>
                <w:noProof/>
                <w:lang w:val="en-IE"/>
              </w:rPr>
              <w:t>Atlantic Ocean, north of 5° N</w:t>
            </w:r>
          </w:p>
          <w:p>
            <w:pPr>
              <w:keepNext/>
              <w:spacing w:before="60" w:after="60"/>
              <w:rPr>
                <w:noProof/>
                <w:lang w:val="en-IE"/>
              </w:rPr>
            </w:pPr>
            <w:r>
              <w:rPr>
                <w:noProof/>
                <w:lang w:val="en-IE"/>
              </w:rPr>
              <w:t>(BSH/AN05N)</w:t>
            </w:r>
          </w:p>
        </w:tc>
      </w:tr>
      <w:tr>
        <w:trPr>
          <w:trHeight w:val="227"/>
        </w:trPr>
        <w:tc>
          <w:tcPr>
            <w:tcW w:w="935" w:type="pct"/>
            <w:tcBorders>
              <w:top w:val="single" w:sz="8" w:space="0" w:color="auto"/>
              <w:left w:val="nil"/>
              <w:bottom w:val="nil"/>
              <w:right w:val="nil"/>
            </w:tcBorders>
            <w:hideMark/>
          </w:tcPr>
          <w:p>
            <w:pPr>
              <w:spacing w:before="60" w:after="60"/>
              <w:rPr>
                <w:noProof/>
                <w:lang w:val="de-DE"/>
              </w:rPr>
            </w:pPr>
            <w:r>
              <w:rPr>
                <w:noProof/>
                <w:lang w:val="de-DE"/>
              </w:rPr>
              <w:t>Ireland</w:t>
            </w:r>
          </w:p>
        </w:tc>
        <w:tc>
          <w:tcPr>
            <w:tcW w:w="817" w:type="pct"/>
            <w:gridSpan w:val="2"/>
            <w:tcBorders>
              <w:top w:val="single" w:sz="8" w:space="0" w:color="auto"/>
              <w:left w:val="nil"/>
              <w:bottom w:val="nil"/>
              <w:right w:val="nil"/>
            </w:tcBorders>
            <w:hideMark/>
          </w:tcPr>
          <w:p>
            <w:pPr>
              <w:spacing w:before="60" w:after="60"/>
              <w:jc w:val="right"/>
              <w:rPr>
                <w:noProof/>
                <w:lang w:val="de-DE"/>
              </w:rPr>
            </w:pPr>
            <w:r>
              <w:rPr>
                <w:rFonts w:asciiTheme="majorBidi" w:hAnsiTheme="majorBidi" w:cstheme="majorBidi"/>
                <w:noProof/>
                <w:color w:val="000000"/>
                <w:lang w:val="de-DE" w:eastAsia="en-GB"/>
              </w:rPr>
              <w:t>pm</w:t>
            </w:r>
          </w:p>
        </w:tc>
        <w:tc>
          <w:tcPr>
            <w:tcW w:w="658" w:type="pct"/>
            <w:gridSpan w:val="2"/>
            <w:tcBorders>
              <w:top w:val="single" w:sz="8" w:space="0" w:color="auto"/>
              <w:left w:val="nil"/>
              <w:bottom w:val="nil"/>
              <w:right w:val="nil"/>
            </w:tcBorders>
            <w:hideMark/>
          </w:tcPr>
          <w:p>
            <w:pPr>
              <w:rPr>
                <w:noProof/>
                <w:lang w:val="de-DE"/>
              </w:rPr>
            </w:pPr>
          </w:p>
        </w:tc>
        <w:tc>
          <w:tcPr>
            <w:tcW w:w="2591" w:type="pct"/>
            <w:gridSpan w:val="4"/>
            <w:vMerge w:val="restart"/>
            <w:tcBorders>
              <w:top w:val="single" w:sz="8" w:space="0" w:color="auto"/>
              <w:left w:val="nil"/>
              <w:bottom w:val="nil"/>
              <w:right w:val="nil"/>
            </w:tcBorders>
            <w:hideMark/>
          </w:tcPr>
          <w:p>
            <w:pPr>
              <w:spacing w:before="60" w:after="60"/>
              <w:rPr>
                <w:noProof/>
                <w:szCs w:val="24"/>
                <w:lang w:val="de-DE"/>
              </w:rPr>
            </w:pPr>
            <w:r>
              <w:rPr>
                <w:noProof/>
                <w:lang w:val="de-DE"/>
              </w:rPr>
              <w:t>Analytical TAC</w:t>
            </w:r>
          </w:p>
          <w:p>
            <w:pPr>
              <w:spacing w:before="60" w:after="60"/>
              <w:rPr>
                <w:noProof/>
                <w:lang w:val="de-DE"/>
              </w:rPr>
            </w:pPr>
            <w:r>
              <w:rPr>
                <w:noProof/>
                <w:lang w:val="de-DE"/>
              </w:rPr>
              <w:t>Article 3 of Regulation (EC) No 847/96 shall not apply</w:t>
            </w:r>
          </w:p>
          <w:p>
            <w:pPr>
              <w:spacing w:before="60" w:after="60"/>
              <w:rPr>
                <w:noProof/>
                <w:lang w:val="de-DE"/>
              </w:rPr>
            </w:pPr>
            <w:r>
              <w:rPr>
                <w:noProof/>
                <w:lang w:val="de-DE"/>
              </w:rPr>
              <w:t>Article 4 of Regulation (EC) No 847/96 shall not apply</w:t>
            </w:r>
          </w:p>
        </w:tc>
      </w:tr>
      <w:tr>
        <w:trPr>
          <w:trHeight w:val="227"/>
        </w:trPr>
        <w:tc>
          <w:tcPr>
            <w:tcW w:w="935" w:type="pct"/>
            <w:hideMark/>
          </w:tcPr>
          <w:p>
            <w:pPr>
              <w:spacing w:before="60" w:after="60"/>
              <w:rPr>
                <w:noProof/>
                <w:lang w:val="de-DE"/>
              </w:rPr>
            </w:pPr>
            <w:r>
              <w:rPr>
                <w:noProof/>
                <w:lang w:val="de-DE"/>
              </w:rPr>
              <w:t>Spain</w:t>
            </w:r>
          </w:p>
        </w:tc>
        <w:tc>
          <w:tcPr>
            <w:tcW w:w="817" w:type="pct"/>
            <w:gridSpan w:val="2"/>
            <w:hideMark/>
          </w:tcPr>
          <w:p>
            <w:pPr>
              <w:spacing w:before="60" w:after="60"/>
              <w:jc w:val="right"/>
              <w:rPr>
                <w:noProof/>
                <w:lang w:val="de-DE"/>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de-DE"/>
              </w:rPr>
            </w:pPr>
          </w:p>
        </w:tc>
      </w:tr>
      <w:tr>
        <w:trPr>
          <w:trHeight w:val="227"/>
        </w:trPr>
        <w:tc>
          <w:tcPr>
            <w:tcW w:w="935" w:type="pct"/>
            <w:hideMark/>
          </w:tcPr>
          <w:p>
            <w:pPr>
              <w:spacing w:before="60" w:after="60"/>
              <w:rPr>
                <w:noProof/>
                <w:lang w:val="de-DE"/>
              </w:rPr>
            </w:pPr>
            <w:r>
              <w:rPr>
                <w:noProof/>
                <w:lang w:val="de-DE"/>
              </w:rPr>
              <w:t>France</w:t>
            </w:r>
          </w:p>
        </w:tc>
        <w:tc>
          <w:tcPr>
            <w:tcW w:w="817" w:type="pct"/>
            <w:gridSpan w:val="2"/>
            <w:hideMark/>
          </w:tcPr>
          <w:p>
            <w:pPr>
              <w:spacing w:before="60" w:after="60"/>
              <w:jc w:val="right"/>
              <w:rPr>
                <w:noProof/>
                <w:lang w:val="de-DE"/>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de-DE"/>
              </w:rPr>
            </w:pPr>
          </w:p>
        </w:tc>
      </w:tr>
      <w:tr>
        <w:trPr>
          <w:trHeight w:val="227"/>
        </w:trPr>
        <w:tc>
          <w:tcPr>
            <w:tcW w:w="935" w:type="pct"/>
            <w:hideMark/>
          </w:tcPr>
          <w:p>
            <w:pPr>
              <w:spacing w:before="60" w:after="60"/>
              <w:rPr>
                <w:noProof/>
                <w:lang w:val="de-DE"/>
              </w:rPr>
            </w:pPr>
            <w:r>
              <w:rPr>
                <w:noProof/>
                <w:lang w:val="de-DE"/>
              </w:rPr>
              <w:t>Portugal</w:t>
            </w:r>
          </w:p>
        </w:tc>
        <w:tc>
          <w:tcPr>
            <w:tcW w:w="817" w:type="pct"/>
            <w:gridSpan w:val="2"/>
            <w:hideMark/>
          </w:tcPr>
          <w:p>
            <w:pPr>
              <w:spacing w:before="60" w:after="60"/>
              <w:jc w:val="right"/>
              <w:rPr>
                <w:noProof/>
                <w:lang w:val="de-DE"/>
              </w:rPr>
            </w:pPr>
            <w:r>
              <w:rPr>
                <w:rFonts w:asciiTheme="majorBidi" w:hAnsiTheme="majorBidi" w:cstheme="majorBidi"/>
                <w:noProof/>
                <w:color w:val="000000"/>
                <w:lang w:val="de-DE" w:eastAsia="en-GB"/>
              </w:rPr>
              <w:t>pm</w:t>
            </w:r>
          </w:p>
        </w:tc>
        <w:tc>
          <w:tcPr>
            <w:tcW w:w="658" w:type="pct"/>
            <w:gridSpan w:val="2"/>
            <w:hideMark/>
          </w:tcPr>
          <w:p>
            <w:pPr>
              <w:spacing w:before="60" w:after="60"/>
              <w:rPr>
                <w:b/>
                <w:bCs/>
                <w:noProof/>
                <w:vertAlign w:val="superscript"/>
                <w:lang w:val="de-DE"/>
              </w:rPr>
            </w:pPr>
            <w:r>
              <w:rPr>
                <w:b/>
                <w:bCs/>
                <w:noProof/>
                <w:vertAlign w:val="superscript"/>
                <w:lang w:val="de-DE"/>
              </w:rPr>
              <w:t>(1)</w:t>
            </w:r>
          </w:p>
        </w:tc>
        <w:tc>
          <w:tcPr>
            <w:tcW w:w="0" w:type="auto"/>
            <w:gridSpan w:val="4"/>
            <w:vMerge/>
            <w:tcBorders>
              <w:top w:val="single" w:sz="8" w:space="0" w:color="auto"/>
              <w:left w:val="nil"/>
              <w:bottom w:val="nil"/>
              <w:right w:val="nil"/>
            </w:tcBorders>
            <w:vAlign w:val="center"/>
            <w:hideMark/>
          </w:tcPr>
          <w:p>
            <w:pPr>
              <w:spacing w:before="0" w:after="0"/>
              <w:rPr>
                <w:noProof/>
                <w:szCs w:val="24"/>
                <w:lang w:val="de-DE"/>
              </w:rPr>
            </w:pPr>
          </w:p>
        </w:tc>
      </w:tr>
      <w:tr>
        <w:trPr>
          <w:trHeight w:val="227"/>
        </w:trPr>
        <w:tc>
          <w:tcPr>
            <w:tcW w:w="935" w:type="pct"/>
            <w:hideMark/>
          </w:tcPr>
          <w:p>
            <w:pPr>
              <w:spacing w:before="60" w:after="60"/>
              <w:rPr>
                <w:noProof/>
                <w:lang w:val="de-DE"/>
              </w:rPr>
            </w:pPr>
            <w:r>
              <w:rPr>
                <w:noProof/>
                <w:lang w:val="de-DE"/>
              </w:rPr>
              <w:t>Union</w:t>
            </w:r>
          </w:p>
        </w:tc>
        <w:tc>
          <w:tcPr>
            <w:tcW w:w="817" w:type="pct"/>
            <w:gridSpan w:val="2"/>
            <w:hideMark/>
          </w:tcPr>
          <w:p>
            <w:pPr>
              <w:spacing w:before="60" w:after="60"/>
              <w:jc w:val="right"/>
              <w:rPr>
                <w:noProof/>
                <w:lang w:val="de-DE"/>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de-DE"/>
              </w:rPr>
            </w:pPr>
          </w:p>
        </w:tc>
      </w:tr>
      <w:tr>
        <w:trPr>
          <w:trHeight w:val="227"/>
        </w:trPr>
        <w:tc>
          <w:tcPr>
            <w:tcW w:w="935" w:type="pct"/>
            <w:hideMark/>
          </w:tcPr>
          <w:p>
            <w:pPr>
              <w:spacing w:before="60" w:after="60"/>
              <w:rPr>
                <w:noProof/>
                <w:lang w:val="de-DE"/>
              </w:rPr>
            </w:pPr>
            <w:r>
              <w:rPr>
                <w:noProof/>
                <w:lang w:val="de-DE"/>
              </w:rPr>
              <w:t>TAC</w:t>
            </w:r>
          </w:p>
        </w:tc>
        <w:tc>
          <w:tcPr>
            <w:tcW w:w="817" w:type="pct"/>
            <w:gridSpan w:val="2"/>
            <w:hideMark/>
          </w:tcPr>
          <w:p>
            <w:pPr>
              <w:spacing w:before="60" w:after="60"/>
              <w:jc w:val="right"/>
              <w:rPr>
                <w:noProof/>
                <w:lang w:val="de-DE"/>
              </w:rPr>
            </w:pPr>
            <w:r>
              <w:rPr>
                <w:rFonts w:asciiTheme="majorBidi" w:hAnsiTheme="majorBidi" w:cstheme="majorBidi"/>
                <w:noProof/>
                <w:color w:val="000000"/>
                <w:lang w:val="de-DE" w:eastAsia="en-GB"/>
              </w:rPr>
              <w:t>pm</w:t>
            </w:r>
          </w:p>
        </w:tc>
        <w:tc>
          <w:tcPr>
            <w:tcW w:w="658" w:type="pct"/>
            <w:gridSpan w:val="2"/>
          </w:tcPr>
          <w:p>
            <w:pPr>
              <w:spacing w:before="60" w:after="60"/>
              <w:rPr>
                <w:noProof/>
                <w:lang w:val="de-DE"/>
              </w:rPr>
            </w:pPr>
          </w:p>
        </w:tc>
        <w:tc>
          <w:tcPr>
            <w:tcW w:w="0" w:type="auto"/>
            <w:gridSpan w:val="4"/>
            <w:vMerge/>
            <w:tcBorders>
              <w:top w:val="single" w:sz="8" w:space="0" w:color="auto"/>
              <w:left w:val="nil"/>
              <w:bottom w:val="nil"/>
              <w:right w:val="nil"/>
            </w:tcBorders>
            <w:vAlign w:val="center"/>
            <w:hideMark/>
          </w:tcPr>
          <w:p>
            <w:pPr>
              <w:spacing w:before="0" w:after="0"/>
              <w:rPr>
                <w:noProof/>
                <w:szCs w:val="24"/>
                <w:lang w:val="de-DE"/>
              </w:rPr>
            </w:pPr>
          </w:p>
        </w:tc>
      </w:tr>
      <w:tr>
        <w:trPr>
          <w:trHeight w:val="227"/>
        </w:trPr>
        <w:tc>
          <w:tcPr>
            <w:tcW w:w="935" w:type="pct"/>
            <w:tcBorders>
              <w:top w:val="nil"/>
              <w:left w:val="nil"/>
              <w:bottom w:val="single" w:sz="8" w:space="0" w:color="auto"/>
              <w:right w:val="nil"/>
            </w:tcBorders>
            <w:hideMark/>
          </w:tcPr>
          <w:p>
            <w:pPr>
              <w:spacing w:before="60" w:after="60"/>
              <w:jc w:val="right"/>
              <w:rPr>
                <w:b/>
                <w:bCs/>
                <w:noProof/>
                <w:vertAlign w:val="superscript"/>
                <w:lang w:val="de-DE"/>
              </w:rPr>
            </w:pPr>
            <w:r>
              <w:rPr>
                <w:b/>
                <w:bCs/>
                <w:noProof/>
                <w:vertAlign w:val="superscript"/>
                <w:lang w:val="de-DE"/>
              </w:rPr>
              <w:t>(1)</w:t>
            </w:r>
          </w:p>
        </w:tc>
        <w:tc>
          <w:tcPr>
            <w:tcW w:w="4065" w:type="pct"/>
            <w:gridSpan w:val="8"/>
            <w:tcBorders>
              <w:top w:val="nil"/>
              <w:left w:val="nil"/>
              <w:bottom w:val="single" w:sz="8" w:space="0" w:color="auto"/>
              <w:right w:val="nil"/>
            </w:tcBorders>
            <w:hideMark/>
          </w:tcPr>
          <w:p>
            <w:pPr>
              <w:spacing w:before="60" w:after="60"/>
              <w:rPr>
                <w:noProof/>
                <w:lang w:val="de-DE"/>
              </w:rPr>
            </w:pPr>
            <w:r>
              <w:rPr>
                <w:noProof/>
                <w:lang w:val="de-DE"/>
              </w:rPr>
              <w:t>The time period and the calculation method used by ICCAT to set the catch limit for North Atlantic blue shark shall not prejudge the time period and the calculation method used to define any future allocation key at Union level.</w:t>
            </w:r>
          </w:p>
        </w:tc>
      </w:tr>
    </w:tbl>
    <w:tbl>
      <w:tblPr>
        <w:tblpPr w:leftFromText="141" w:rightFromText="141" w:vertAnchor="text" w:horzAnchor="margin" w:tblpY="385"/>
        <w:tblW w:w="5047" w:type="pct"/>
        <w:tblLook w:val="06A0" w:firstRow="1" w:lastRow="0" w:firstColumn="1" w:lastColumn="0" w:noHBand="1" w:noVBand="1"/>
      </w:tblPr>
      <w:tblGrid>
        <w:gridCol w:w="1836"/>
        <w:gridCol w:w="1958"/>
        <w:gridCol w:w="965"/>
        <w:gridCol w:w="1295"/>
        <w:gridCol w:w="3894"/>
      </w:tblGrid>
      <w:tr>
        <w:trPr>
          <w:trHeight w:val="227"/>
        </w:trPr>
        <w:tc>
          <w:tcPr>
            <w:tcW w:w="923" w:type="pct"/>
            <w:tcBorders>
              <w:top w:val="single" w:sz="8" w:space="0" w:color="auto"/>
              <w:left w:val="nil"/>
              <w:bottom w:val="single" w:sz="8" w:space="0" w:color="auto"/>
              <w:right w:val="nil"/>
            </w:tcBorders>
            <w:hideMark/>
          </w:tcPr>
          <w:p>
            <w:pPr>
              <w:pageBreakBefore/>
              <w:spacing w:before="60" w:after="60"/>
              <w:rPr>
                <w:noProof/>
                <w:lang w:val="de-DE"/>
              </w:rPr>
            </w:pPr>
            <w:r>
              <w:rPr>
                <w:noProof/>
                <w:lang w:val="de-DE"/>
              </w:rPr>
              <w:t>Species:</w:t>
            </w:r>
          </w:p>
        </w:tc>
        <w:tc>
          <w:tcPr>
            <w:tcW w:w="1469" w:type="pct"/>
            <w:gridSpan w:val="2"/>
            <w:tcBorders>
              <w:top w:val="single" w:sz="8" w:space="0" w:color="auto"/>
              <w:left w:val="nil"/>
              <w:bottom w:val="single" w:sz="8" w:space="0" w:color="auto"/>
              <w:right w:val="nil"/>
            </w:tcBorders>
            <w:hideMark/>
          </w:tcPr>
          <w:p>
            <w:pPr>
              <w:keepNext/>
              <w:spacing w:before="60" w:after="60"/>
              <w:rPr>
                <w:noProof/>
                <w:lang w:val="de-DE"/>
              </w:rPr>
            </w:pPr>
            <w:r>
              <w:rPr>
                <w:noProof/>
                <w:lang w:val="de-DE"/>
              </w:rPr>
              <w:t>Blue shark</w:t>
            </w:r>
          </w:p>
          <w:p>
            <w:pPr>
              <w:keepNext/>
              <w:tabs>
                <w:tab w:val="left" w:pos="850"/>
              </w:tabs>
              <w:spacing w:before="60" w:after="60"/>
              <w:ind w:left="850" w:hanging="850"/>
              <w:outlineLvl w:val="0"/>
              <w:rPr>
                <w:noProof/>
                <w:lang w:val="de-DE"/>
              </w:rPr>
            </w:pPr>
            <w:bookmarkStart w:id="27" w:name="_Toc26205844"/>
            <w:bookmarkStart w:id="28" w:name="_Toc26207261"/>
            <w:r>
              <w:rPr>
                <w:i/>
                <w:iCs/>
                <w:noProof/>
                <w:lang w:val="de-DE"/>
              </w:rPr>
              <w:t>Prionace glauca</w:t>
            </w:r>
            <w:bookmarkEnd w:id="27"/>
            <w:bookmarkEnd w:id="28"/>
          </w:p>
        </w:tc>
        <w:tc>
          <w:tcPr>
            <w:tcW w:w="651" w:type="pct"/>
            <w:tcBorders>
              <w:top w:val="single" w:sz="8" w:space="0" w:color="auto"/>
              <w:left w:val="single" w:sz="8" w:space="0" w:color="auto"/>
              <w:bottom w:val="single" w:sz="8" w:space="0" w:color="auto"/>
              <w:right w:val="nil"/>
            </w:tcBorders>
            <w:hideMark/>
          </w:tcPr>
          <w:p>
            <w:pPr>
              <w:keepNext/>
              <w:spacing w:before="60" w:after="60"/>
              <w:rPr>
                <w:noProof/>
                <w:lang w:val="de-DE"/>
              </w:rPr>
            </w:pPr>
            <w:r>
              <w:rPr>
                <w:noProof/>
                <w:lang w:val="de-DE"/>
              </w:rPr>
              <w:t>Zone:</w:t>
            </w:r>
          </w:p>
        </w:tc>
        <w:tc>
          <w:tcPr>
            <w:tcW w:w="1957" w:type="pct"/>
            <w:tcBorders>
              <w:top w:val="single" w:sz="8" w:space="0" w:color="auto"/>
              <w:left w:val="nil"/>
              <w:bottom w:val="single" w:sz="8" w:space="0" w:color="auto"/>
              <w:right w:val="nil"/>
            </w:tcBorders>
            <w:hideMark/>
          </w:tcPr>
          <w:p>
            <w:pPr>
              <w:keepNext/>
              <w:spacing w:before="60" w:after="60"/>
              <w:rPr>
                <w:noProof/>
                <w:lang w:val="en-IE"/>
              </w:rPr>
            </w:pPr>
            <w:r>
              <w:rPr>
                <w:noProof/>
                <w:lang w:val="en-IE"/>
              </w:rPr>
              <w:t>Atlantic Ocean, south of 5° N</w:t>
            </w:r>
          </w:p>
          <w:p>
            <w:pPr>
              <w:keepNext/>
              <w:spacing w:before="60" w:after="60"/>
              <w:rPr>
                <w:noProof/>
                <w:lang w:val="en-IE"/>
              </w:rPr>
            </w:pPr>
            <w:r>
              <w:rPr>
                <w:noProof/>
                <w:lang w:val="en-IE"/>
              </w:rPr>
              <w:t>(BSH/AS05N)</w:t>
            </w:r>
          </w:p>
        </w:tc>
      </w:tr>
      <w:tr>
        <w:trPr>
          <w:trHeight w:val="1760"/>
        </w:trPr>
        <w:tc>
          <w:tcPr>
            <w:tcW w:w="923" w:type="pct"/>
            <w:tcBorders>
              <w:top w:val="single" w:sz="8" w:space="0" w:color="auto"/>
              <w:left w:val="nil"/>
              <w:bottom w:val="nil"/>
              <w:right w:val="nil"/>
            </w:tcBorders>
            <w:hideMark/>
          </w:tcPr>
          <w:p>
            <w:pPr>
              <w:keepNext/>
              <w:spacing w:before="60" w:after="60"/>
              <w:rPr>
                <w:noProof/>
                <w:lang w:val="de-DE"/>
              </w:rPr>
            </w:pPr>
            <w:r>
              <w:rPr>
                <w:noProof/>
                <w:lang w:val="de-DE"/>
              </w:rPr>
              <w:t>TAC</w:t>
            </w:r>
          </w:p>
        </w:tc>
        <w:tc>
          <w:tcPr>
            <w:tcW w:w="984" w:type="pct"/>
            <w:tcBorders>
              <w:top w:val="single" w:sz="8" w:space="0" w:color="auto"/>
              <w:left w:val="nil"/>
              <w:bottom w:val="nil"/>
              <w:right w:val="nil"/>
            </w:tcBorders>
            <w:hideMark/>
          </w:tcPr>
          <w:p>
            <w:pPr>
              <w:keepNext/>
              <w:jc w:val="right"/>
              <w:rPr>
                <w:noProof/>
                <w:color w:val="000000"/>
                <w:lang w:val="de-DE" w:eastAsia="en-GB"/>
              </w:rPr>
            </w:pPr>
            <w:r>
              <w:rPr>
                <w:rFonts w:asciiTheme="majorBidi" w:hAnsiTheme="majorBidi" w:cstheme="majorBidi"/>
                <w:noProof/>
                <w:color w:val="000000"/>
                <w:lang w:val="de-DE" w:eastAsia="en-GB"/>
              </w:rPr>
              <w:t>pm</w:t>
            </w:r>
          </w:p>
        </w:tc>
        <w:tc>
          <w:tcPr>
            <w:tcW w:w="485" w:type="pct"/>
            <w:tcBorders>
              <w:top w:val="single" w:sz="8" w:space="0" w:color="auto"/>
              <w:left w:val="nil"/>
              <w:bottom w:val="nil"/>
              <w:right w:val="nil"/>
            </w:tcBorders>
            <w:hideMark/>
          </w:tcPr>
          <w:p>
            <w:pPr>
              <w:keepNext/>
              <w:spacing w:before="60" w:after="60"/>
              <w:rPr>
                <w:b/>
                <w:bCs/>
                <w:noProof/>
                <w:vertAlign w:val="superscript"/>
                <w:lang w:val="de-DE"/>
              </w:rPr>
            </w:pPr>
            <w:r>
              <w:rPr>
                <w:b/>
                <w:bCs/>
                <w:noProof/>
                <w:vertAlign w:val="superscript"/>
                <w:lang w:val="de-DE"/>
              </w:rPr>
              <w:t>(1)</w:t>
            </w:r>
          </w:p>
        </w:tc>
        <w:tc>
          <w:tcPr>
            <w:tcW w:w="2608" w:type="pct"/>
            <w:gridSpan w:val="2"/>
            <w:tcBorders>
              <w:top w:val="single" w:sz="8" w:space="0" w:color="auto"/>
              <w:left w:val="nil"/>
              <w:bottom w:val="nil"/>
              <w:right w:val="nil"/>
            </w:tcBorders>
            <w:hideMark/>
          </w:tcPr>
          <w:p>
            <w:pPr>
              <w:keepNext/>
              <w:spacing w:before="60" w:after="60"/>
              <w:rPr>
                <w:noProof/>
                <w:lang w:val="en-IE"/>
              </w:rPr>
            </w:pPr>
            <w:r>
              <w:rPr>
                <w:noProof/>
                <w:lang w:val="en-IE"/>
              </w:rPr>
              <w:t>Analytical TAC</w:t>
            </w:r>
          </w:p>
          <w:p>
            <w:pPr>
              <w:keepNext/>
              <w:spacing w:before="60" w:after="60"/>
              <w:rPr>
                <w:noProof/>
                <w:lang w:val="en-IE"/>
              </w:rPr>
            </w:pPr>
            <w:r>
              <w:rPr>
                <w:noProof/>
                <w:lang w:val="en-IE"/>
              </w:rPr>
              <w:t>Article 3 of Regulation (EC) No 847/96 shall not apply</w:t>
            </w:r>
          </w:p>
          <w:p>
            <w:pPr>
              <w:keepNext/>
              <w:spacing w:before="60" w:after="60"/>
              <w:rPr>
                <w:noProof/>
                <w:lang w:val="en-IE"/>
              </w:rPr>
            </w:pPr>
            <w:r>
              <w:rPr>
                <w:noProof/>
                <w:lang w:val="en-IE"/>
              </w:rPr>
              <w:t>Article 4 of Regulation (EC) No 847/96 shall not apply</w:t>
            </w:r>
          </w:p>
        </w:tc>
      </w:tr>
      <w:tr>
        <w:trPr>
          <w:trHeight w:val="227"/>
        </w:trPr>
        <w:tc>
          <w:tcPr>
            <w:tcW w:w="923" w:type="pct"/>
            <w:tcBorders>
              <w:top w:val="nil"/>
              <w:left w:val="nil"/>
              <w:bottom w:val="single" w:sz="8" w:space="0" w:color="auto"/>
              <w:right w:val="nil"/>
            </w:tcBorders>
            <w:hideMark/>
          </w:tcPr>
          <w:p>
            <w:pPr>
              <w:keepNext/>
              <w:jc w:val="right"/>
              <w:rPr>
                <w:b/>
                <w:bCs/>
                <w:noProof/>
                <w:vertAlign w:val="superscript"/>
                <w:lang w:val="de-DE"/>
              </w:rPr>
            </w:pPr>
            <w:r>
              <w:rPr>
                <w:b/>
                <w:bCs/>
                <w:noProof/>
                <w:vertAlign w:val="superscript"/>
                <w:lang w:val="de-DE"/>
              </w:rPr>
              <w:t>(1)</w:t>
            </w:r>
          </w:p>
        </w:tc>
        <w:tc>
          <w:tcPr>
            <w:tcW w:w="4077" w:type="pct"/>
            <w:gridSpan w:val="4"/>
            <w:tcBorders>
              <w:top w:val="nil"/>
              <w:left w:val="nil"/>
              <w:bottom w:val="single" w:sz="8" w:space="0" w:color="auto"/>
              <w:right w:val="nil"/>
            </w:tcBorders>
            <w:hideMark/>
          </w:tcPr>
          <w:p>
            <w:pPr>
              <w:keepNext/>
              <w:rPr>
                <w:noProof/>
                <w:lang w:val="en-IE"/>
              </w:rPr>
            </w:pPr>
            <w:r>
              <w:rPr>
                <w:noProof/>
                <w:lang w:val="en-IE"/>
              </w:rPr>
              <w:t>The time period and the calculation method used by ICCAT to set the catch limit for North Atlantic blue shark shall not prejudge the time period and the calculation method used to define any future allocation key at Union level.</w:t>
            </w:r>
          </w:p>
        </w:tc>
      </w:tr>
    </w:tbl>
    <w:p>
      <w:pPr>
        <w:pStyle w:val="Lignefinal"/>
        <w:rPr>
          <w:noProof/>
        </w:rPr>
      </w:pPr>
    </w:p>
    <w:p>
      <w:pPr>
        <w:spacing w:before="0" w:after="0"/>
        <w:rPr>
          <w:b/>
          <w:noProof/>
          <w:u w:val="single"/>
        </w:rPr>
        <w:sectPr>
          <w:pgSz w:w="11907" w:h="16840"/>
          <w:pgMar w:top="1134" w:right="1134" w:bottom="1134" w:left="1134" w:header="567" w:footer="567" w:gutter="0"/>
          <w:pgNumType w:start="97"/>
          <w:cols w:space="720"/>
          <w:docGrid w:linePitch="326"/>
        </w:sectPr>
      </w:pPr>
    </w:p>
    <w:p>
      <w:pPr>
        <w:jc w:val="center"/>
        <w:rPr>
          <w:b/>
          <w:noProof/>
        </w:rPr>
      </w:pPr>
      <w:r>
        <w:rPr>
          <w:b/>
          <w:noProof/>
        </w:rPr>
        <w:t>ANNEX IE</w:t>
      </w:r>
    </w:p>
    <w:p>
      <w:pPr>
        <w:pStyle w:val="NormalCentered"/>
        <w:rPr>
          <w:noProof/>
        </w:rPr>
      </w:pPr>
      <w:r>
        <w:rPr>
          <w:noProof/>
        </w:rPr>
        <w:t>SOUTH</w:t>
      </w:r>
      <w:r>
        <w:rPr>
          <w:noProof/>
        </w:rPr>
        <w:noBreakHyphen/>
        <w:t xml:space="preserve">EAST ATLANTIC OCEAN – </w:t>
      </w:r>
      <w:r>
        <w:rPr>
          <w:noProof/>
        </w:rPr>
        <w:br/>
        <w:t>SEAFO CONVENTION AREA</w:t>
      </w:r>
    </w:p>
    <w:p>
      <w:pPr>
        <w:rPr>
          <w:noProof/>
        </w:rPr>
      </w:pPr>
      <w:r>
        <w:rPr>
          <w:noProof/>
        </w:rPr>
        <w:t>The TACs set out below are not allocated to the members of SEAFO and hence the Union’s share is undetermined. Catches are monitored by the SEAFO Secretariat which will communicate to the Contracting Parties when fishing is to be ceased due to a TAC exhaustion</w:t>
      </w:r>
    </w:p>
    <w:tbl>
      <w:tblPr>
        <w:tblW w:w="0" w:type="auto"/>
        <w:tblInd w:w="108" w:type="dxa"/>
        <w:tblLayout w:type="fixed"/>
        <w:tblLook w:val="04A0" w:firstRow="1" w:lastRow="0" w:firstColumn="1" w:lastColumn="0" w:noHBand="0" w:noVBand="1"/>
      </w:tblPr>
      <w:tblGrid>
        <w:gridCol w:w="1701"/>
        <w:gridCol w:w="1985"/>
        <w:gridCol w:w="992"/>
        <w:gridCol w:w="992"/>
        <w:gridCol w:w="3709"/>
      </w:tblGrid>
      <w:tr>
        <w:trPr>
          <w:trHeight w:val="227"/>
        </w:trPr>
        <w:tc>
          <w:tcPr>
            <w:tcW w:w="1701"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Species:</w:t>
            </w:r>
          </w:p>
        </w:tc>
        <w:tc>
          <w:tcPr>
            <w:tcW w:w="2977" w:type="dxa"/>
            <w:gridSpan w:val="2"/>
            <w:tcBorders>
              <w:top w:val="single" w:sz="8" w:space="0" w:color="000000"/>
              <w:left w:val="nil"/>
              <w:bottom w:val="single" w:sz="8" w:space="0" w:color="auto"/>
              <w:right w:val="single" w:sz="8" w:space="0" w:color="auto"/>
            </w:tcBorders>
            <w:hideMark/>
          </w:tcPr>
          <w:p>
            <w:pPr>
              <w:spacing w:before="60" w:after="60"/>
              <w:rPr>
                <w:rFonts w:asciiTheme="majorBidi" w:hAnsiTheme="majorBidi" w:cstheme="majorBidi"/>
                <w:noProof/>
                <w:lang w:val="en-US"/>
              </w:rPr>
            </w:pPr>
            <w:r>
              <w:rPr>
                <w:rFonts w:asciiTheme="majorBidi" w:hAnsiTheme="majorBidi" w:cstheme="majorBidi"/>
                <w:noProof/>
                <w:lang w:val="en-US"/>
              </w:rPr>
              <w:t>Alfonsinos</w:t>
            </w:r>
          </w:p>
          <w:p>
            <w:pPr>
              <w:spacing w:before="60" w:after="60"/>
              <w:rPr>
                <w:rFonts w:asciiTheme="majorBidi" w:hAnsiTheme="majorBidi" w:cstheme="majorBidi"/>
                <w:noProof/>
                <w:lang w:val="en-US"/>
              </w:rPr>
            </w:pPr>
            <w:r>
              <w:rPr>
                <w:rFonts w:asciiTheme="majorBidi" w:hAnsiTheme="majorBidi" w:cstheme="majorBidi"/>
                <w:i/>
                <w:iCs/>
                <w:noProof/>
                <w:lang w:val="en-US"/>
              </w:rPr>
              <w:t>Beryx</w:t>
            </w:r>
            <w:r>
              <w:rPr>
                <w:rFonts w:asciiTheme="majorBidi" w:hAnsiTheme="majorBidi" w:cstheme="majorBidi"/>
                <w:noProof/>
                <w:lang w:val="en-US"/>
              </w:rPr>
              <w:t xml:space="preserve"> spp.</w:t>
            </w:r>
          </w:p>
        </w:tc>
        <w:tc>
          <w:tcPr>
            <w:tcW w:w="992" w:type="dxa"/>
            <w:tcBorders>
              <w:top w:val="single" w:sz="8" w:space="0" w:color="000000"/>
              <w:left w:val="single" w:sz="8" w:space="0" w:color="auto"/>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709"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SEAFO</w:t>
            </w:r>
          </w:p>
          <w:p>
            <w:pPr>
              <w:spacing w:before="60" w:after="60"/>
              <w:rPr>
                <w:rFonts w:asciiTheme="majorBidi" w:hAnsiTheme="majorBidi" w:cstheme="majorBidi"/>
                <w:noProof/>
                <w:lang w:val="en-US"/>
              </w:rPr>
            </w:pPr>
            <w:r>
              <w:rPr>
                <w:rFonts w:asciiTheme="majorBidi" w:hAnsiTheme="majorBidi" w:cstheme="majorBidi"/>
                <w:noProof/>
                <w:lang w:val="en-US"/>
              </w:rPr>
              <w:t>(ALF/SEAFO)</w:t>
            </w:r>
          </w:p>
        </w:tc>
      </w:tr>
      <w:tr>
        <w:trPr>
          <w:trHeight w:val="227"/>
        </w:trPr>
        <w:tc>
          <w:tcPr>
            <w:tcW w:w="1701" w:type="dxa"/>
            <w:tcBorders>
              <w:top w:val="single" w:sz="8" w:space="0" w:color="auto"/>
              <w:left w:val="nil"/>
              <w:bottom w:val="nil"/>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1985" w:type="dxa"/>
            <w:tcBorders>
              <w:top w:val="single" w:sz="8" w:space="0" w:color="auto"/>
              <w:left w:val="nil"/>
              <w:bottom w:val="nil"/>
              <w:right w:val="nil"/>
            </w:tcBorders>
            <w:hideMark/>
          </w:tcPr>
          <w:p>
            <w:pPr>
              <w:spacing w:before="60" w:after="60"/>
              <w:jc w:val="right"/>
              <w:rPr>
                <w:noProof/>
                <w:lang w:val="en-US"/>
              </w:rPr>
            </w:pPr>
            <w:r>
              <w:rPr>
                <w:noProof/>
                <w:lang w:val="en-US"/>
              </w:rPr>
              <w:t>pm</w:t>
            </w:r>
          </w:p>
        </w:tc>
        <w:tc>
          <w:tcPr>
            <w:tcW w:w="992" w:type="dxa"/>
            <w:tcBorders>
              <w:top w:val="single" w:sz="8" w:space="0" w:color="auto"/>
              <w:left w:val="nil"/>
              <w:bottom w:val="nil"/>
              <w:right w:val="nil"/>
            </w:tcBorders>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701" w:type="dxa"/>
            <w:gridSpan w:val="2"/>
            <w:tcBorders>
              <w:top w:val="single" w:sz="8" w:space="0" w:color="auto"/>
              <w:left w:val="nil"/>
              <w:bottom w:val="nil"/>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Precautionary TAC</w:t>
            </w:r>
          </w:p>
        </w:tc>
      </w:tr>
      <w:tr>
        <w:trPr>
          <w:trHeight w:val="227"/>
        </w:trPr>
        <w:tc>
          <w:tcPr>
            <w:tcW w:w="9379" w:type="dxa"/>
            <w:gridSpan w:val="5"/>
            <w:tcBorders>
              <w:top w:val="nil"/>
              <w:left w:val="nil"/>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b/>
                <w:bCs/>
                <w:noProof/>
                <w:vertAlign w:val="superscript"/>
                <w:lang w:val="en-US"/>
              </w:rPr>
              <w:t>(1)</w:t>
            </w:r>
            <w:r>
              <w:rPr>
                <w:rFonts w:asciiTheme="majorBidi" w:hAnsiTheme="majorBidi" w:cstheme="majorBidi"/>
                <w:noProof/>
                <w:lang w:val="en-US"/>
              </w:rPr>
              <w:tab/>
              <w:t>No more than 132 tonnes may be taken in Division B1 (ALF/*F47NA).</w:t>
            </w:r>
          </w:p>
        </w:tc>
      </w:tr>
      <w:tr>
        <w:trPr>
          <w:trHeight w:val="227"/>
        </w:trPr>
        <w:tc>
          <w:tcPr>
            <w:tcW w:w="9379" w:type="dxa"/>
            <w:gridSpan w:val="5"/>
            <w:tcBorders>
              <w:top w:val="single" w:sz="8" w:space="0" w:color="auto"/>
              <w:left w:val="nil"/>
              <w:bottom w:val="nil"/>
              <w:right w:val="nil"/>
            </w:tcBorders>
          </w:tcPr>
          <w:p>
            <w:pPr>
              <w:spacing w:before="60" w:after="60"/>
              <w:rPr>
                <w:rFonts w:asciiTheme="majorBidi" w:hAnsiTheme="majorBidi" w:cstheme="majorBidi"/>
                <w:noProof/>
                <w:lang w:val="en-US"/>
              </w:rPr>
            </w:pPr>
          </w:p>
        </w:tc>
      </w:tr>
      <w:tr>
        <w:trPr>
          <w:trHeight w:val="227"/>
        </w:trPr>
        <w:tc>
          <w:tcPr>
            <w:tcW w:w="1701"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Species:</w:t>
            </w:r>
          </w:p>
        </w:tc>
        <w:tc>
          <w:tcPr>
            <w:tcW w:w="2977" w:type="dxa"/>
            <w:gridSpan w:val="2"/>
            <w:tcBorders>
              <w:top w:val="single" w:sz="8" w:space="0" w:color="000000"/>
              <w:left w:val="nil"/>
              <w:bottom w:val="single" w:sz="8" w:space="0" w:color="000000"/>
              <w:right w:val="single" w:sz="8" w:space="0" w:color="auto"/>
            </w:tcBorders>
            <w:hideMark/>
          </w:tcPr>
          <w:p>
            <w:pPr>
              <w:spacing w:before="60" w:after="60"/>
              <w:rPr>
                <w:rFonts w:asciiTheme="majorBidi" w:hAnsiTheme="majorBidi" w:cstheme="majorBidi"/>
                <w:noProof/>
                <w:lang w:val="es-ES"/>
              </w:rPr>
            </w:pPr>
            <w:r>
              <w:rPr>
                <w:rFonts w:asciiTheme="majorBidi" w:hAnsiTheme="majorBidi" w:cstheme="majorBidi"/>
                <w:noProof/>
                <w:lang w:val="es-ES"/>
              </w:rPr>
              <w:t>Deep</w:t>
            </w:r>
            <w:r>
              <w:rPr>
                <w:rFonts w:asciiTheme="majorBidi" w:hAnsiTheme="majorBidi" w:cstheme="majorBidi"/>
                <w:noProof/>
                <w:lang w:val="es-ES"/>
              </w:rPr>
              <w:noBreakHyphen/>
              <w:t>sea red crab</w:t>
            </w:r>
          </w:p>
          <w:p>
            <w:pPr>
              <w:spacing w:before="60" w:after="60"/>
              <w:rPr>
                <w:rFonts w:asciiTheme="majorBidi" w:hAnsiTheme="majorBidi" w:cstheme="majorBidi"/>
                <w:noProof/>
                <w:lang w:val="es-ES"/>
              </w:rPr>
            </w:pPr>
            <w:r>
              <w:rPr>
                <w:rFonts w:asciiTheme="majorBidi" w:hAnsiTheme="majorBidi" w:cstheme="majorBidi"/>
                <w:i/>
                <w:iCs/>
                <w:noProof/>
                <w:lang w:val="es-ES"/>
              </w:rPr>
              <w:t>Chaceon</w:t>
            </w:r>
            <w:r>
              <w:rPr>
                <w:rFonts w:asciiTheme="majorBidi" w:hAnsiTheme="majorBidi" w:cstheme="majorBidi"/>
                <w:noProof/>
                <w:lang w:val="es-ES"/>
              </w:rPr>
              <w:t> spp.</w:t>
            </w:r>
          </w:p>
        </w:tc>
        <w:tc>
          <w:tcPr>
            <w:tcW w:w="992" w:type="dxa"/>
            <w:tcBorders>
              <w:top w:val="single" w:sz="8" w:space="0" w:color="000000"/>
              <w:left w:val="single" w:sz="8" w:space="0" w:color="auto"/>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709"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SEAFO Subdivision B1</w:t>
            </w:r>
            <w:r>
              <w:rPr>
                <w:rFonts w:asciiTheme="majorBidi" w:hAnsiTheme="majorBidi" w:cstheme="majorBidi"/>
                <w:b/>
                <w:bCs/>
                <w:noProof/>
                <w:vertAlign w:val="superscript"/>
                <w:lang w:val="en-US"/>
              </w:rPr>
              <w:t>(1)</w:t>
            </w:r>
          </w:p>
          <w:p>
            <w:pPr>
              <w:spacing w:before="60" w:after="60"/>
              <w:rPr>
                <w:rFonts w:asciiTheme="majorBidi" w:hAnsiTheme="majorBidi" w:cstheme="majorBidi"/>
                <w:noProof/>
                <w:lang w:val="en-US"/>
              </w:rPr>
            </w:pPr>
            <w:r>
              <w:rPr>
                <w:rFonts w:asciiTheme="majorBidi" w:hAnsiTheme="majorBidi" w:cstheme="majorBidi"/>
                <w:noProof/>
                <w:lang w:val="en-US"/>
              </w:rPr>
              <w:t>(GER/F47NAM)</w:t>
            </w:r>
          </w:p>
        </w:tc>
      </w:tr>
      <w:tr>
        <w:trPr>
          <w:trHeight w:val="227"/>
        </w:trPr>
        <w:tc>
          <w:tcPr>
            <w:tcW w:w="1701" w:type="dxa"/>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1985" w:type="dxa"/>
            <w:hideMark/>
          </w:tcPr>
          <w:p>
            <w:pPr>
              <w:spacing w:before="60" w:after="60"/>
              <w:jc w:val="right"/>
              <w:rPr>
                <w:noProof/>
                <w:lang w:val="en-US"/>
              </w:rPr>
            </w:pPr>
            <w:r>
              <w:rPr>
                <w:noProof/>
                <w:lang w:val="en-US"/>
              </w:rPr>
              <w:t>pm</w:t>
            </w:r>
          </w:p>
        </w:tc>
        <w:tc>
          <w:tcPr>
            <w:tcW w:w="992" w:type="dxa"/>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(1)</w:t>
            </w:r>
          </w:p>
        </w:tc>
        <w:tc>
          <w:tcPr>
            <w:tcW w:w="4701" w:type="dxa"/>
            <w:gridSpan w:val="2"/>
            <w:hideMark/>
          </w:tcPr>
          <w:p>
            <w:pPr>
              <w:spacing w:before="60" w:after="60"/>
              <w:rPr>
                <w:rFonts w:asciiTheme="majorBidi" w:hAnsiTheme="majorBidi" w:cstheme="majorBidi"/>
                <w:noProof/>
                <w:lang w:val="en-US"/>
              </w:rPr>
            </w:pPr>
            <w:r>
              <w:rPr>
                <w:rFonts w:asciiTheme="majorBidi" w:hAnsiTheme="majorBidi" w:cstheme="majorBidi"/>
                <w:noProof/>
                <w:lang w:val="en-US"/>
              </w:rPr>
              <w:t>Precautionary TAC</w:t>
            </w:r>
          </w:p>
        </w:tc>
      </w:tr>
      <w:tr>
        <w:trPr>
          <w:trHeight w:val="227"/>
        </w:trPr>
        <w:tc>
          <w:tcPr>
            <w:tcW w:w="9379" w:type="dxa"/>
            <w:gridSpan w:val="5"/>
            <w:tcBorders>
              <w:top w:val="nil"/>
              <w:left w:val="nil"/>
              <w:bottom w:val="single" w:sz="8" w:space="0" w:color="000000"/>
              <w:right w:val="nil"/>
            </w:tcBorders>
            <w:hideMark/>
          </w:tcPr>
          <w:p>
            <w:pPr>
              <w:spacing w:before="60" w:after="60"/>
              <w:ind w:left="720" w:hanging="720"/>
              <w:rPr>
                <w:rFonts w:asciiTheme="majorBidi" w:hAnsiTheme="majorBidi" w:cstheme="majorBidi"/>
                <w:noProof/>
                <w:lang w:val="en-US"/>
              </w:rPr>
            </w:pPr>
            <w:r>
              <w:rPr>
                <w:rFonts w:asciiTheme="majorBidi" w:hAnsiTheme="majorBidi" w:cstheme="majorBidi"/>
                <w:b/>
                <w:bCs/>
                <w:noProof/>
                <w:vertAlign w:val="superscript"/>
                <w:lang w:val="en-US"/>
              </w:rPr>
              <w:t>(1)</w:t>
            </w:r>
            <w:r>
              <w:rPr>
                <w:rFonts w:asciiTheme="majorBidi" w:hAnsiTheme="majorBidi" w:cstheme="majorBidi"/>
                <w:noProof/>
                <w:lang w:val="en-US"/>
              </w:rPr>
              <w:tab/>
              <w:t>For the purpose of this TAC, the area open to the fishery is defined as having:</w:t>
            </w:r>
            <w:r>
              <w:rPr>
                <w:rFonts w:asciiTheme="majorBidi" w:hAnsiTheme="majorBidi" w:cstheme="majorBidi"/>
                <w:noProof/>
                <w:lang w:val="en-US"/>
              </w:rPr>
              <w:br/>
              <w:t>– its western boundary on the longitude 0° E;</w:t>
            </w:r>
            <w:r>
              <w:rPr>
                <w:rFonts w:asciiTheme="majorBidi" w:hAnsiTheme="majorBidi" w:cstheme="majorBidi"/>
                <w:noProof/>
                <w:lang w:val="en-US"/>
              </w:rPr>
              <w:br/>
              <w:t>– its northern boundary on the latitude 20° S;</w:t>
            </w:r>
            <w:r>
              <w:rPr>
                <w:rFonts w:asciiTheme="majorBidi" w:hAnsiTheme="majorBidi" w:cstheme="majorBidi"/>
                <w:noProof/>
                <w:lang w:val="en-US"/>
              </w:rPr>
              <w:br/>
              <w:t>– its southern boundary on the latitude 28° S, and</w:t>
            </w:r>
            <w:r>
              <w:rPr>
                <w:rFonts w:asciiTheme="majorBidi" w:hAnsiTheme="majorBidi" w:cstheme="majorBidi"/>
                <w:noProof/>
                <w:lang w:val="en-US"/>
              </w:rPr>
              <w:br/>
              <w:t>– the eastern boundary outer limits of the Namibian EEZ.</w:t>
            </w:r>
          </w:p>
        </w:tc>
      </w:tr>
      <w:tr>
        <w:trPr>
          <w:trHeight w:val="227"/>
        </w:trPr>
        <w:tc>
          <w:tcPr>
            <w:tcW w:w="9379" w:type="dxa"/>
            <w:gridSpan w:val="5"/>
            <w:tcBorders>
              <w:top w:val="single" w:sz="8" w:space="0" w:color="000000"/>
              <w:left w:val="nil"/>
              <w:bottom w:val="single" w:sz="8" w:space="0" w:color="auto"/>
              <w:right w:val="nil"/>
            </w:tcBorders>
          </w:tcPr>
          <w:p>
            <w:pPr>
              <w:spacing w:before="60" w:after="60"/>
              <w:rPr>
                <w:rFonts w:asciiTheme="majorBidi" w:hAnsiTheme="majorBidi" w:cstheme="majorBidi"/>
                <w:noProof/>
                <w:lang w:val="en-US"/>
              </w:rPr>
            </w:pPr>
          </w:p>
        </w:tc>
      </w:tr>
      <w:tr>
        <w:trPr>
          <w:trHeight w:val="227"/>
        </w:trPr>
        <w:tc>
          <w:tcPr>
            <w:tcW w:w="1701" w:type="dxa"/>
            <w:tcBorders>
              <w:top w:val="single" w:sz="8" w:space="0" w:color="auto"/>
              <w:left w:val="nil"/>
              <w:bottom w:val="single" w:sz="8" w:space="0" w:color="000000"/>
              <w:right w:val="nil"/>
            </w:tcBorders>
            <w:hideMark/>
          </w:tcPr>
          <w:p>
            <w:pPr>
              <w:pageBreakBefore/>
              <w:spacing w:before="60" w:after="60"/>
              <w:rPr>
                <w:rFonts w:asciiTheme="majorBidi" w:hAnsiTheme="majorBidi" w:cstheme="majorBidi"/>
                <w:noProof/>
                <w:lang w:val="en-US"/>
              </w:rPr>
            </w:pPr>
            <w:r>
              <w:rPr>
                <w:rFonts w:asciiTheme="majorBidi" w:hAnsiTheme="majorBidi" w:cstheme="majorBidi"/>
                <w:noProof/>
                <w:lang w:val="en-US"/>
              </w:rPr>
              <w:t>Species:</w:t>
            </w:r>
          </w:p>
        </w:tc>
        <w:tc>
          <w:tcPr>
            <w:tcW w:w="2977" w:type="dxa"/>
            <w:gridSpan w:val="2"/>
            <w:tcBorders>
              <w:top w:val="single" w:sz="8" w:space="0" w:color="auto"/>
              <w:left w:val="nil"/>
              <w:bottom w:val="single" w:sz="8" w:space="0" w:color="000000"/>
              <w:right w:val="single" w:sz="8" w:space="0" w:color="auto"/>
            </w:tcBorders>
            <w:hideMark/>
          </w:tcPr>
          <w:p>
            <w:pPr>
              <w:spacing w:before="60" w:after="60"/>
              <w:rPr>
                <w:rFonts w:asciiTheme="majorBidi" w:hAnsiTheme="majorBidi" w:cstheme="majorBidi"/>
                <w:noProof/>
                <w:lang w:val="es-ES"/>
              </w:rPr>
            </w:pPr>
            <w:r>
              <w:rPr>
                <w:rFonts w:asciiTheme="majorBidi" w:hAnsiTheme="majorBidi" w:cstheme="majorBidi"/>
                <w:noProof/>
                <w:lang w:val="es-ES"/>
              </w:rPr>
              <w:t>Deep</w:t>
            </w:r>
            <w:r>
              <w:rPr>
                <w:rFonts w:asciiTheme="majorBidi" w:hAnsiTheme="majorBidi" w:cstheme="majorBidi"/>
                <w:noProof/>
                <w:lang w:val="es-ES"/>
              </w:rPr>
              <w:noBreakHyphen/>
              <w:t>sea red crab</w:t>
            </w:r>
          </w:p>
          <w:p>
            <w:pPr>
              <w:spacing w:before="60" w:after="60"/>
              <w:rPr>
                <w:rFonts w:asciiTheme="majorBidi" w:hAnsiTheme="majorBidi" w:cstheme="majorBidi"/>
                <w:noProof/>
                <w:lang w:val="es-ES"/>
              </w:rPr>
            </w:pPr>
            <w:r>
              <w:rPr>
                <w:rFonts w:asciiTheme="majorBidi" w:hAnsiTheme="majorBidi" w:cstheme="majorBidi"/>
                <w:i/>
                <w:iCs/>
                <w:noProof/>
                <w:lang w:val="es-ES"/>
              </w:rPr>
              <w:t>Chaceon</w:t>
            </w:r>
            <w:r>
              <w:rPr>
                <w:rFonts w:asciiTheme="majorBidi" w:hAnsiTheme="majorBidi" w:cstheme="majorBidi"/>
                <w:noProof/>
                <w:lang w:val="es-ES"/>
              </w:rPr>
              <w:t xml:space="preserve"> spp.</w:t>
            </w:r>
          </w:p>
        </w:tc>
        <w:tc>
          <w:tcPr>
            <w:tcW w:w="992" w:type="dxa"/>
            <w:tcBorders>
              <w:top w:val="single" w:sz="8" w:space="0" w:color="auto"/>
              <w:left w:val="single" w:sz="8" w:space="0" w:color="auto"/>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709" w:type="dxa"/>
            <w:tcBorders>
              <w:top w:val="single" w:sz="8" w:space="0" w:color="auto"/>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SEAFO, excluding Subdivision B1</w:t>
            </w:r>
          </w:p>
          <w:p>
            <w:pPr>
              <w:spacing w:before="60" w:after="60"/>
              <w:rPr>
                <w:rFonts w:asciiTheme="majorBidi" w:hAnsiTheme="majorBidi" w:cstheme="majorBidi"/>
                <w:noProof/>
                <w:lang w:val="en-US"/>
              </w:rPr>
            </w:pPr>
            <w:r>
              <w:rPr>
                <w:rFonts w:asciiTheme="majorBidi" w:hAnsiTheme="majorBidi" w:cstheme="majorBidi"/>
                <w:noProof/>
                <w:lang w:val="en-US"/>
              </w:rPr>
              <w:t>(GER/F47X)</w:t>
            </w:r>
          </w:p>
        </w:tc>
      </w:tr>
      <w:tr>
        <w:trPr>
          <w:trHeight w:val="227"/>
        </w:trPr>
        <w:tc>
          <w:tcPr>
            <w:tcW w:w="1701" w:type="dxa"/>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1985" w:type="dxa"/>
            <w:hideMark/>
          </w:tcPr>
          <w:p>
            <w:pPr>
              <w:spacing w:before="60" w:after="60"/>
              <w:jc w:val="right"/>
              <w:rPr>
                <w:noProof/>
                <w:lang w:val="en-US"/>
              </w:rPr>
            </w:pPr>
            <w:r>
              <w:rPr>
                <w:noProof/>
                <w:lang w:val="en-US"/>
              </w:rPr>
              <w:t>pm</w:t>
            </w:r>
          </w:p>
        </w:tc>
        <w:tc>
          <w:tcPr>
            <w:tcW w:w="992" w:type="dxa"/>
          </w:tcPr>
          <w:p>
            <w:pPr>
              <w:spacing w:before="60" w:after="60"/>
              <w:rPr>
                <w:rFonts w:asciiTheme="majorBidi" w:hAnsiTheme="majorBidi" w:cstheme="majorBidi"/>
                <w:noProof/>
                <w:lang w:val="en-US"/>
              </w:rPr>
            </w:pPr>
          </w:p>
        </w:tc>
        <w:tc>
          <w:tcPr>
            <w:tcW w:w="4701" w:type="dxa"/>
            <w:gridSpan w:val="2"/>
            <w:hideMark/>
          </w:tcPr>
          <w:p>
            <w:pPr>
              <w:spacing w:before="60" w:after="60"/>
              <w:rPr>
                <w:rFonts w:asciiTheme="majorBidi" w:hAnsiTheme="majorBidi" w:cstheme="majorBidi"/>
                <w:noProof/>
                <w:lang w:val="en-US"/>
              </w:rPr>
            </w:pPr>
            <w:r>
              <w:rPr>
                <w:rFonts w:asciiTheme="majorBidi" w:hAnsiTheme="majorBidi" w:cstheme="majorBidi"/>
                <w:noProof/>
                <w:lang w:val="en-US"/>
              </w:rPr>
              <w:t>Precautionary TAC</w:t>
            </w:r>
          </w:p>
        </w:tc>
      </w:tr>
      <w:tr>
        <w:trPr>
          <w:trHeight w:val="227"/>
        </w:trPr>
        <w:tc>
          <w:tcPr>
            <w:tcW w:w="9379" w:type="dxa"/>
            <w:gridSpan w:val="5"/>
            <w:tcBorders>
              <w:top w:val="single" w:sz="8" w:space="0" w:color="000000"/>
              <w:left w:val="nil"/>
              <w:bottom w:val="single" w:sz="8" w:space="0" w:color="000000"/>
              <w:right w:val="nil"/>
            </w:tcBorders>
          </w:tcPr>
          <w:p>
            <w:pPr>
              <w:spacing w:before="60" w:after="60"/>
              <w:rPr>
                <w:rFonts w:asciiTheme="majorBidi" w:hAnsiTheme="majorBidi" w:cstheme="majorBidi"/>
                <w:noProof/>
                <w:lang w:val="en-US"/>
              </w:rPr>
            </w:pPr>
          </w:p>
        </w:tc>
      </w:tr>
      <w:tr>
        <w:trPr>
          <w:trHeight w:val="227"/>
        </w:trPr>
        <w:tc>
          <w:tcPr>
            <w:tcW w:w="1701"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Species:</w:t>
            </w:r>
          </w:p>
        </w:tc>
        <w:tc>
          <w:tcPr>
            <w:tcW w:w="2977" w:type="dxa"/>
            <w:gridSpan w:val="2"/>
            <w:tcBorders>
              <w:top w:val="single" w:sz="8" w:space="0" w:color="000000"/>
              <w:left w:val="nil"/>
              <w:bottom w:val="single" w:sz="8" w:space="0" w:color="000000"/>
              <w:right w:val="single" w:sz="8" w:space="0" w:color="auto"/>
            </w:tcBorders>
            <w:hideMark/>
          </w:tcPr>
          <w:p>
            <w:pPr>
              <w:spacing w:before="60" w:after="60"/>
              <w:rPr>
                <w:rFonts w:asciiTheme="majorBidi" w:hAnsiTheme="majorBidi" w:cstheme="majorBidi"/>
                <w:noProof/>
                <w:lang w:val="en-US"/>
              </w:rPr>
            </w:pPr>
            <w:r>
              <w:rPr>
                <w:rFonts w:asciiTheme="majorBidi" w:hAnsiTheme="majorBidi" w:cstheme="majorBidi"/>
                <w:noProof/>
                <w:lang w:val="en-US"/>
              </w:rPr>
              <w:t xml:space="preserve">Patagonian toothfish </w:t>
            </w:r>
            <w:r>
              <w:rPr>
                <w:rFonts w:asciiTheme="majorBidi" w:hAnsiTheme="majorBidi" w:cstheme="majorBidi"/>
                <w:i/>
                <w:iCs/>
                <w:noProof/>
                <w:lang w:val="en-US"/>
              </w:rPr>
              <w:t>Dissostichus eleginoides</w:t>
            </w:r>
          </w:p>
        </w:tc>
        <w:tc>
          <w:tcPr>
            <w:tcW w:w="992" w:type="dxa"/>
            <w:tcBorders>
              <w:top w:val="single" w:sz="8" w:space="0" w:color="000000"/>
              <w:left w:val="single" w:sz="8" w:space="0" w:color="auto"/>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709"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SEAFO Subarea D</w:t>
            </w:r>
          </w:p>
          <w:p>
            <w:pPr>
              <w:spacing w:before="60" w:after="60"/>
              <w:rPr>
                <w:rFonts w:asciiTheme="majorBidi" w:hAnsiTheme="majorBidi" w:cstheme="majorBidi"/>
                <w:noProof/>
                <w:lang w:val="en-US"/>
              </w:rPr>
            </w:pPr>
            <w:r>
              <w:rPr>
                <w:rFonts w:asciiTheme="majorBidi" w:hAnsiTheme="majorBidi" w:cstheme="majorBidi"/>
                <w:noProof/>
                <w:lang w:val="en-US"/>
              </w:rPr>
              <w:t>(TOP/F47D)</w:t>
            </w:r>
          </w:p>
        </w:tc>
      </w:tr>
      <w:tr>
        <w:trPr>
          <w:trHeight w:val="227"/>
        </w:trPr>
        <w:tc>
          <w:tcPr>
            <w:tcW w:w="1701" w:type="dxa"/>
            <w:tcBorders>
              <w:top w:val="single" w:sz="8" w:space="0" w:color="000000"/>
              <w:left w:val="nil"/>
              <w:bottom w:val="single" w:sz="4"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1985" w:type="dxa"/>
            <w:tcBorders>
              <w:top w:val="single" w:sz="8" w:space="0" w:color="000000"/>
              <w:left w:val="nil"/>
              <w:bottom w:val="single" w:sz="4" w:space="0" w:color="000000"/>
              <w:right w:val="nil"/>
            </w:tcBorders>
            <w:hideMark/>
          </w:tcPr>
          <w:p>
            <w:pPr>
              <w:spacing w:before="60" w:after="60"/>
              <w:jc w:val="right"/>
              <w:rPr>
                <w:noProof/>
                <w:lang w:val="en-US"/>
              </w:rPr>
            </w:pPr>
            <w:r>
              <w:rPr>
                <w:noProof/>
                <w:lang w:val="en-US"/>
              </w:rPr>
              <w:t>pm</w:t>
            </w:r>
          </w:p>
        </w:tc>
        <w:tc>
          <w:tcPr>
            <w:tcW w:w="992" w:type="dxa"/>
            <w:tcBorders>
              <w:top w:val="single" w:sz="8" w:space="0" w:color="000000"/>
              <w:left w:val="nil"/>
              <w:bottom w:val="single" w:sz="4" w:space="0" w:color="000000"/>
              <w:right w:val="nil"/>
            </w:tcBorders>
          </w:tcPr>
          <w:p>
            <w:pPr>
              <w:spacing w:before="60" w:after="60"/>
              <w:rPr>
                <w:rFonts w:asciiTheme="majorBidi" w:hAnsiTheme="majorBidi" w:cstheme="majorBidi"/>
                <w:noProof/>
                <w:lang w:val="en-US"/>
              </w:rPr>
            </w:pPr>
          </w:p>
        </w:tc>
        <w:tc>
          <w:tcPr>
            <w:tcW w:w="4701" w:type="dxa"/>
            <w:gridSpan w:val="2"/>
            <w:tcBorders>
              <w:top w:val="single" w:sz="8" w:space="0" w:color="000000"/>
              <w:left w:val="nil"/>
              <w:bottom w:val="single" w:sz="4"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Precautionary TAC</w:t>
            </w:r>
          </w:p>
        </w:tc>
      </w:tr>
      <w:tr>
        <w:trPr>
          <w:trHeight w:val="227"/>
        </w:trPr>
        <w:tc>
          <w:tcPr>
            <w:tcW w:w="9379" w:type="dxa"/>
            <w:gridSpan w:val="5"/>
            <w:tcBorders>
              <w:top w:val="single" w:sz="8" w:space="0" w:color="000000"/>
              <w:left w:val="nil"/>
              <w:bottom w:val="single" w:sz="4" w:space="0" w:color="000000"/>
              <w:right w:val="nil"/>
            </w:tcBorders>
          </w:tcPr>
          <w:p>
            <w:pPr>
              <w:spacing w:before="60" w:after="60"/>
              <w:rPr>
                <w:rFonts w:asciiTheme="majorBidi" w:hAnsiTheme="majorBidi" w:cstheme="majorBidi"/>
                <w:noProof/>
                <w:lang w:val="en-US"/>
              </w:rPr>
            </w:pPr>
          </w:p>
        </w:tc>
      </w:tr>
      <w:tr>
        <w:trPr>
          <w:trHeight w:val="227"/>
        </w:trPr>
        <w:tc>
          <w:tcPr>
            <w:tcW w:w="1701"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Species:</w:t>
            </w:r>
          </w:p>
        </w:tc>
        <w:tc>
          <w:tcPr>
            <w:tcW w:w="2977" w:type="dxa"/>
            <w:gridSpan w:val="2"/>
            <w:tcBorders>
              <w:top w:val="single" w:sz="8" w:space="0" w:color="000000"/>
              <w:left w:val="nil"/>
              <w:bottom w:val="single" w:sz="8" w:space="0" w:color="000000"/>
              <w:right w:val="single" w:sz="8" w:space="0" w:color="auto"/>
            </w:tcBorders>
            <w:hideMark/>
          </w:tcPr>
          <w:p>
            <w:pPr>
              <w:spacing w:before="60" w:after="60"/>
              <w:rPr>
                <w:rFonts w:asciiTheme="majorBidi" w:hAnsiTheme="majorBidi" w:cstheme="majorBidi"/>
                <w:noProof/>
                <w:lang w:val="en-US"/>
              </w:rPr>
            </w:pPr>
            <w:r>
              <w:rPr>
                <w:rFonts w:asciiTheme="majorBidi" w:hAnsiTheme="majorBidi" w:cstheme="majorBidi"/>
                <w:noProof/>
                <w:lang w:val="en-US"/>
              </w:rPr>
              <w:t>Patagonian toothfish</w:t>
            </w:r>
          </w:p>
          <w:p>
            <w:pPr>
              <w:spacing w:before="60" w:after="60"/>
              <w:rPr>
                <w:rFonts w:asciiTheme="majorBidi" w:hAnsiTheme="majorBidi" w:cstheme="majorBidi"/>
                <w:noProof/>
                <w:lang w:val="en-US"/>
              </w:rPr>
            </w:pPr>
            <w:r>
              <w:rPr>
                <w:rFonts w:asciiTheme="majorBidi" w:hAnsiTheme="majorBidi" w:cstheme="majorBidi"/>
                <w:i/>
                <w:iCs/>
                <w:noProof/>
                <w:lang w:val="en-US"/>
              </w:rPr>
              <w:t>Dissostichus eleginoides</w:t>
            </w:r>
          </w:p>
        </w:tc>
        <w:tc>
          <w:tcPr>
            <w:tcW w:w="992" w:type="dxa"/>
            <w:tcBorders>
              <w:top w:val="single" w:sz="8" w:space="0" w:color="000000"/>
              <w:left w:val="single" w:sz="8" w:space="0" w:color="auto"/>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709" w:type="dxa"/>
            <w:tcBorders>
              <w:top w:val="single" w:sz="8" w:space="0" w:color="000000"/>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SEAFO, excluding Suarea D</w:t>
            </w:r>
          </w:p>
          <w:p>
            <w:pPr>
              <w:spacing w:before="60" w:after="60"/>
              <w:rPr>
                <w:rFonts w:asciiTheme="majorBidi" w:hAnsiTheme="majorBidi" w:cstheme="majorBidi"/>
                <w:noProof/>
                <w:lang w:val="en-US"/>
              </w:rPr>
            </w:pPr>
            <w:r>
              <w:rPr>
                <w:rFonts w:asciiTheme="majorBidi" w:hAnsiTheme="majorBidi" w:cstheme="majorBidi"/>
                <w:noProof/>
                <w:lang w:val="en-US"/>
              </w:rPr>
              <w:t>(TOP/F47</w:t>
            </w:r>
            <w:r>
              <w:rPr>
                <w:rFonts w:asciiTheme="majorBidi" w:hAnsiTheme="majorBidi" w:cstheme="majorBidi"/>
                <w:noProof/>
                <w:lang w:val="en-US"/>
              </w:rPr>
              <w:noBreakHyphen/>
              <w:t>D)</w:t>
            </w:r>
          </w:p>
        </w:tc>
      </w:tr>
      <w:tr>
        <w:trPr>
          <w:trHeight w:val="227"/>
        </w:trPr>
        <w:tc>
          <w:tcPr>
            <w:tcW w:w="1701"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1985" w:type="dxa"/>
            <w:tcBorders>
              <w:top w:val="single" w:sz="8" w:space="0" w:color="000000"/>
              <w:left w:val="nil"/>
              <w:bottom w:val="single" w:sz="8" w:space="0" w:color="auto"/>
              <w:right w:val="nil"/>
            </w:tcBorders>
            <w:hideMark/>
          </w:tcPr>
          <w:p>
            <w:pPr>
              <w:spacing w:before="60" w:after="60"/>
              <w:jc w:val="right"/>
              <w:rPr>
                <w:noProof/>
                <w:lang w:val="en-US"/>
              </w:rPr>
            </w:pPr>
            <w:r>
              <w:rPr>
                <w:noProof/>
                <w:lang w:val="en-US"/>
              </w:rPr>
              <w:t>pm</w:t>
            </w:r>
          </w:p>
        </w:tc>
        <w:tc>
          <w:tcPr>
            <w:tcW w:w="992" w:type="dxa"/>
            <w:tcBorders>
              <w:top w:val="single" w:sz="8" w:space="0" w:color="000000"/>
              <w:left w:val="nil"/>
              <w:bottom w:val="single" w:sz="8" w:space="0" w:color="auto"/>
              <w:right w:val="nil"/>
            </w:tcBorders>
          </w:tcPr>
          <w:p>
            <w:pPr>
              <w:spacing w:before="60" w:after="60"/>
              <w:rPr>
                <w:rFonts w:asciiTheme="majorBidi" w:hAnsiTheme="majorBidi" w:cstheme="majorBidi"/>
                <w:noProof/>
                <w:lang w:val="en-US"/>
              </w:rPr>
            </w:pPr>
          </w:p>
        </w:tc>
        <w:tc>
          <w:tcPr>
            <w:tcW w:w="4701" w:type="dxa"/>
            <w:gridSpan w:val="2"/>
            <w:tcBorders>
              <w:top w:val="single" w:sz="8" w:space="0" w:color="000000"/>
              <w:left w:val="nil"/>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Precautionary TAC</w:t>
            </w:r>
          </w:p>
        </w:tc>
      </w:tr>
      <w:tr>
        <w:trPr>
          <w:trHeight w:val="227"/>
        </w:trPr>
        <w:tc>
          <w:tcPr>
            <w:tcW w:w="9379" w:type="dxa"/>
            <w:gridSpan w:val="5"/>
            <w:tcBorders>
              <w:top w:val="single" w:sz="8" w:space="0" w:color="auto"/>
              <w:left w:val="nil"/>
              <w:bottom w:val="single" w:sz="8" w:space="0" w:color="auto"/>
              <w:right w:val="nil"/>
            </w:tcBorders>
          </w:tcPr>
          <w:p>
            <w:pPr>
              <w:spacing w:before="60" w:after="60"/>
              <w:rPr>
                <w:rFonts w:asciiTheme="majorBidi" w:hAnsiTheme="majorBidi" w:cstheme="majorBidi"/>
                <w:noProof/>
                <w:lang w:val="en-US"/>
              </w:rPr>
            </w:pPr>
          </w:p>
        </w:tc>
      </w:tr>
      <w:tr>
        <w:trPr>
          <w:trHeight w:val="227"/>
        </w:trPr>
        <w:tc>
          <w:tcPr>
            <w:tcW w:w="1701" w:type="dxa"/>
            <w:tcBorders>
              <w:top w:val="single" w:sz="8" w:space="0" w:color="auto"/>
              <w:left w:val="nil"/>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Species:</w:t>
            </w:r>
          </w:p>
        </w:tc>
        <w:tc>
          <w:tcPr>
            <w:tcW w:w="2977" w:type="dxa"/>
            <w:gridSpan w:val="2"/>
            <w:tcBorders>
              <w:top w:val="single" w:sz="8" w:space="0" w:color="auto"/>
              <w:left w:val="nil"/>
              <w:bottom w:val="single" w:sz="8" w:space="0" w:color="auto"/>
              <w:right w:val="single" w:sz="8" w:space="0" w:color="auto"/>
            </w:tcBorders>
            <w:hideMark/>
          </w:tcPr>
          <w:p>
            <w:pPr>
              <w:spacing w:before="60" w:after="60"/>
              <w:rPr>
                <w:rFonts w:asciiTheme="majorBidi" w:hAnsiTheme="majorBidi" w:cstheme="majorBidi"/>
                <w:noProof/>
                <w:lang w:val="en-US"/>
              </w:rPr>
            </w:pPr>
            <w:r>
              <w:rPr>
                <w:rFonts w:asciiTheme="majorBidi" w:hAnsiTheme="majorBidi" w:cstheme="majorBidi"/>
                <w:noProof/>
                <w:lang w:val="en-US"/>
              </w:rPr>
              <w:t>Orange roughy</w:t>
            </w:r>
          </w:p>
          <w:p>
            <w:pPr>
              <w:keepNext/>
              <w:tabs>
                <w:tab w:val="left" w:pos="850"/>
              </w:tabs>
              <w:spacing w:before="60" w:after="60"/>
              <w:rPr>
                <w:rFonts w:asciiTheme="majorBidi" w:hAnsiTheme="majorBidi" w:cstheme="majorBidi"/>
                <w:i/>
                <w:iCs/>
                <w:noProof/>
                <w:lang w:val="en-US"/>
              </w:rPr>
            </w:pPr>
            <w:r>
              <w:rPr>
                <w:rFonts w:asciiTheme="majorBidi" w:hAnsiTheme="majorBidi" w:cstheme="majorBidi"/>
                <w:i/>
                <w:iCs/>
                <w:noProof/>
                <w:lang w:val="en-US"/>
              </w:rPr>
              <w:t>Hoplostethus atlanticus</w:t>
            </w:r>
          </w:p>
        </w:tc>
        <w:tc>
          <w:tcPr>
            <w:tcW w:w="992" w:type="dxa"/>
            <w:tcBorders>
              <w:top w:val="single" w:sz="8" w:space="0" w:color="auto"/>
              <w:left w:val="single" w:sz="8" w:space="0" w:color="auto"/>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709" w:type="dxa"/>
            <w:tcBorders>
              <w:top w:val="single" w:sz="8" w:space="0" w:color="auto"/>
              <w:left w:val="nil"/>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SEAFO Subdivision B1</w:t>
            </w:r>
            <w:r>
              <w:rPr>
                <w:rFonts w:asciiTheme="majorBidi" w:hAnsiTheme="majorBidi" w:cstheme="majorBidi"/>
                <w:b/>
                <w:bCs/>
                <w:noProof/>
                <w:vertAlign w:val="superscript"/>
                <w:lang w:val="en-US"/>
              </w:rPr>
              <w:t>(1)</w:t>
            </w:r>
          </w:p>
          <w:p>
            <w:pPr>
              <w:spacing w:before="60" w:after="60"/>
              <w:rPr>
                <w:rFonts w:asciiTheme="majorBidi" w:hAnsiTheme="majorBidi" w:cstheme="majorBidi"/>
                <w:noProof/>
                <w:lang w:val="en-US"/>
              </w:rPr>
            </w:pPr>
            <w:r>
              <w:rPr>
                <w:rFonts w:asciiTheme="majorBidi" w:hAnsiTheme="majorBidi" w:cstheme="majorBidi"/>
                <w:noProof/>
                <w:lang w:val="en-US"/>
              </w:rPr>
              <w:t>(ORY/F47NAM)</w:t>
            </w:r>
          </w:p>
        </w:tc>
      </w:tr>
      <w:tr>
        <w:trPr>
          <w:trHeight w:val="227"/>
        </w:trPr>
        <w:tc>
          <w:tcPr>
            <w:tcW w:w="1701" w:type="dxa"/>
            <w:tcBorders>
              <w:top w:val="single" w:sz="8" w:space="0" w:color="auto"/>
              <w:left w:val="nil"/>
              <w:bottom w:val="nil"/>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1985" w:type="dxa"/>
            <w:tcBorders>
              <w:top w:val="single" w:sz="8" w:space="0" w:color="auto"/>
              <w:left w:val="nil"/>
              <w:bottom w:val="nil"/>
              <w:right w:val="nil"/>
            </w:tcBorders>
            <w:hideMark/>
          </w:tcPr>
          <w:p>
            <w:pPr>
              <w:spacing w:before="60" w:after="60"/>
              <w:jc w:val="right"/>
              <w:rPr>
                <w:noProof/>
                <w:lang w:val="en-US"/>
              </w:rPr>
            </w:pPr>
            <w:r>
              <w:rPr>
                <w:noProof/>
                <w:lang w:val="en-US"/>
              </w:rPr>
              <w:t>pm</w:t>
            </w:r>
          </w:p>
        </w:tc>
        <w:tc>
          <w:tcPr>
            <w:tcW w:w="992" w:type="dxa"/>
            <w:tcBorders>
              <w:top w:val="single" w:sz="8" w:space="0" w:color="auto"/>
              <w:left w:val="nil"/>
              <w:bottom w:val="nil"/>
              <w:right w:val="nil"/>
            </w:tcBorders>
            <w:hideMark/>
          </w:tcPr>
          <w:p>
            <w:pPr>
              <w:spacing w:before="60" w:after="60"/>
              <w:rPr>
                <w:rFonts w:asciiTheme="majorBidi" w:hAnsiTheme="majorBidi" w:cstheme="majorBidi"/>
                <w:b/>
                <w:bCs/>
                <w:noProof/>
                <w:vertAlign w:val="superscript"/>
                <w:lang w:val="en-US"/>
              </w:rPr>
            </w:pPr>
            <w:r>
              <w:rPr>
                <w:rFonts w:asciiTheme="majorBidi" w:hAnsiTheme="majorBidi" w:cstheme="majorBidi"/>
                <w:b/>
                <w:bCs/>
                <w:noProof/>
                <w:vertAlign w:val="superscript"/>
                <w:lang w:val="en-US"/>
              </w:rPr>
              <w:t>(2)</w:t>
            </w:r>
          </w:p>
        </w:tc>
        <w:tc>
          <w:tcPr>
            <w:tcW w:w="4701" w:type="dxa"/>
            <w:gridSpan w:val="2"/>
            <w:tcBorders>
              <w:top w:val="single" w:sz="8" w:space="0" w:color="auto"/>
              <w:left w:val="nil"/>
              <w:bottom w:val="nil"/>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Precautionary TAC</w:t>
            </w:r>
          </w:p>
        </w:tc>
      </w:tr>
      <w:tr>
        <w:trPr>
          <w:trHeight w:val="227"/>
        </w:trPr>
        <w:tc>
          <w:tcPr>
            <w:tcW w:w="9379" w:type="dxa"/>
            <w:gridSpan w:val="5"/>
            <w:tcBorders>
              <w:top w:val="nil"/>
              <w:left w:val="nil"/>
              <w:bottom w:val="single" w:sz="8" w:space="0" w:color="auto"/>
              <w:right w:val="nil"/>
            </w:tcBorders>
            <w:hideMark/>
          </w:tcPr>
          <w:p>
            <w:pPr>
              <w:spacing w:before="60" w:after="60"/>
              <w:ind w:left="720" w:hanging="720"/>
              <w:rPr>
                <w:rFonts w:asciiTheme="majorBidi" w:hAnsiTheme="majorBidi" w:cstheme="majorBidi"/>
                <w:noProof/>
                <w:lang w:val="en-US"/>
              </w:rPr>
            </w:pPr>
            <w:r>
              <w:rPr>
                <w:rFonts w:asciiTheme="majorBidi" w:hAnsiTheme="majorBidi" w:cstheme="majorBidi"/>
                <w:b/>
                <w:bCs/>
                <w:noProof/>
                <w:vertAlign w:val="superscript"/>
                <w:lang w:val="en-US"/>
              </w:rPr>
              <w:t>(1)</w:t>
            </w:r>
            <w:r>
              <w:rPr>
                <w:rFonts w:asciiTheme="majorBidi" w:hAnsiTheme="majorBidi" w:cstheme="majorBidi"/>
                <w:noProof/>
                <w:lang w:val="en-US"/>
              </w:rPr>
              <w:tab/>
              <w:t>For the purpose of this Annex, the area open to the fishery is defined as having:</w:t>
            </w:r>
            <w:r>
              <w:rPr>
                <w:rFonts w:asciiTheme="majorBidi" w:hAnsiTheme="majorBidi" w:cstheme="majorBidi"/>
                <w:noProof/>
                <w:lang w:val="en-US"/>
              </w:rPr>
              <w:br/>
              <w:t>– its western boundary on the longitude 0° E;</w:t>
            </w:r>
            <w:r>
              <w:rPr>
                <w:rFonts w:asciiTheme="majorBidi" w:hAnsiTheme="majorBidi" w:cstheme="majorBidi"/>
                <w:noProof/>
                <w:lang w:val="en-US"/>
              </w:rPr>
              <w:br/>
              <w:t>– its northern boundary on the latitude 20° S;</w:t>
            </w:r>
            <w:r>
              <w:rPr>
                <w:rFonts w:asciiTheme="majorBidi" w:hAnsiTheme="majorBidi" w:cstheme="majorBidi"/>
                <w:noProof/>
                <w:lang w:val="en-US"/>
              </w:rPr>
              <w:br/>
              <w:t>– its southern boundary on the latitude 28° S, and</w:t>
            </w:r>
            <w:r>
              <w:rPr>
                <w:rFonts w:asciiTheme="majorBidi" w:hAnsiTheme="majorBidi" w:cstheme="majorBidi"/>
                <w:noProof/>
                <w:lang w:val="en-US"/>
              </w:rPr>
              <w:br/>
              <w:t>– the eastern boundary outer limits of the Namibian EEZ.</w:t>
            </w:r>
          </w:p>
          <w:p>
            <w:pPr>
              <w:spacing w:before="60" w:after="60"/>
              <w:ind w:left="720" w:hanging="720"/>
              <w:rPr>
                <w:rFonts w:asciiTheme="majorBidi" w:hAnsiTheme="majorBidi" w:cstheme="majorBidi"/>
                <w:noProof/>
                <w:lang w:val="en-US"/>
              </w:rPr>
            </w:pPr>
            <w:r>
              <w:rPr>
                <w:rFonts w:asciiTheme="majorBidi" w:hAnsiTheme="majorBidi" w:cstheme="majorBidi"/>
                <w:b/>
                <w:bCs/>
                <w:noProof/>
                <w:vertAlign w:val="superscript"/>
                <w:lang w:val="en-US"/>
              </w:rPr>
              <w:t>(2)</w:t>
            </w:r>
            <w:r>
              <w:rPr>
                <w:rFonts w:asciiTheme="majorBidi" w:hAnsiTheme="majorBidi" w:cstheme="majorBidi"/>
                <w:noProof/>
                <w:lang w:val="en-US"/>
              </w:rPr>
              <w:tab/>
              <w:t>Except for a by</w:t>
            </w:r>
            <w:r>
              <w:rPr>
                <w:rFonts w:asciiTheme="majorBidi" w:hAnsiTheme="majorBidi" w:cstheme="majorBidi"/>
                <w:noProof/>
                <w:lang w:val="en-US"/>
              </w:rPr>
              <w:noBreakHyphen/>
              <w:t>catch allowance of 4 tonnes (ORY/*F47NA).</w:t>
            </w:r>
          </w:p>
        </w:tc>
      </w:tr>
      <w:tr>
        <w:trPr>
          <w:trHeight w:val="227"/>
        </w:trPr>
        <w:tc>
          <w:tcPr>
            <w:tcW w:w="9379" w:type="dxa"/>
            <w:gridSpan w:val="5"/>
            <w:tcBorders>
              <w:top w:val="single" w:sz="8" w:space="0" w:color="auto"/>
              <w:left w:val="nil"/>
              <w:bottom w:val="single" w:sz="8" w:space="0" w:color="000000"/>
              <w:right w:val="nil"/>
            </w:tcBorders>
          </w:tcPr>
          <w:p>
            <w:pPr>
              <w:spacing w:before="60" w:after="60"/>
              <w:rPr>
                <w:rFonts w:asciiTheme="majorBidi" w:hAnsiTheme="majorBidi" w:cstheme="majorBidi"/>
                <w:noProof/>
                <w:lang w:val="en-US"/>
              </w:rPr>
            </w:pPr>
          </w:p>
        </w:tc>
      </w:tr>
      <w:tr>
        <w:trPr>
          <w:trHeight w:val="227"/>
        </w:trPr>
        <w:tc>
          <w:tcPr>
            <w:tcW w:w="1701" w:type="dxa"/>
            <w:tcBorders>
              <w:top w:val="single" w:sz="8" w:space="0" w:color="000000"/>
              <w:left w:val="nil"/>
              <w:bottom w:val="single" w:sz="8" w:space="0" w:color="auto"/>
              <w:right w:val="nil"/>
            </w:tcBorders>
            <w:hideMark/>
          </w:tcPr>
          <w:p>
            <w:pPr>
              <w:pageBreakBefore/>
              <w:spacing w:before="60" w:after="60"/>
              <w:rPr>
                <w:rFonts w:asciiTheme="majorBidi" w:hAnsiTheme="majorBidi" w:cstheme="majorBidi"/>
                <w:noProof/>
                <w:lang w:val="en-US"/>
              </w:rPr>
            </w:pPr>
            <w:r>
              <w:rPr>
                <w:rFonts w:asciiTheme="majorBidi" w:hAnsiTheme="majorBidi" w:cstheme="majorBidi"/>
                <w:noProof/>
                <w:lang w:val="en-US"/>
              </w:rPr>
              <w:t>Species:</w:t>
            </w:r>
          </w:p>
        </w:tc>
        <w:tc>
          <w:tcPr>
            <w:tcW w:w="2977" w:type="dxa"/>
            <w:gridSpan w:val="2"/>
            <w:tcBorders>
              <w:top w:val="single" w:sz="8" w:space="0" w:color="000000"/>
              <w:left w:val="nil"/>
              <w:bottom w:val="single" w:sz="8" w:space="0" w:color="auto"/>
              <w:right w:val="single" w:sz="8" w:space="0" w:color="auto"/>
            </w:tcBorders>
            <w:hideMark/>
          </w:tcPr>
          <w:p>
            <w:pPr>
              <w:spacing w:before="60" w:after="60"/>
              <w:rPr>
                <w:rFonts w:asciiTheme="majorBidi" w:hAnsiTheme="majorBidi" w:cstheme="majorBidi"/>
                <w:noProof/>
                <w:lang w:val="en-US"/>
              </w:rPr>
            </w:pPr>
            <w:r>
              <w:rPr>
                <w:rFonts w:asciiTheme="majorBidi" w:hAnsiTheme="majorBidi" w:cstheme="majorBidi"/>
                <w:noProof/>
                <w:lang w:val="en-US"/>
              </w:rPr>
              <w:t>Orange roughy</w:t>
            </w:r>
          </w:p>
          <w:p>
            <w:pPr>
              <w:keepNext/>
              <w:tabs>
                <w:tab w:val="left" w:pos="850"/>
              </w:tabs>
              <w:spacing w:before="60" w:after="60"/>
              <w:rPr>
                <w:rFonts w:asciiTheme="majorBidi" w:hAnsiTheme="majorBidi" w:cstheme="majorBidi"/>
                <w:i/>
                <w:iCs/>
                <w:noProof/>
                <w:lang w:val="en-US"/>
              </w:rPr>
            </w:pPr>
            <w:r>
              <w:rPr>
                <w:rFonts w:asciiTheme="majorBidi" w:hAnsiTheme="majorBidi" w:cstheme="majorBidi"/>
                <w:i/>
                <w:iCs/>
                <w:noProof/>
                <w:lang w:val="en-US"/>
              </w:rPr>
              <w:t>Hoplostethus atlanticus</w:t>
            </w:r>
          </w:p>
        </w:tc>
        <w:tc>
          <w:tcPr>
            <w:tcW w:w="992" w:type="dxa"/>
            <w:tcBorders>
              <w:top w:val="single" w:sz="8" w:space="0" w:color="000000"/>
              <w:left w:val="single" w:sz="8" w:space="0" w:color="auto"/>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709"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SEAFO, excluding Subdivision B1</w:t>
            </w:r>
          </w:p>
          <w:p>
            <w:pPr>
              <w:spacing w:before="60" w:after="60"/>
              <w:rPr>
                <w:rFonts w:asciiTheme="majorBidi" w:hAnsiTheme="majorBidi" w:cstheme="majorBidi"/>
                <w:noProof/>
                <w:lang w:val="en-US"/>
              </w:rPr>
            </w:pPr>
            <w:r>
              <w:rPr>
                <w:rFonts w:asciiTheme="majorBidi" w:hAnsiTheme="majorBidi" w:cstheme="majorBidi"/>
                <w:noProof/>
                <w:lang w:val="en-US"/>
              </w:rPr>
              <w:t>(ORY/F47X)</w:t>
            </w:r>
          </w:p>
        </w:tc>
      </w:tr>
      <w:tr>
        <w:trPr>
          <w:trHeight w:val="227"/>
        </w:trPr>
        <w:tc>
          <w:tcPr>
            <w:tcW w:w="1701" w:type="dxa"/>
            <w:tcBorders>
              <w:top w:val="single" w:sz="8" w:space="0" w:color="auto"/>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1985" w:type="dxa"/>
            <w:tcBorders>
              <w:top w:val="single" w:sz="8" w:space="0" w:color="auto"/>
              <w:left w:val="nil"/>
              <w:bottom w:val="single" w:sz="8" w:space="0" w:color="000000"/>
              <w:right w:val="nil"/>
            </w:tcBorders>
            <w:hideMark/>
          </w:tcPr>
          <w:p>
            <w:pPr>
              <w:spacing w:before="60" w:after="60"/>
              <w:jc w:val="right"/>
              <w:rPr>
                <w:noProof/>
                <w:lang w:val="en-US"/>
              </w:rPr>
            </w:pPr>
            <w:r>
              <w:rPr>
                <w:noProof/>
                <w:lang w:val="en-US"/>
              </w:rPr>
              <w:t>pm</w:t>
            </w:r>
          </w:p>
        </w:tc>
        <w:tc>
          <w:tcPr>
            <w:tcW w:w="992" w:type="dxa"/>
            <w:tcBorders>
              <w:top w:val="single" w:sz="8" w:space="0" w:color="auto"/>
              <w:left w:val="nil"/>
              <w:bottom w:val="single" w:sz="8" w:space="0" w:color="000000"/>
              <w:right w:val="nil"/>
            </w:tcBorders>
          </w:tcPr>
          <w:p>
            <w:pPr>
              <w:spacing w:before="60" w:after="60"/>
              <w:rPr>
                <w:rFonts w:asciiTheme="majorBidi" w:hAnsiTheme="majorBidi" w:cstheme="majorBidi"/>
                <w:noProof/>
                <w:lang w:val="en-US"/>
              </w:rPr>
            </w:pPr>
          </w:p>
        </w:tc>
        <w:tc>
          <w:tcPr>
            <w:tcW w:w="4701" w:type="dxa"/>
            <w:gridSpan w:val="2"/>
            <w:tcBorders>
              <w:top w:val="single" w:sz="8" w:space="0" w:color="auto"/>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Precautionary TAC</w:t>
            </w:r>
          </w:p>
        </w:tc>
      </w:tr>
      <w:tr>
        <w:trPr>
          <w:trHeight w:val="227"/>
        </w:trPr>
        <w:tc>
          <w:tcPr>
            <w:tcW w:w="9379" w:type="dxa"/>
            <w:gridSpan w:val="5"/>
            <w:tcBorders>
              <w:top w:val="single" w:sz="4" w:space="0" w:color="000000"/>
              <w:left w:val="nil"/>
              <w:bottom w:val="single" w:sz="8" w:space="0" w:color="000000"/>
              <w:right w:val="nil"/>
            </w:tcBorders>
          </w:tcPr>
          <w:p>
            <w:pPr>
              <w:spacing w:before="60" w:after="60"/>
              <w:rPr>
                <w:rFonts w:asciiTheme="majorBidi" w:hAnsiTheme="majorBidi" w:cstheme="majorBidi"/>
                <w:noProof/>
                <w:lang w:val="en-US"/>
              </w:rPr>
            </w:pPr>
          </w:p>
        </w:tc>
      </w:tr>
      <w:tr>
        <w:trPr>
          <w:trHeight w:val="227"/>
        </w:trPr>
        <w:tc>
          <w:tcPr>
            <w:tcW w:w="1701"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Species:</w:t>
            </w:r>
          </w:p>
        </w:tc>
        <w:tc>
          <w:tcPr>
            <w:tcW w:w="2977" w:type="dxa"/>
            <w:gridSpan w:val="2"/>
            <w:tcBorders>
              <w:top w:val="single" w:sz="8" w:space="0" w:color="000000"/>
              <w:left w:val="nil"/>
              <w:bottom w:val="single" w:sz="8" w:space="0" w:color="auto"/>
              <w:right w:val="single" w:sz="8" w:space="0" w:color="auto"/>
            </w:tcBorders>
            <w:hideMark/>
          </w:tcPr>
          <w:p>
            <w:pPr>
              <w:spacing w:before="60" w:after="60"/>
              <w:rPr>
                <w:rFonts w:asciiTheme="majorBidi" w:hAnsiTheme="majorBidi" w:cstheme="majorBidi"/>
                <w:noProof/>
                <w:lang w:val="en-US"/>
              </w:rPr>
            </w:pPr>
            <w:r>
              <w:rPr>
                <w:rFonts w:asciiTheme="majorBidi" w:hAnsiTheme="majorBidi" w:cstheme="majorBidi"/>
                <w:noProof/>
                <w:lang w:val="en-US"/>
              </w:rPr>
              <w:t>Pelagic armourhead</w:t>
            </w:r>
          </w:p>
          <w:p>
            <w:pPr>
              <w:spacing w:before="60" w:after="60"/>
              <w:rPr>
                <w:rFonts w:asciiTheme="majorBidi" w:hAnsiTheme="majorBidi" w:cstheme="majorBidi"/>
                <w:noProof/>
                <w:lang w:val="en-US"/>
              </w:rPr>
            </w:pPr>
            <w:r>
              <w:rPr>
                <w:rFonts w:asciiTheme="majorBidi" w:hAnsiTheme="majorBidi" w:cstheme="majorBidi"/>
                <w:i/>
                <w:iCs/>
                <w:noProof/>
                <w:lang w:val="en-US"/>
              </w:rPr>
              <w:t>Pseudopentaceros</w:t>
            </w:r>
            <w:r>
              <w:rPr>
                <w:rFonts w:asciiTheme="majorBidi" w:hAnsiTheme="majorBidi" w:cstheme="majorBidi"/>
                <w:noProof/>
                <w:lang w:val="en-US"/>
              </w:rPr>
              <w:t xml:space="preserve"> spp.</w:t>
            </w:r>
          </w:p>
        </w:tc>
        <w:tc>
          <w:tcPr>
            <w:tcW w:w="992" w:type="dxa"/>
            <w:tcBorders>
              <w:top w:val="single" w:sz="8" w:space="0" w:color="000000"/>
              <w:left w:val="single" w:sz="8" w:space="0" w:color="auto"/>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Zone:</w:t>
            </w:r>
          </w:p>
        </w:tc>
        <w:tc>
          <w:tcPr>
            <w:tcW w:w="3709" w:type="dxa"/>
            <w:tcBorders>
              <w:top w:val="single" w:sz="8" w:space="0" w:color="000000"/>
              <w:left w:val="nil"/>
              <w:bottom w:val="single" w:sz="8" w:space="0" w:color="auto"/>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SEAFO</w:t>
            </w:r>
          </w:p>
          <w:p>
            <w:pPr>
              <w:spacing w:before="60" w:after="60"/>
              <w:rPr>
                <w:rFonts w:asciiTheme="majorBidi" w:hAnsiTheme="majorBidi" w:cstheme="majorBidi"/>
                <w:noProof/>
                <w:lang w:val="en-US"/>
              </w:rPr>
            </w:pPr>
            <w:r>
              <w:rPr>
                <w:rFonts w:asciiTheme="majorBidi" w:hAnsiTheme="majorBidi" w:cstheme="majorBidi"/>
                <w:noProof/>
                <w:lang w:val="en-US"/>
              </w:rPr>
              <w:t>(EDW/SEAFO)</w:t>
            </w:r>
          </w:p>
        </w:tc>
      </w:tr>
      <w:tr>
        <w:trPr>
          <w:trHeight w:val="227"/>
        </w:trPr>
        <w:tc>
          <w:tcPr>
            <w:tcW w:w="1701" w:type="dxa"/>
            <w:tcBorders>
              <w:top w:val="single" w:sz="8" w:space="0" w:color="auto"/>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TAC</w:t>
            </w:r>
          </w:p>
        </w:tc>
        <w:tc>
          <w:tcPr>
            <w:tcW w:w="1985" w:type="dxa"/>
            <w:tcBorders>
              <w:top w:val="single" w:sz="8" w:space="0" w:color="auto"/>
              <w:left w:val="nil"/>
              <w:bottom w:val="single" w:sz="8" w:space="0" w:color="000000"/>
              <w:right w:val="nil"/>
            </w:tcBorders>
            <w:hideMark/>
          </w:tcPr>
          <w:p>
            <w:pPr>
              <w:spacing w:before="60" w:after="60"/>
              <w:jc w:val="right"/>
              <w:rPr>
                <w:noProof/>
                <w:lang w:val="en-US"/>
              </w:rPr>
            </w:pPr>
            <w:r>
              <w:rPr>
                <w:noProof/>
                <w:lang w:val="en-US"/>
              </w:rPr>
              <w:t>pm</w:t>
            </w:r>
          </w:p>
        </w:tc>
        <w:tc>
          <w:tcPr>
            <w:tcW w:w="992" w:type="dxa"/>
            <w:tcBorders>
              <w:top w:val="single" w:sz="8" w:space="0" w:color="auto"/>
              <w:left w:val="nil"/>
              <w:bottom w:val="single" w:sz="8" w:space="0" w:color="000000"/>
              <w:right w:val="nil"/>
            </w:tcBorders>
          </w:tcPr>
          <w:p>
            <w:pPr>
              <w:spacing w:before="60" w:after="60"/>
              <w:rPr>
                <w:rFonts w:asciiTheme="majorBidi" w:hAnsiTheme="majorBidi" w:cstheme="majorBidi"/>
                <w:noProof/>
                <w:lang w:val="en-US"/>
              </w:rPr>
            </w:pPr>
          </w:p>
        </w:tc>
        <w:tc>
          <w:tcPr>
            <w:tcW w:w="4701" w:type="dxa"/>
            <w:gridSpan w:val="2"/>
            <w:tcBorders>
              <w:top w:val="single" w:sz="8" w:space="0" w:color="auto"/>
              <w:left w:val="nil"/>
              <w:bottom w:val="single" w:sz="8" w:space="0" w:color="000000"/>
              <w:right w:val="nil"/>
            </w:tcBorders>
            <w:hideMark/>
          </w:tcPr>
          <w:p>
            <w:pPr>
              <w:spacing w:before="60" w:after="60"/>
              <w:rPr>
                <w:rFonts w:asciiTheme="majorBidi" w:hAnsiTheme="majorBidi" w:cstheme="majorBidi"/>
                <w:noProof/>
                <w:lang w:val="en-US"/>
              </w:rPr>
            </w:pPr>
            <w:r>
              <w:rPr>
                <w:rFonts w:asciiTheme="majorBidi" w:hAnsiTheme="majorBidi" w:cstheme="majorBidi"/>
                <w:noProof/>
                <w:lang w:val="en-US"/>
              </w:rPr>
              <w:t>Precautionary TAC</w:t>
            </w:r>
          </w:p>
        </w:tc>
      </w:tr>
    </w:tbl>
    <w:p>
      <w:pPr>
        <w:pStyle w:val="Lignefinal"/>
        <w:rPr>
          <w:noProof/>
          <w:szCs w:val="22"/>
        </w:rPr>
      </w:pPr>
    </w:p>
    <w:p>
      <w:pPr>
        <w:spacing w:before="0" w:after="0"/>
        <w:rPr>
          <w:noProof/>
        </w:rPr>
        <w:sectPr>
          <w:pgSz w:w="11907" w:h="16840"/>
          <w:pgMar w:top="1134" w:right="1134" w:bottom="1134" w:left="1134" w:header="567" w:footer="567" w:gutter="0"/>
          <w:pgNumType w:start="106"/>
          <w:cols w:space="720"/>
          <w:docGrid w:linePitch="326"/>
        </w:sectPr>
      </w:pPr>
    </w:p>
    <w:p>
      <w:pPr>
        <w:jc w:val="center"/>
        <w:rPr>
          <w:b/>
          <w:noProof/>
          <w:szCs w:val="24"/>
          <w:lang w:eastAsia="en-GB" w:bidi="en-GB"/>
        </w:rPr>
      </w:pPr>
      <w:r>
        <w:rPr>
          <w:b/>
          <w:noProof/>
          <w:lang w:eastAsia="en-GB" w:bidi="en-GB"/>
        </w:rPr>
        <w:t>ANNEX IF</w:t>
      </w:r>
    </w:p>
    <w:p>
      <w:pPr>
        <w:pStyle w:val="NormalCentered"/>
        <w:rPr>
          <w:noProof/>
          <w:lang w:eastAsia="en-GB" w:bidi="en-GB"/>
        </w:rPr>
      </w:pPr>
      <w:r>
        <w:rPr>
          <w:noProof/>
          <w:lang w:eastAsia="en-GB" w:bidi="en-GB"/>
        </w:rPr>
        <w:t>SOUTHERN BLUEFIN TUNA – AREAS OF DISTRIBUTION</w:t>
      </w:r>
    </w:p>
    <w:tbl>
      <w:tblPr>
        <w:tblW w:w="0" w:type="auto"/>
        <w:tblCellMar>
          <w:left w:w="0" w:type="dxa"/>
          <w:right w:w="0" w:type="dxa"/>
        </w:tblCellMar>
        <w:tblLook w:val="01E0" w:firstRow="1" w:lastRow="1" w:firstColumn="1" w:lastColumn="1" w:noHBand="0" w:noVBand="0"/>
      </w:tblPr>
      <w:tblGrid>
        <w:gridCol w:w="1701"/>
        <w:gridCol w:w="1985"/>
        <w:gridCol w:w="992"/>
        <w:gridCol w:w="992"/>
        <w:gridCol w:w="3969"/>
      </w:tblGrid>
      <w:tr>
        <w:trPr>
          <w:trHeight w:val="227"/>
        </w:trPr>
        <w:tc>
          <w:tcPr>
            <w:tcW w:w="1701" w:type="dxa"/>
            <w:tcBorders>
              <w:top w:val="single" w:sz="4" w:space="0" w:color="auto"/>
              <w:left w:val="nil"/>
              <w:bottom w:val="single" w:sz="4" w:space="0" w:color="auto"/>
              <w:right w:val="nil"/>
            </w:tcBorders>
            <w:hideMark/>
          </w:tcPr>
          <w:p>
            <w:pPr>
              <w:spacing w:before="60" w:after="60"/>
              <w:rPr>
                <w:rFonts w:eastAsia="Calibri"/>
                <w:noProof/>
                <w:lang w:val="de-DE"/>
              </w:rPr>
            </w:pPr>
            <w:r>
              <w:rPr>
                <w:rFonts w:eastAsia="Calibri"/>
                <w:noProof/>
                <w:lang w:val="de-DE"/>
              </w:rPr>
              <w:t>Species:</w:t>
            </w:r>
          </w:p>
        </w:tc>
        <w:tc>
          <w:tcPr>
            <w:tcW w:w="2977" w:type="dxa"/>
            <w:gridSpan w:val="2"/>
            <w:tcBorders>
              <w:top w:val="single" w:sz="4" w:space="0" w:color="auto"/>
              <w:left w:val="nil"/>
              <w:bottom w:val="single" w:sz="4" w:space="0" w:color="auto"/>
              <w:right w:val="single" w:sz="4" w:space="0" w:color="auto"/>
            </w:tcBorders>
            <w:hideMark/>
          </w:tcPr>
          <w:p>
            <w:pPr>
              <w:spacing w:before="60" w:after="60"/>
              <w:rPr>
                <w:rFonts w:eastAsia="Calibri"/>
                <w:noProof/>
                <w:lang w:val="de-DE"/>
              </w:rPr>
            </w:pPr>
            <w:r>
              <w:rPr>
                <w:rFonts w:eastAsia="Calibri"/>
                <w:noProof/>
                <w:lang w:val="de-DE"/>
              </w:rPr>
              <w:t>Southern bluefin tuna</w:t>
            </w:r>
          </w:p>
          <w:p>
            <w:pPr>
              <w:spacing w:before="60" w:after="60"/>
              <w:rPr>
                <w:rFonts w:eastAsia="Calibri"/>
                <w:i/>
                <w:iCs/>
                <w:noProof/>
                <w:lang w:val="de-DE"/>
              </w:rPr>
            </w:pPr>
            <w:r>
              <w:rPr>
                <w:rFonts w:eastAsia="Calibri"/>
                <w:i/>
                <w:iCs/>
                <w:noProof/>
                <w:lang w:val="de-DE"/>
              </w:rPr>
              <w:t>Thunnus maccoyii</w:t>
            </w:r>
          </w:p>
        </w:tc>
        <w:tc>
          <w:tcPr>
            <w:tcW w:w="992" w:type="dxa"/>
            <w:tcBorders>
              <w:top w:val="single" w:sz="4" w:space="0" w:color="auto"/>
              <w:left w:val="single" w:sz="4" w:space="0" w:color="auto"/>
              <w:bottom w:val="single" w:sz="4" w:space="0" w:color="auto"/>
              <w:right w:val="nil"/>
            </w:tcBorders>
            <w:hideMark/>
          </w:tcPr>
          <w:p>
            <w:pPr>
              <w:spacing w:before="60" w:after="60"/>
              <w:rPr>
                <w:rFonts w:eastAsia="Calibri"/>
                <w:noProof/>
                <w:lang w:val="de-DE"/>
              </w:rPr>
            </w:pPr>
            <w:r>
              <w:rPr>
                <w:rFonts w:eastAsia="Calibri"/>
                <w:noProof/>
                <w:lang w:val="de-DE"/>
              </w:rPr>
              <w:t>Zone:</w:t>
            </w:r>
          </w:p>
        </w:tc>
        <w:tc>
          <w:tcPr>
            <w:tcW w:w="3969" w:type="dxa"/>
            <w:tcBorders>
              <w:top w:val="single" w:sz="4" w:space="0" w:color="auto"/>
              <w:left w:val="nil"/>
              <w:bottom w:val="single" w:sz="4" w:space="0" w:color="auto"/>
              <w:right w:val="nil"/>
            </w:tcBorders>
            <w:hideMark/>
          </w:tcPr>
          <w:p>
            <w:pPr>
              <w:spacing w:before="60" w:after="60"/>
              <w:rPr>
                <w:rFonts w:eastAsia="Calibri"/>
                <w:noProof/>
                <w:lang w:val="de-DE"/>
              </w:rPr>
            </w:pPr>
            <w:r>
              <w:rPr>
                <w:rFonts w:eastAsia="Calibri"/>
                <w:noProof/>
                <w:lang w:val="de-DE"/>
              </w:rPr>
              <w:t>All areas of distribution (SBF/F41-81)</w:t>
            </w:r>
          </w:p>
        </w:tc>
      </w:tr>
      <w:tr>
        <w:trPr>
          <w:trHeight w:val="227"/>
        </w:trPr>
        <w:tc>
          <w:tcPr>
            <w:tcW w:w="1701" w:type="dxa"/>
            <w:tcBorders>
              <w:top w:val="single" w:sz="4" w:space="0" w:color="auto"/>
              <w:left w:val="nil"/>
              <w:bottom w:val="nil"/>
              <w:right w:val="nil"/>
            </w:tcBorders>
            <w:hideMark/>
          </w:tcPr>
          <w:p>
            <w:pPr>
              <w:spacing w:before="60" w:after="60"/>
              <w:rPr>
                <w:rFonts w:eastAsia="Calibri"/>
                <w:noProof/>
                <w:lang w:val="de-DE"/>
              </w:rPr>
            </w:pPr>
            <w:r>
              <w:rPr>
                <w:rFonts w:eastAsia="Calibri"/>
                <w:noProof/>
                <w:lang w:val="de-DE"/>
              </w:rPr>
              <w:t>Union</w:t>
            </w:r>
          </w:p>
        </w:tc>
        <w:tc>
          <w:tcPr>
            <w:tcW w:w="1985" w:type="dxa"/>
            <w:tcBorders>
              <w:top w:val="single" w:sz="4" w:space="0" w:color="auto"/>
              <w:left w:val="nil"/>
              <w:bottom w:val="nil"/>
              <w:right w:val="nil"/>
            </w:tcBorders>
            <w:hideMark/>
          </w:tcPr>
          <w:p>
            <w:pPr>
              <w:spacing w:before="60" w:after="60"/>
              <w:jc w:val="right"/>
              <w:rPr>
                <w:rFonts w:eastAsia="Calibri"/>
                <w:noProof/>
                <w:lang w:val="de-DE"/>
              </w:rPr>
            </w:pPr>
            <w:r>
              <w:rPr>
                <w:rFonts w:asciiTheme="majorBidi" w:hAnsiTheme="majorBidi" w:cstheme="majorBidi"/>
                <w:noProof/>
                <w:color w:val="000000"/>
                <w:lang w:val="de-DE" w:eastAsia="en-GB"/>
              </w:rPr>
              <w:t>pm</w:t>
            </w:r>
          </w:p>
        </w:tc>
        <w:tc>
          <w:tcPr>
            <w:tcW w:w="992" w:type="dxa"/>
            <w:tcBorders>
              <w:top w:val="single" w:sz="4" w:space="0" w:color="auto"/>
              <w:left w:val="nil"/>
              <w:bottom w:val="nil"/>
              <w:right w:val="nil"/>
            </w:tcBorders>
            <w:hideMark/>
          </w:tcPr>
          <w:p>
            <w:pPr>
              <w:spacing w:before="60" w:after="60"/>
              <w:rPr>
                <w:rFonts w:eastAsia="Calibri"/>
                <w:b/>
                <w:bCs/>
                <w:noProof/>
                <w:vertAlign w:val="superscript"/>
                <w:lang w:val="de-DE"/>
              </w:rPr>
            </w:pPr>
            <w:r>
              <w:rPr>
                <w:rFonts w:eastAsia="Calibri"/>
                <w:b/>
                <w:bCs/>
                <w:noProof/>
                <w:vertAlign w:val="superscript"/>
                <w:lang w:val="de-DE"/>
              </w:rPr>
              <w:t>(1)</w:t>
            </w:r>
          </w:p>
        </w:tc>
        <w:tc>
          <w:tcPr>
            <w:tcW w:w="4961" w:type="dxa"/>
            <w:gridSpan w:val="2"/>
            <w:tcBorders>
              <w:top w:val="single" w:sz="4" w:space="0" w:color="auto"/>
              <w:left w:val="nil"/>
              <w:bottom w:val="nil"/>
              <w:right w:val="nil"/>
            </w:tcBorders>
            <w:hideMark/>
          </w:tcPr>
          <w:p>
            <w:pPr>
              <w:spacing w:before="60" w:after="60"/>
              <w:rPr>
                <w:rFonts w:eastAsia="Calibri"/>
                <w:noProof/>
                <w:lang w:val="de-DE"/>
              </w:rPr>
            </w:pPr>
            <w:r>
              <w:rPr>
                <w:rFonts w:eastAsia="Calibri"/>
                <w:noProof/>
                <w:lang w:val="de-DE"/>
              </w:rPr>
              <w:t>Analytical TAC</w:t>
            </w:r>
          </w:p>
          <w:p>
            <w:pPr>
              <w:spacing w:before="60" w:after="60"/>
              <w:rPr>
                <w:rFonts w:eastAsia="Calibri"/>
                <w:noProof/>
                <w:lang w:val="de-DE"/>
              </w:rPr>
            </w:pPr>
            <w:r>
              <w:rPr>
                <w:rFonts w:eastAsia="Calibri"/>
                <w:noProof/>
                <w:lang w:val="de-DE"/>
              </w:rPr>
              <w:t>Article 3 of Regulation (EC) No 847/96 shall not apply</w:t>
            </w:r>
          </w:p>
          <w:p>
            <w:pPr>
              <w:spacing w:before="60" w:after="60"/>
              <w:rPr>
                <w:rFonts w:eastAsia="Calibri"/>
                <w:noProof/>
                <w:lang w:val="de-DE"/>
              </w:rPr>
            </w:pPr>
            <w:r>
              <w:rPr>
                <w:rFonts w:eastAsia="Calibri"/>
                <w:noProof/>
                <w:lang w:val="de-DE"/>
              </w:rPr>
              <w:t>Article 4 of Regulation (EC) No 847/96 shall not apply</w:t>
            </w:r>
          </w:p>
        </w:tc>
      </w:tr>
      <w:tr>
        <w:trPr>
          <w:trHeight w:val="227"/>
        </w:trPr>
        <w:tc>
          <w:tcPr>
            <w:tcW w:w="1701" w:type="dxa"/>
            <w:hideMark/>
          </w:tcPr>
          <w:p>
            <w:pPr>
              <w:spacing w:before="60" w:after="60"/>
              <w:rPr>
                <w:rFonts w:eastAsia="Calibri"/>
                <w:noProof/>
                <w:lang w:val="de-DE"/>
              </w:rPr>
            </w:pPr>
            <w:r>
              <w:rPr>
                <w:rFonts w:eastAsia="Calibri"/>
                <w:noProof/>
                <w:lang w:val="de-DE"/>
              </w:rPr>
              <w:t>TAC</w:t>
            </w:r>
          </w:p>
        </w:tc>
        <w:tc>
          <w:tcPr>
            <w:tcW w:w="1985" w:type="dxa"/>
            <w:hideMark/>
          </w:tcPr>
          <w:p>
            <w:pPr>
              <w:spacing w:before="60" w:after="60"/>
              <w:jc w:val="right"/>
              <w:rPr>
                <w:rFonts w:eastAsia="Calibri"/>
                <w:noProof/>
                <w:lang w:val="de-DE"/>
              </w:rPr>
            </w:pPr>
            <w:r>
              <w:rPr>
                <w:rFonts w:asciiTheme="majorBidi" w:hAnsiTheme="majorBidi" w:cstheme="majorBidi"/>
                <w:noProof/>
                <w:color w:val="000000"/>
                <w:lang w:val="de-DE" w:eastAsia="en-GB"/>
              </w:rPr>
              <w:t>pm</w:t>
            </w:r>
          </w:p>
        </w:tc>
        <w:tc>
          <w:tcPr>
            <w:tcW w:w="5953" w:type="dxa"/>
            <w:gridSpan w:val="3"/>
          </w:tcPr>
          <w:p>
            <w:pPr>
              <w:spacing w:before="60" w:after="60"/>
              <w:rPr>
                <w:rFonts w:eastAsia="Calibri"/>
                <w:noProof/>
                <w:lang w:val="de-DE"/>
              </w:rPr>
            </w:pPr>
          </w:p>
        </w:tc>
      </w:tr>
      <w:tr>
        <w:trPr>
          <w:trHeight w:val="227"/>
        </w:trPr>
        <w:tc>
          <w:tcPr>
            <w:tcW w:w="1701" w:type="dxa"/>
            <w:tcBorders>
              <w:top w:val="nil"/>
              <w:left w:val="nil"/>
              <w:bottom w:val="single" w:sz="4" w:space="0" w:color="auto"/>
              <w:right w:val="nil"/>
            </w:tcBorders>
            <w:hideMark/>
          </w:tcPr>
          <w:p>
            <w:pPr>
              <w:spacing w:before="60" w:after="60"/>
              <w:jc w:val="right"/>
              <w:rPr>
                <w:rFonts w:eastAsia="Calibri"/>
                <w:b/>
                <w:bCs/>
                <w:noProof/>
                <w:vertAlign w:val="superscript"/>
                <w:lang w:val="de-DE"/>
              </w:rPr>
            </w:pPr>
            <w:r>
              <w:rPr>
                <w:b/>
                <w:bCs/>
                <w:noProof/>
                <w:vertAlign w:val="superscript"/>
                <w:lang w:val="de-DE"/>
              </w:rPr>
              <w:t>(1)</w:t>
            </w:r>
          </w:p>
        </w:tc>
        <w:tc>
          <w:tcPr>
            <w:tcW w:w="7938" w:type="dxa"/>
            <w:gridSpan w:val="4"/>
            <w:tcBorders>
              <w:top w:val="nil"/>
              <w:left w:val="nil"/>
              <w:bottom w:val="single" w:sz="4" w:space="0" w:color="auto"/>
              <w:right w:val="nil"/>
            </w:tcBorders>
            <w:hideMark/>
          </w:tcPr>
          <w:p>
            <w:pPr>
              <w:spacing w:before="60" w:after="60"/>
              <w:rPr>
                <w:rFonts w:eastAsia="Calibri"/>
                <w:noProof/>
                <w:lang w:val="de-DE"/>
              </w:rPr>
            </w:pPr>
            <w:r>
              <w:rPr>
                <w:noProof/>
                <w:lang w:val="de-DE"/>
              </w:rPr>
              <w:t xml:space="preserve"> Exclusively for by-catches. No directed fisheries are permitted under this quota.</w:t>
            </w:r>
          </w:p>
        </w:tc>
      </w:tr>
    </w:tbl>
    <w:p>
      <w:pPr>
        <w:pStyle w:val="Lignefinal"/>
        <w:rPr>
          <w:noProof/>
        </w:rPr>
      </w:pPr>
    </w:p>
    <w:p>
      <w:pPr>
        <w:spacing w:before="0" w:after="0"/>
        <w:rPr>
          <w:b/>
          <w:noProof/>
          <w:u w:val="single"/>
        </w:rPr>
        <w:sectPr>
          <w:pgSz w:w="11907" w:h="16840"/>
          <w:pgMar w:top="1134" w:right="1134" w:bottom="1134" w:left="1134" w:header="567" w:footer="567" w:gutter="0"/>
          <w:pgNumType w:start="109"/>
          <w:cols w:space="720"/>
          <w:docGrid w:linePitch="326"/>
        </w:sectPr>
      </w:pPr>
    </w:p>
    <w:p>
      <w:pPr>
        <w:jc w:val="center"/>
        <w:rPr>
          <w:b/>
          <w:noProof/>
        </w:rPr>
      </w:pPr>
      <w:r>
        <w:rPr>
          <w:b/>
          <w:noProof/>
        </w:rPr>
        <w:t>ANNEX IG</w:t>
      </w:r>
    </w:p>
    <w:p>
      <w:pPr>
        <w:pStyle w:val="NormalCentered"/>
        <w:rPr>
          <w:noProof/>
        </w:rPr>
      </w:pPr>
      <w:r>
        <w:rPr>
          <w:noProof/>
        </w:rPr>
        <w:t>WCPFC CONVENTION AREA</w:t>
      </w:r>
    </w:p>
    <w:tbl>
      <w:tblPr>
        <w:tblW w:w="5000" w:type="pct"/>
        <w:tblLook w:val="04A0" w:firstRow="1" w:lastRow="0" w:firstColumn="1" w:lastColumn="0" w:noHBand="0" w:noVBand="1"/>
      </w:tblPr>
      <w:tblGrid>
        <w:gridCol w:w="1809"/>
        <w:gridCol w:w="2127"/>
        <w:gridCol w:w="708"/>
        <w:gridCol w:w="1135"/>
        <w:gridCol w:w="4076"/>
      </w:tblGrid>
      <w:tr>
        <w:trPr>
          <w:trHeight w:val="227"/>
        </w:trPr>
        <w:tc>
          <w:tcPr>
            <w:tcW w:w="918" w:type="pct"/>
            <w:tcBorders>
              <w:top w:val="single" w:sz="8" w:space="0" w:color="000000"/>
              <w:left w:val="nil"/>
              <w:bottom w:val="single" w:sz="8" w:space="0" w:color="auto"/>
              <w:right w:val="single" w:sz="8" w:space="0" w:color="auto"/>
            </w:tcBorders>
            <w:hideMark/>
          </w:tcPr>
          <w:p>
            <w:pPr>
              <w:spacing w:before="60" w:after="60"/>
              <w:rPr>
                <w:noProof/>
                <w:szCs w:val="18"/>
                <w:lang w:val="de-DE"/>
              </w:rPr>
            </w:pPr>
            <w:r>
              <w:rPr>
                <w:noProof/>
                <w:szCs w:val="18"/>
                <w:lang w:val="de-DE"/>
              </w:rPr>
              <w:t>Species:</w:t>
            </w:r>
          </w:p>
        </w:tc>
        <w:tc>
          <w:tcPr>
            <w:tcW w:w="1438" w:type="pct"/>
            <w:gridSpan w:val="2"/>
            <w:tcBorders>
              <w:top w:val="single" w:sz="8" w:space="0" w:color="000000"/>
              <w:left w:val="nil"/>
              <w:bottom w:val="single" w:sz="8" w:space="0" w:color="auto"/>
              <w:right w:val="single" w:sz="8" w:space="0" w:color="auto"/>
            </w:tcBorders>
            <w:hideMark/>
          </w:tcPr>
          <w:p>
            <w:pPr>
              <w:spacing w:before="60" w:after="60"/>
              <w:rPr>
                <w:i/>
                <w:iCs/>
                <w:noProof/>
                <w:szCs w:val="18"/>
                <w:lang w:val="de-DE"/>
              </w:rPr>
            </w:pPr>
            <w:r>
              <w:rPr>
                <w:noProof/>
                <w:szCs w:val="18"/>
                <w:lang w:val="de-DE"/>
              </w:rPr>
              <w:t>Bigeye tuna</w:t>
            </w:r>
          </w:p>
          <w:p>
            <w:pPr>
              <w:spacing w:before="60" w:after="60"/>
              <w:rPr>
                <w:noProof/>
                <w:szCs w:val="18"/>
                <w:lang w:val="de-DE"/>
              </w:rPr>
            </w:pPr>
            <w:r>
              <w:rPr>
                <w:i/>
                <w:iCs/>
                <w:noProof/>
                <w:szCs w:val="18"/>
                <w:lang w:val="de-DE"/>
              </w:rPr>
              <w:t>Thunnus obesus</w:t>
            </w:r>
          </w:p>
        </w:tc>
        <w:tc>
          <w:tcPr>
            <w:tcW w:w="576" w:type="pct"/>
            <w:tcBorders>
              <w:top w:val="single" w:sz="8" w:space="0" w:color="000000"/>
              <w:left w:val="single" w:sz="8" w:space="0" w:color="auto"/>
              <w:bottom w:val="single" w:sz="8" w:space="0" w:color="auto"/>
              <w:right w:val="nil"/>
            </w:tcBorders>
            <w:hideMark/>
          </w:tcPr>
          <w:p>
            <w:pPr>
              <w:spacing w:before="60" w:after="60"/>
              <w:rPr>
                <w:noProof/>
                <w:szCs w:val="18"/>
                <w:lang w:val="de-DE"/>
              </w:rPr>
            </w:pPr>
            <w:r>
              <w:rPr>
                <w:noProof/>
                <w:szCs w:val="18"/>
                <w:lang w:val="de-DE"/>
              </w:rPr>
              <w:t>Zone:</w:t>
            </w:r>
          </w:p>
        </w:tc>
        <w:tc>
          <w:tcPr>
            <w:tcW w:w="2068" w:type="pct"/>
            <w:tcBorders>
              <w:top w:val="single" w:sz="8" w:space="0" w:color="000000"/>
              <w:left w:val="nil"/>
              <w:bottom w:val="single" w:sz="8" w:space="0" w:color="auto"/>
              <w:right w:val="nil"/>
            </w:tcBorders>
            <w:hideMark/>
          </w:tcPr>
          <w:p>
            <w:pPr>
              <w:spacing w:before="60" w:after="60"/>
              <w:rPr>
                <w:noProof/>
                <w:szCs w:val="16"/>
                <w:lang w:val="en-IE"/>
              </w:rPr>
            </w:pPr>
            <w:r>
              <w:rPr>
                <w:noProof/>
                <w:szCs w:val="16"/>
                <w:lang w:val="en-IE"/>
              </w:rPr>
              <w:t>WCPFC Convention Area south of 20° S</w:t>
            </w:r>
          </w:p>
          <w:p>
            <w:pPr>
              <w:spacing w:before="60" w:after="60"/>
              <w:rPr>
                <w:noProof/>
                <w:szCs w:val="18"/>
                <w:lang w:val="de-DE"/>
              </w:rPr>
            </w:pPr>
            <w:r>
              <w:rPr>
                <w:noProof/>
                <w:szCs w:val="16"/>
                <w:lang w:val="de-DE"/>
              </w:rPr>
              <w:t>(BET/F7120S)</w:t>
            </w:r>
          </w:p>
        </w:tc>
      </w:tr>
      <w:tr>
        <w:trPr>
          <w:trHeight w:val="227"/>
        </w:trPr>
        <w:tc>
          <w:tcPr>
            <w:tcW w:w="918" w:type="pct"/>
            <w:hideMark/>
          </w:tcPr>
          <w:p>
            <w:pPr>
              <w:spacing w:before="60" w:after="60"/>
              <w:rPr>
                <w:noProof/>
                <w:szCs w:val="18"/>
                <w:lang w:val="de-DE"/>
              </w:rPr>
            </w:pPr>
            <w:r>
              <w:rPr>
                <w:noProof/>
                <w:szCs w:val="18"/>
                <w:lang w:val="de-DE"/>
              </w:rPr>
              <w:t>Union</w:t>
            </w:r>
          </w:p>
        </w:tc>
        <w:tc>
          <w:tcPr>
            <w:tcW w:w="1079" w:type="pct"/>
            <w:hideMark/>
          </w:tcPr>
          <w:p>
            <w:pPr>
              <w:spacing w:before="60" w:after="60"/>
              <w:jc w:val="right"/>
              <w:rPr>
                <w:noProof/>
                <w:szCs w:val="18"/>
                <w:lang w:val="de-DE"/>
              </w:rPr>
            </w:pPr>
            <w:r>
              <w:rPr>
                <w:rFonts w:asciiTheme="majorBidi" w:hAnsiTheme="majorBidi" w:cstheme="majorBidi"/>
                <w:noProof/>
                <w:color w:val="000000"/>
                <w:lang w:val="de-DE" w:eastAsia="en-GB"/>
              </w:rPr>
              <w:t>pm</w:t>
            </w:r>
          </w:p>
        </w:tc>
        <w:tc>
          <w:tcPr>
            <w:tcW w:w="359" w:type="pct"/>
            <w:hideMark/>
          </w:tcPr>
          <w:p>
            <w:pPr>
              <w:spacing w:before="60" w:after="60"/>
              <w:rPr>
                <w:b/>
                <w:bCs/>
                <w:noProof/>
                <w:szCs w:val="18"/>
                <w:vertAlign w:val="superscript"/>
                <w:lang w:val="de-DE"/>
              </w:rPr>
            </w:pPr>
            <w:r>
              <w:rPr>
                <w:b/>
                <w:bCs/>
                <w:noProof/>
                <w:szCs w:val="18"/>
                <w:vertAlign w:val="superscript"/>
                <w:lang w:val="de-DE"/>
              </w:rPr>
              <w:t>(1)</w:t>
            </w:r>
          </w:p>
        </w:tc>
        <w:tc>
          <w:tcPr>
            <w:tcW w:w="2644" w:type="pct"/>
            <w:gridSpan w:val="2"/>
            <w:hideMark/>
          </w:tcPr>
          <w:p>
            <w:pPr>
              <w:spacing w:before="60" w:after="60"/>
              <w:rPr>
                <w:noProof/>
                <w:szCs w:val="18"/>
                <w:lang w:val="de-DE"/>
              </w:rPr>
            </w:pPr>
            <w:r>
              <w:rPr>
                <w:noProof/>
                <w:szCs w:val="18"/>
                <w:lang w:val="de-DE"/>
              </w:rPr>
              <w:t>Precautionary TAC</w:t>
            </w:r>
          </w:p>
        </w:tc>
      </w:tr>
      <w:tr>
        <w:trPr>
          <w:trHeight w:val="227"/>
        </w:trPr>
        <w:tc>
          <w:tcPr>
            <w:tcW w:w="918" w:type="pct"/>
            <w:hideMark/>
          </w:tcPr>
          <w:p>
            <w:pPr>
              <w:spacing w:before="60" w:after="60"/>
              <w:rPr>
                <w:noProof/>
                <w:szCs w:val="18"/>
                <w:lang w:val="de-DE"/>
              </w:rPr>
            </w:pPr>
            <w:r>
              <w:rPr>
                <w:noProof/>
                <w:szCs w:val="18"/>
                <w:lang w:val="de-DE"/>
              </w:rPr>
              <w:t>TAC</w:t>
            </w:r>
          </w:p>
        </w:tc>
        <w:tc>
          <w:tcPr>
            <w:tcW w:w="1079" w:type="pct"/>
            <w:hideMark/>
          </w:tcPr>
          <w:p>
            <w:pPr>
              <w:spacing w:before="60" w:after="60"/>
              <w:jc w:val="right"/>
              <w:rPr>
                <w:noProof/>
                <w:szCs w:val="18"/>
                <w:lang w:val="de-DE"/>
              </w:rPr>
            </w:pPr>
            <w:r>
              <w:rPr>
                <w:noProof/>
                <w:szCs w:val="18"/>
                <w:lang w:val="de-DE"/>
              </w:rPr>
              <w:t>Not relevant</w:t>
            </w:r>
          </w:p>
        </w:tc>
        <w:tc>
          <w:tcPr>
            <w:tcW w:w="359" w:type="pct"/>
            <w:hideMark/>
          </w:tcPr>
          <w:p>
            <w:pPr>
              <w:spacing w:before="60" w:after="60"/>
              <w:rPr>
                <w:b/>
                <w:bCs/>
                <w:noProof/>
                <w:szCs w:val="18"/>
                <w:vertAlign w:val="superscript"/>
                <w:lang w:val="de-DE"/>
              </w:rPr>
            </w:pPr>
            <w:r>
              <w:rPr>
                <w:b/>
                <w:bCs/>
                <w:noProof/>
                <w:szCs w:val="18"/>
                <w:vertAlign w:val="superscript"/>
                <w:lang w:val="de-DE"/>
              </w:rPr>
              <w:t>(1)</w:t>
            </w:r>
          </w:p>
        </w:tc>
        <w:tc>
          <w:tcPr>
            <w:tcW w:w="2644" w:type="pct"/>
            <w:gridSpan w:val="2"/>
          </w:tcPr>
          <w:p>
            <w:pPr>
              <w:spacing w:before="60" w:after="60"/>
              <w:rPr>
                <w:noProof/>
                <w:szCs w:val="18"/>
                <w:lang w:val="de-DE"/>
              </w:rPr>
            </w:pPr>
          </w:p>
        </w:tc>
      </w:tr>
      <w:tr>
        <w:trPr>
          <w:trHeight w:val="227"/>
        </w:trPr>
        <w:tc>
          <w:tcPr>
            <w:tcW w:w="918" w:type="pct"/>
            <w:tcBorders>
              <w:top w:val="nil"/>
              <w:left w:val="nil"/>
              <w:bottom w:val="single" w:sz="8" w:space="0" w:color="000000"/>
              <w:right w:val="nil"/>
            </w:tcBorders>
            <w:hideMark/>
          </w:tcPr>
          <w:p>
            <w:pPr>
              <w:spacing w:before="60" w:after="60"/>
              <w:jc w:val="right"/>
              <w:rPr>
                <w:b/>
                <w:bCs/>
                <w:noProof/>
                <w:szCs w:val="18"/>
                <w:vertAlign w:val="superscript"/>
                <w:lang w:val="de-DE"/>
              </w:rPr>
            </w:pPr>
            <w:r>
              <w:rPr>
                <w:b/>
                <w:bCs/>
                <w:noProof/>
                <w:szCs w:val="18"/>
                <w:vertAlign w:val="superscript"/>
                <w:lang w:val="de-DE"/>
              </w:rPr>
              <w:t>(1)</w:t>
            </w:r>
          </w:p>
        </w:tc>
        <w:tc>
          <w:tcPr>
            <w:tcW w:w="4082" w:type="pct"/>
            <w:gridSpan w:val="4"/>
            <w:tcBorders>
              <w:top w:val="nil"/>
              <w:left w:val="nil"/>
              <w:bottom w:val="single" w:sz="8" w:space="0" w:color="000000"/>
              <w:right w:val="nil"/>
            </w:tcBorders>
            <w:hideMark/>
          </w:tcPr>
          <w:p>
            <w:pPr>
              <w:spacing w:before="60" w:after="60"/>
              <w:rPr>
                <w:noProof/>
                <w:szCs w:val="18"/>
                <w:lang w:val="en-IE"/>
              </w:rPr>
            </w:pPr>
            <w:r>
              <w:rPr>
                <w:noProof/>
                <w:szCs w:val="18"/>
                <w:lang w:val="en-IE"/>
              </w:rPr>
              <w:t>This quota may only be fished by vessels using longlines</w:t>
            </w:r>
          </w:p>
        </w:tc>
      </w:tr>
      <w:tr>
        <w:trPr>
          <w:trHeight w:val="227"/>
        </w:trPr>
        <w:tc>
          <w:tcPr>
            <w:tcW w:w="918" w:type="pct"/>
            <w:tcBorders>
              <w:top w:val="single" w:sz="8" w:space="0" w:color="auto"/>
              <w:left w:val="nil"/>
              <w:bottom w:val="single" w:sz="8" w:space="0" w:color="000000"/>
              <w:right w:val="nil"/>
            </w:tcBorders>
            <w:shd w:val="clear" w:color="auto" w:fill="FFFFFF"/>
          </w:tcPr>
          <w:p>
            <w:pPr>
              <w:spacing w:before="60" w:after="60"/>
              <w:rPr>
                <w:noProof/>
                <w:szCs w:val="24"/>
                <w:lang w:val="de-DE"/>
              </w:rPr>
            </w:pPr>
          </w:p>
        </w:tc>
        <w:tc>
          <w:tcPr>
            <w:tcW w:w="1438" w:type="pct"/>
            <w:gridSpan w:val="2"/>
            <w:tcBorders>
              <w:top w:val="single" w:sz="8" w:space="0" w:color="auto"/>
              <w:left w:val="nil"/>
              <w:bottom w:val="single" w:sz="8" w:space="0" w:color="000000"/>
              <w:right w:val="single" w:sz="8" w:space="0" w:color="auto"/>
            </w:tcBorders>
            <w:shd w:val="clear" w:color="auto" w:fill="FFFFFF"/>
          </w:tcPr>
          <w:p>
            <w:pPr>
              <w:spacing w:before="60" w:after="60"/>
              <w:rPr>
                <w:noProof/>
                <w:lang w:val="de-DE"/>
              </w:rPr>
            </w:pPr>
          </w:p>
        </w:tc>
        <w:tc>
          <w:tcPr>
            <w:tcW w:w="576" w:type="pct"/>
            <w:tcBorders>
              <w:top w:val="single" w:sz="8" w:space="0" w:color="auto"/>
              <w:left w:val="single" w:sz="8" w:space="0" w:color="auto"/>
              <w:bottom w:val="single" w:sz="8" w:space="0" w:color="000000"/>
              <w:right w:val="nil"/>
            </w:tcBorders>
            <w:shd w:val="clear" w:color="auto" w:fill="FFFFFF"/>
          </w:tcPr>
          <w:p>
            <w:pPr>
              <w:spacing w:before="60" w:after="60"/>
              <w:rPr>
                <w:noProof/>
                <w:lang w:val="de-DE"/>
              </w:rPr>
            </w:pPr>
          </w:p>
        </w:tc>
        <w:tc>
          <w:tcPr>
            <w:tcW w:w="2068" w:type="pct"/>
            <w:tcBorders>
              <w:top w:val="single" w:sz="8" w:space="0" w:color="auto"/>
              <w:left w:val="nil"/>
              <w:bottom w:val="single" w:sz="8" w:space="0" w:color="000000"/>
              <w:right w:val="nil"/>
            </w:tcBorders>
            <w:shd w:val="clear" w:color="auto" w:fill="FFFFFF"/>
          </w:tcPr>
          <w:p>
            <w:pPr>
              <w:spacing w:before="60" w:after="60"/>
              <w:rPr>
                <w:noProof/>
                <w:lang w:val="en-IE"/>
              </w:rPr>
            </w:pPr>
          </w:p>
        </w:tc>
      </w:tr>
      <w:tr>
        <w:trPr>
          <w:trHeight w:val="227"/>
        </w:trPr>
        <w:tc>
          <w:tcPr>
            <w:tcW w:w="918" w:type="pct"/>
            <w:tcBorders>
              <w:top w:val="single" w:sz="8" w:space="0" w:color="auto"/>
              <w:left w:val="nil"/>
              <w:bottom w:val="single" w:sz="8" w:space="0" w:color="000000"/>
              <w:right w:val="nil"/>
            </w:tcBorders>
            <w:shd w:val="clear" w:color="auto" w:fill="FFFFFF"/>
            <w:hideMark/>
          </w:tcPr>
          <w:p>
            <w:pPr>
              <w:spacing w:before="60" w:after="60"/>
              <w:rPr>
                <w:noProof/>
                <w:lang w:val="de-DE"/>
              </w:rPr>
            </w:pPr>
            <w:r>
              <w:rPr>
                <w:noProof/>
                <w:lang w:val="de-DE"/>
              </w:rPr>
              <w:t>Species:</w:t>
            </w:r>
          </w:p>
        </w:tc>
        <w:tc>
          <w:tcPr>
            <w:tcW w:w="1438" w:type="pct"/>
            <w:gridSpan w:val="2"/>
            <w:tcBorders>
              <w:top w:val="single" w:sz="8" w:space="0" w:color="auto"/>
              <w:left w:val="nil"/>
              <w:bottom w:val="single" w:sz="8" w:space="0" w:color="000000"/>
              <w:right w:val="single" w:sz="8" w:space="0" w:color="auto"/>
            </w:tcBorders>
            <w:shd w:val="clear" w:color="auto" w:fill="FFFFFF"/>
            <w:hideMark/>
          </w:tcPr>
          <w:p>
            <w:pPr>
              <w:spacing w:before="60" w:after="60"/>
              <w:rPr>
                <w:noProof/>
                <w:lang w:val="de-DE"/>
              </w:rPr>
            </w:pPr>
            <w:r>
              <w:rPr>
                <w:noProof/>
                <w:lang w:val="de-DE"/>
              </w:rPr>
              <w:t>Swordfish</w:t>
            </w:r>
          </w:p>
          <w:p>
            <w:pPr>
              <w:spacing w:before="60" w:after="60"/>
              <w:rPr>
                <w:i/>
                <w:iCs/>
                <w:noProof/>
                <w:lang w:val="de-DE"/>
              </w:rPr>
            </w:pPr>
            <w:r>
              <w:rPr>
                <w:i/>
                <w:iCs/>
                <w:noProof/>
                <w:lang w:val="de-DE"/>
              </w:rPr>
              <w:t>Xiphias gladius</w:t>
            </w:r>
          </w:p>
        </w:tc>
        <w:tc>
          <w:tcPr>
            <w:tcW w:w="576" w:type="pct"/>
            <w:tcBorders>
              <w:top w:val="single" w:sz="8" w:space="0" w:color="auto"/>
              <w:left w:val="single" w:sz="8" w:space="0" w:color="auto"/>
              <w:bottom w:val="single" w:sz="8" w:space="0" w:color="000000"/>
              <w:right w:val="nil"/>
            </w:tcBorders>
            <w:shd w:val="clear" w:color="auto" w:fill="FFFFFF"/>
            <w:hideMark/>
          </w:tcPr>
          <w:p>
            <w:pPr>
              <w:spacing w:before="60" w:after="60"/>
              <w:rPr>
                <w:noProof/>
                <w:lang w:val="de-DE"/>
              </w:rPr>
            </w:pPr>
            <w:r>
              <w:rPr>
                <w:noProof/>
                <w:lang w:val="de-DE"/>
              </w:rPr>
              <w:t>Zone:</w:t>
            </w:r>
          </w:p>
        </w:tc>
        <w:tc>
          <w:tcPr>
            <w:tcW w:w="2068" w:type="pct"/>
            <w:tcBorders>
              <w:top w:val="single" w:sz="8" w:space="0" w:color="auto"/>
              <w:left w:val="nil"/>
              <w:bottom w:val="single" w:sz="8" w:space="0" w:color="000000"/>
              <w:right w:val="nil"/>
            </w:tcBorders>
            <w:shd w:val="clear" w:color="auto" w:fill="FFFFFF"/>
            <w:hideMark/>
          </w:tcPr>
          <w:p>
            <w:pPr>
              <w:spacing w:before="60" w:after="60"/>
              <w:rPr>
                <w:noProof/>
                <w:lang w:val="en-IE"/>
              </w:rPr>
            </w:pPr>
            <w:r>
              <w:rPr>
                <w:noProof/>
                <w:lang w:val="en-IE"/>
              </w:rPr>
              <w:t>WCPFC Convention Area south of 20°S</w:t>
            </w:r>
          </w:p>
          <w:p>
            <w:pPr>
              <w:spacing w:before="60" w:after="60"/>
              <w:rPr>
                <w:noProof/>
                <w:lang w:val="de-DE"/>
              </w:rPr>
            </w:pPr>
            <w:r>
              <w:rPr>
                <w:noProof/>
                <w:lang w:val="de-DE"/>
              </w:rPr>
              <w:t>(SWO/F7120S)</w:t>
            </w:r>
          </w:p>
        </w:tc>
      </w:tr>
      <w:tr>
        <w:trPr>
          <w:trHeight w:val="227"/>
        </w:trPr>
        <w:tc>
          <w:tcPr>
            <w:tcW w:w="918" w:type="pct"/>
            <w:hideMark/>
          </w:tcPr>
          <w:p>
            <w:pPr>
              <w:spacing w:before="60" w:after="60"/>
              <w:rPr>
                <w:noProof/>
                <w:lang w:val="de-DE"/>
              </w:rPr>
            </w:pPr>
            <w:r>
              <w:rPr>
                <w:noProof/>
                <w:lang w:val="de-DE"/>
              </w:rPr>
              <w:t>Union</w:t>
            </w:r>
          </w:p>
        </w:tc>
        <w:tc>
          <w:tcPr>
            <w:tcW w:w="1079" w:type="pct"/>
            <w:hideMark/>
          </w:tcPr>
          <w:p>
            <w:pPr>
              <w:spacing w:before="60" w:after="60"/>
              <w:jc w:val="right"/>
              <w:rPr>
                <w:noProof/>
                <w:lang w:val="de-DE"/>
              </w:rPr>
            </w:pPr>
            <w:r>
              <w:rPr>
                <w:rFonts w:asciiTheme="majorBidi" w:hAnsiTheme="majorBidi" w:cstheme="majorBidi"/>
                <w:noProof/>
                <w:color w:val="000000"/>
                <w:lang w:val="de-DE" w:eastAsia="en-GB"/>
              </w:rPr>
              <w:t>pm</w:t>
            </w:r>
          </w:p>
        </w:tc>
        <w:tc>
          <w:tcPr>
            <w:tcW w:w="359" w:type="pct"/>
          </w:tcPr>
          <w:p>
            <w:pPr>
              <w:spacing w:before="60" w:after="60"/>
              <w:rPr>
                <w:noProof/>
                <w:lang w:val="de-DE"/>
              </w:rPr>
            </w:pPr>
          </w:p>
        </w:tc>
        <w:tc>
          <w:tcPr>
            <w:tcW w:w="2644" w:type="pct"/>
            <w:gridSpan w:val="2"/>
            <w:vMerge w:val="restart"/>
            <w:tcBorders>
              <w:top w:val="single" w:sz="8" w:space="0" w:color="000000"/>
              <w:left w:val="nil"/>
              <w:bottom w:val="single" w:sz="8" w:space="0" w:color="auto"/>
              <w:right w:val="nil"/>
            </w:tcBorders>
            <w:hideMark/>
          </w:tcPr>
          <w:p>
            <w:pPr>
              <w:spacing w:before="60" w:after="60"/>
              <w:rPr>
                <w:noProof/>
                <w:lang w:val="de-DE"/>
              </w:rPr>
            </w:pPr>
            <w:r>
              <w:rPr>
                <w:noProof/>
                <w:lang w:val="de-DE"/>
              </w:rPr>
              <w:t>Precautionary TAC</w:t>
            </w:r>
          </w:p>
        </w:tc>
      </w:tr>
      <w:tr>
        <w:trPr>
          <w:trHeight w:val="227"/>
        </w:trPr>
        <w:tc>
          <w:tcPr>
            <w:tcW w:w="918" w:type="pct"/>
            <w:tcBorders>
              <w:top w:val="nil"/>
              <w:left w:val="nil"/>
              <w:bottom w:val="single" w:sz="8" w:space="0" w:color="auto"/>
              <w:right w:val="nil"/>
            </w:tcBorders>
            <w:hideMark/>
          </w:tcPr>
          <w:p>
            <w:pPr>
              <w:spacing w:before="60" w:after="60"/>
              <w:rPr>
                <w:noProof/>
                <w:lang w:val="de-DE"/>
              </w:rPr>
            </w:pPr>
            <w:r>
              <w:rPr>
                <w:noProof/>
                <w:lang w:val="de-DE"/>
              </w:rPr>
              <w:t>TAC</w:t>
            </w:r>
          </w:p>
        </w:tc>
        <w:tc>
          <w:tcPr>
            <w:tcW w:w="1079" w:type="pct"/>
            <w:tcBorders>
              <w:top w:val="nil"/>
              <w:left w:val="nil"/>
              <w:bottom w:val="single" w:sz="8" w:space="0" w:color="auto"/>
              <w:right w:val="nil"/>
            </w:tcBorders>
            <w:hideMark/>
          </w:tcPr>
          <w:p>
            <w:pPr>
              <w:spacing w:before="60" w:after="60"/>
              <w:jc w:val="right"/>
              <w:rPr>
                <w:noProof/>
                <w:lang w:val="de-DE"/>
              </w:rPr>
            </w:pPr>
            <w:r>
              <w:rPr>
                <w:noProof/>
                <w:lang w:val="de-DE"/>
              </w:rPr>
              <w:t>Not relevant</w:t>
            </w:r>
          </w:p>
        </w:tc>
        <w:tc>
          <w:tcPr>
            <w:tcW w:w="359" w:type="pct"/>
            <w:tcBorders>
              <w:top w:val="nil"/>
              <w:left w:val="nil"/>
              <w:bottom w:val="single" w:sz="8" w:space="0" w:color="auto"/>
              <w:right w:val="nil"/>
            </w:tcBorders>
          </w:tcPr>
          <w:p>
            <w:pPr>
              <w:spacing w:before="60" w:after="60"/>
              <w:rPr>
                <w:noProof/>
                <w:lang w:val="de-DE"/>
              </w:rPr>
            </w:pPr>
          </w:p>
        </w:tc>
        <w:tc>
          <w:tcPr>
            <w:tcW w:w="0" w:type="auto"/>
            <w:gridSpan w:val="2"/>
            <w:vMerge/>
            <w:tcBorders>
              <w:top w:val="nil"/>
              <w:left w:val="nil"/>
              <w:bottom w:val="single" w:sz="8" w:space="0" w:color="auto"/>
              <w:right w:val="nil"/>
            </w:tcBorders>
            <w:vAlign w:val="center"/>
            <w:hideMark/>
          </w:tcPr>
          <w:p>
            <w:pPr>
              <w:spacing w:before="0" w:after="0"/>
              <w:rPr>
                <w:noProof/>
                <w:szCs w:val="24"/>
                <w:lang w:val="de-DE"/>
              </w:rPr>
            </w:pPr>
          </w:p>
        </w:tc>
      </w:tr>
    </w:tbl>
    <w:p>
      <w:pPr>
        <w:pStyle w:val="Lignefinal"/>
        <w:rPr>
          <w:noProof/>
          <w:szCs w:val="22"/>
        </w:rPr>
      </w:pPr>
    </w:p>
    <w:p>
      <w:pPr>
        <w:spacing w:before="0" w:after="0"/>
        <w:rPr>
          <w:noProof/>
        </w:rPr>
        <w:sectPr>
          <w:pgSz w:w="11907" w:h="16840"/>
          <w:pgMar w:top="1134" w:right="1134" w:bottom="1134" w:left="1134" w:header="567" w:footer="567" w:gutter="0"/>
          <w:pgNumType w:start="110"/>
          <w:cols w:space="720"/>
          <w:docGrid w:linePitch="326"/>
        </w:sectPr>
      </w:pPr>
    </w:p>
    <w:p>
      <w:pPr>
        <w:jc w:val="center"/>
        <w:rPr>
          <w:b/>
          <w:noProof/>
          <w:szCs w:val="24"/>
        </w:rPr>
      </w:pPr>
      <w:r>
        <w:rPr>
          <w:b/>
          <w:noProof/>
        </w:rPr>
        <w:t>ANNEX IH</w:t>
      </w:r>
    </w:p>
    <w:p>
      <w:pPr>
        <w:pStyle w:val="NormalCentered"/>
        <w:rPr>
          <w:noProof/>
        </w:rPr>
      </w:pPr>
      <w:r>
        <w:rPr>
          <w:noProof/>
        </w:rPr>
        <w:t>SPRFMO CONVENTION AREA</w:t>
      </w:r>
    </w:p>
    <w:tbl>
      <w:tblPr>
        <w:tblW w:w="0" w:type="auto"/>
        <w:tblLook w:val="04A0" w:firstRow="1" w:lastRow="0" w:firstColumn="1" w:lastColumn="0" w:noHBand="0" w:noVBand="1"/>
      </w:tblPr>
      <w:tblGrid>
        <w:gridCol w:w="1809"/>
        <w:gridCol w:w="2127"/>
        <w:gridCol w:w="708"/>
        <w:gridCol w:w="1040"/>
        <w:gridCol w:w="4171"/>
      </w:tblGrid>
      <w:tr>
        <w:trPr>
          <w:trHeight w:val="227"/>
        </w:trPr>
        <w:tc>
          <w:tcPr>
            <w:tcW w:w="1809" w:type="dxa"/>
            <w:tcBorders>
              <w:top w:val="single" w:sz="8" w:space="0" w:color="auto"/>
              <w:left w:val="nil"/>
              <w:bottom w:val="single" w:sz="8" w:space="0" w:color="auto"/>
              <w:right w:val="nil"/>
            </w:tcBorders>
            <w:noWrap/>
            <w:hideMark/>
          </w:tcPr>
          <w:p>
            <w:pPr>
              <w:spacing w:before="60" w:after="60"/>
              <w:rPr>
                <w:noProof/>
                <w:lang w:val="en-US"/>
              </w:rPr>
            </w:pPr>
            <w:r>
              <w:rPr>
                <w:noProof/>
                <w:lang w:val="en-US"/>
              </w:rPr>
              <w:t>Species:</w:t>
            </w:r>
          </w:p>
        </w:tc>
        <w:tc>
          <w:tcPr>
            <w:tcW w:w="2835" w:type="dxa"/>
            <w:gridSpan w:val="2"/>
            <w:tcBorders>
              <w:top w:val="single" w:sz="8" w:space="0" w:color="auto"/>
              <w:left w:val="nil"/>
              <w:bottom w:val="single" w:sz="8" w:space="0" w:color="auto"/>
              <w:right w:val="nil"/>
            </w:tcBorders>
            <w:noWrap/>
            <w:hideMark/>
          </w:tcPr>
          <w:p>
            <w:pPr>
              <w:spacing w:before="60" w:after="60"/>
              <w:rPr>
                <w:noProof/>
                <w:lang w:val="en-US"/>
              </w:rPr>
            </w:pPr>
            <w:r>
              <w:rPr>
                <w:noProof/>
                <w:lang w:val="en-US"/>
              </w:rPr>
              <w:t>Jack mackerel</w:t>
            </w:r>
          </w:p>
          <w:p>
            <w:pPr>
              <w:keepNext/>
              <w:tabs>
                <w:tab w:val="left" w:pos="850"/>
              </w:tabs>
              <w:spacing w:before="60" w:after="60"/>
              <w:outlineLvl w:val="0"/>
              <w:rPr>
                <w:noProof/>
                <w:lang w:val="en-US"/>
              </w:rPr>
            </w:pPr>
            <w:r>
              <w:rPr>
                <w:i/>
                <w:iCs/>
                <w:noProof/>
                <w:lang w:val="en-US"/>
              </w:rPr>
              <w:t>Trachurus murphyi</w:t>
            </w:r>
          </w:p>
        </w:tc>
        <w:tc>
          <w:tcPr>
            <w:tcW w:w="1040" w:type="dxa"/>
            <w:tcBorders>
              <w:top w:val="single" w:sz="8" w:space="0" w:color="auto"/>
              <w:left w:val="single" w:sz="8" w:space="0" w:color="auto"/>
              <w:bottom w:val="single" w:sz="8" w:space="0" w:color="auto"/>
              <w:right w:val="nil"/>
            </w:tcBorders>
            <w:noWrap/>
            <w:hideMark/>
          </w:tcPr>
          <w:p>
            <w:pPr>
              <w:spacing w:before="60" w:after="60"/>
              <w:rPr>
                <w:noProof/>
                <w:lang w:val="en-US"/>
              </w:rPr>
            </w:pPr>
            <w:r>
              <w:rPr>
                <w:noProof/>
                <w:lang w:val="en-US"/>
              </w:rPr>
              <w:t>Zone:</w:t>
            </w:r>
          </w:p>
        </w:tc>
        <w:tc>
          <w:tcPr>
            <w:tcW w:w="4171" w:type="dxa"/>
            <w:tcBorders>
              <w:top w:val="single" w:sz="8" w:space="0" w:color="auto"/>
              <w:left w:val="nil"/>
              <w:bottom w:val="single" w:sz="8" w:space="0" w:color="auto"/>
              <w:right w:val="nil"/>
            </w:tcBorders>
            <w:noWrap/>
            <w:hideMark/>
          </w:tcPr>
          <w:p>
            <w:pPr>
              <w:spacing w:before="60" w:after="60"/>
              <w:rPr>
                <w:noProof/>
                <w:lang w:val="en-US"/>
              </w:rPr>
            </w:pPr>
            <w:r>
              <w:rPr>
                <w:noProof/>
                <w:lang w:val="en-US"/>
              </w:rPr>
              <w:t>SPRFMO Convention Area</w:t>
            </w:r>
          </w:p>
          <w:p>
            <w:pPr>
              <w:spacing w:before="60" w:after="60"/>
              <w:rPr>
                <w:noProof/>
                <w:lang w:val="en-US"/>
              </w:rPr>
            </w:pPr>
            <w:r>
              <w:rPr>
                <w:noProof/>
                <w:lang w:val="en-US"/>
              </w:rPr>
              <w:t>(CJM/SPRFMO)</w:t>
            </w:r>
          </w:p>
        </w:tc>
      </w:tr>
      <w:tr>
        <w:trPr>
          <w:trHeight w:val="227"/>
        </w:trPr>
        <w:tc>
          <w:tcPr>
            <w:tcW w:w="1809" w:type="dxa"/>
            <w:tcBorders>
              <w:top w:val="single" w:sz="8" w:space="0" w:color="auto"/>
              <w:left w:val="nil"/>
              <w:bottom w:val="nil"/>
              <w:right w:val="nil"/>
            </w:tcBorders>
            <w:noWrap/>
            <w:hideMark/>
          </w:tcPr>
          <w:p>
            <w:pPr>
              <w:spacing w:before="60" w:after="60"/>
              <w:rPr>
                <w:noProof/>
                <w:lang w:val="en-US"/>
              </w:rPr>
            </w:pPr>
            <w:r>
              <w:rPr>
                <w:noProof/>
                <w:lang w:val="en-US"/>
              </w:rPr>
              <w:t>Germany</w:t>
            </w:r>
          </w:p>
        </w:tc>
        <w:tc>
          <w:tcPr>
            <w:tcW w:w="2127" w:type="dxa"/>
            <w:tcBorders>
              <w:top w:val="single" w:sz="8" w:space="0" w:color="auto"/>
              <w:left w:val="nil"/>
              <w:bottom w:val="nil"/>
              <w:right w:val="nil"/>
            </w:tcBorders>
            <w:noWrap/>
            <w:hideMark/>
          </w:tcPr>
          <w:p>
            <w:pPr>
              <w:spacing w:before="60" w:after="60"/>
              <w:jc w:val="right"/>
              <w:rPr>
                <w:noProof/>
                <w:lang w:val="en-US"/>
              </w:rPr>
            </w:pPr>
            <w:r>
              <w:rPr>
                <w:noProof/>
                <w:lang w:val="en-US"/>
              </w:rPr>
              <w:t>to be established</w:t>
            </w:r>
          </w:p>
        </w:tc>
        <w:tc>
          <w:tcPr>
            <w:tcW w:w="708" w:type="dxa"/>
            <w:tcBorders>
              <w:top w:val="single" w:sz="8" w:space="0" w:color="auto"/>
              <w:left w:val="nil"/>
              <w:bottom w:val="nil"/>
              <w:right w:val="nil"/>
            </w:tcBorders>
          </w:tcPr>
          <w:p>
            <w:pPr>
              <w:spacing w:before="60" w:after="60"/>
              <w:rPr>
                <w:b/>
                <w:bCs/>
                <w:noProof/>
                <w:vertAlign w:val="superscript"/>
                <w:lang w:val="en-US"/>
              </w:rPr>
            </w:pPr>
          </w:p>
        </w:tc>
        <w:tc>
          <w:tcPr>
            <w:tcW w:w="5211" w:type="dxa"/>
            <w:gridSpan w:val="2"/>
            <w:vMerge w:val="restart"/>
            <w:tcBorders>
              <w:top w:val="single" w:sz="8" w:space="0" w:color="auto"/>
              <w:left w:val="nil"/>
              <w:bottom w:val="nil"/>
              <w:right w:val="nil"/>
            </w:tcBorders>
            <w:noWrap/>
            <w:hideMark/>
          </w:tcPr>
          <w:p>
            <w:pPr>
              <w:spacing w:before="60" w:after="60"/>
              <w:rPr>
                <w:noProof/>
                <w:lang w:val="en-US"/>
              </w:rPr>
            </w:pPr>
            <w:r>
              <w:rPr>
                <w:noProof/>
                <w:lang w:val="en-US"/>
              </w:rPr>
              <w:t>Analytical TAC</w:t>
            </w:r>
          </w:p>
          <w:p>
            <w:pPr>
              <w:spacing w:before="60" w:after="60"/>
              <w:rPr>
                <w:noProof/>
                <w:lang w:val="en-US"/>
              </w:rPr>
            </w:pPr>
            <w:r>
              <w:rPr>
                <w:noProof/>
                <w:lang w:val="en-US"/>
              </w:rPr>
              <w:t>Article 3 of Regulation (EC) No 847/96 shall not apply</w:t>
            </w:r>
          </w:p>
          <w:p>
            <w:pPr>
              <w:spacing w:before="60" w:after="60"/>
              <w:rPr>
                <w:noProof/>
                <w:lang w:val="en-US"/>
              </w:rPr>
            </w:pPr>
            <w:r>
              <w:rPr>
                <w:noProof/>
                <w:lang w:val="en-US"/>
              </w:rPr>
              <w:t>Article 4 of Regulation (EC) No 847/96 shall not apply</w:t>
            </w:r>
          </w:p>
        </w:tc>
      </w:tr>
      <w:tr>
        <w:trPr>
          <w:trHeight w:val="227"/>
        </w:trPr>
        <w:tc>
          <w:tcPr>
            <w:tcW w:w="1809" w:type="dxa"/>
            <w:noWrap/>
            <w:hideMark/>
          </w:tcPr>
          <w:p>
            <w:pPr>
              <w:spacing w:before="60" w:after="60"/>
              <w:rPr>
                <w:noProof/>
                <w:lang w:val="en-US"/>
              </w:rPr>
            </w:pPr>
            <w:r>
              <w:rPr>
                <w:noProof/>
                <w:lang w:val="en-US"/>
              </w:rPr>
              <w:t>The Netherlands</w:t>
            </w:r>
          </w:p>
        </w:tc>
        <w:tc>
          <w:tcPr>
            <w:tcW w:w="2127" w:type="dxa"/>
            <w:noWrap/>
            <w:hideMark/>
          </w:tcPr>
          <w:p>
            <w:pPr>
              <w:spacing w:before="60" w:after="60"/>
              <w:jc w:val="right"/>
              <w:rPr>
                <w:noProof/>
                <w:lang w:val="en-US"/>
              </w:rPr>
            </w:pPr>
            <w:r>
              <w:rPr>
                <w:noProof/>
                <w:lang w:val="en-US"/>
              </w:rPr>
              <w:t>to be established</w:t>
            </w:r>
          </w:p>
        </w:tc>
        <w:tc>
          <w:tcPr>
            <w:tcW w:w="708" w:type="dxa"/>
          </w:tcPr>
          <w:p>
            <w:pPr>
              <w:spacing w:before="60" w:after="60"/>
              <w:rPr>
                <w:noProof/>
                <w:lang w:val="en-US"/>
              </w:rPr>
            </w:pPr>
          </w:p>
        </w:tc>
        <w:tc>
          <w:tcPr>
            <w:tcW w:w="0" w:type="auto"/>
            <w:gridSpan w:val="2"/>
            <w:vMerge/>
            <w:tcBorders>
              <w:top w:val="single" w:sz="8" w:space="0" w:color="auto"/>
              <w:left w:val="nil"/>
              <w:bottom w:val="nil"/>
              <w:right w:val="nil"/>
            </w:tcBorders>
            <w:vAlign w:val="center"/>
            <w:hideMark/>
          </w:tcPr>
          <w:p>
            <w:pPr>
              <w:spacing w:before="0" w:after="0"/>
              <w:rPr>
                <w:noProof/>
                <w:szCs w:val="24"/>
                <w:lang w:val="en-US"/>
              </w:rPr>
            </w:pPr>
          </w:p>
        </w:tc>
      </w:tr>
      <w:tr>
        <w:trPr>
          <w:trHeight w:val="227"/>
        </w:trPr>
        <w:tc>
          <w:tcPr>
            <w:tcW w:w="1809" w:type="dxa"/>
            <w:noWrap/>
            <w:hideMark/>
          </w:tcPr>
          <w:p>
            <w:pPr>
              <w:spacing w:before="60" w:after="60"/>
              <w:rPr>
                <w:noProof/>
                <w:lang w:val="en-US"/>
              </w:rPr>
            </w:pPr>
            <w:r>
              <w:rPr>
                <w:noProof/>
                <w:lang w:val="en-US"/>
              </w:rPr>
              <w:t>Lithuania</w:t>
            </w:r>
          </w:p>
        </w:tc>
        <w:tc>
          <w:tcPr>
            <w:tcW w:w="2127" w:type="dxa"/>
            <w:noWrap/>
            <w:hideMark/>
          </w:tcPr>
          <w:p>
            <w:pPr>
              <w:spacing w:before="60" w:after="60"/>
              <w:jc w:val="right"/>
              <w:rPr>
                <w:noProof/>
                <w:lang w:val="en-US"/>
              </w:rPr>
            </w:pPr>
            <w:r>
              <w:rPr>
                <w:noProof/>
                <w:lang w:val="en-US"/>
              </w:rPr>
              <w:t>to be established</w:t>
            </w:r>
          </w:p>
        </w:tc>
        <w:tc>
          <w:tcPr>
            <w:tcW w:w="708" w:type="dxa"/>
          </w:tcPr>
          <w:p>
            <w:pPr>
              <w:spacing w:before="60" w:after="60"/>
              <w:rPr>
                <w:noProof/>
                <w:lang w:val="en-US"/>
              </w:rPr>
            </w:pPr>
          </w:p>
        </w:tc>
        <w:tc>
          <w:tcPr>
            <w:tcW w:w="0" w:type="auto"/>
            <w:gridSpan w:val="2"/>
            <w:vMerge/>
            <w:tcBorders>
              <w:top w:val="single" w:sz="8" w:space="0" w:color="auto"/>
              <w:left w:val="nil"/>
              <w:bottom w:val="nil"/>
              <w:right w:val="nil"/>
            </w:tcBorders>
            <w:vAlign w:val="center"/>
            <w:hideMark/>
          </w:tcPr>
          <w:p>
            <w:pPr>
              <w:spacing w:before="0" w:after="0"/>
              <w:rPr>
                <w:noProof/>
                <w:szCs w:val="24"/>
                <w:lang w:val="en-US"/>
              </w:rPr>
            </w:pPr>
          </w:p>
        </w:tc>
      </w:tr>
      <w:tr>
        <w:trPr>
          <w:trHeight w:val="227"/>
        </w:trPr>
        <w:tc>
          <w:tcPr>
            <w:tcW w:w="1809" w:type="dxa"/>
            <w:noWrap/>
            <w:hideMark/>
          </w:tcPr>
          <w:p>
            <w:pPr>
              <w:spacing w:before="60" w:after="60"/>
              <w:rPr>
                <w:noProof/>
                <w:lang w:val="en-US"/>
              </w:rPr>
            </w:pPr>
            <w:r>
              <w:rPr>
                <w:noProof/>
                <w:lang w:val="en-US"/>
              </w:rPr>
              <w:t>Poland</w:t>
            </w:r>
          </w:p>
        </w:tc>
        <w:tc>
          <w:tcPr>
            <w:tcW w:w="2127" w:type="dxa"/>
            <w:noWrap/>
            <w:hideMark/>
          </w:tcPr>
          <w:p>
            <w:pPr>
              <w:spacing w:before="60" w:after="60"/>
              <w:jc w:val="right"/>
              <w:rPr>
                <w:noProof/>
                <w:lang w:val="en-US"/>
              </w:rPr>
            </w:pPr>
            <w:r>
              <w:rPr>
                <w:noProof/>
                <w:lang w:val="en-US"/>
              </w:rPr>
              <w:t>to be established</w:t>
            </w:r>
          </w:p>
        </w:tc>
        <w:tc>
          <w:tcPr>
            <w:tcW w:w="708" w:type="dxa"/>
          </w:tcPr>
          <w:p>
            <w:pPr>
              <w:spacing w:before="60" w:after="60"/>
              <w:rPr>
                <w:noProof/>
                <w:lang w:val="en-US"/>
              </w:rPr>
            </w:pPr>
          </w:p>
        </w:tc>
        <w:tc>
          <w:tcPr>
            <w:tcW w:w="0" w:type="auto"/>
            <w:gridSpan w:val="2"/>
            <w:vMerge/>
            <w:tcBorders>
              <w:top w:val="single" w:sz="8" w:space="0" w:color="auto"/>
              <w:left w:val="nil"/>
              <w:bottom w:val="nil"/>
              <w:right w:val="nil"/>
            </w:tcBorders>
            <w:vAlign w:val="center"/>
            <w:hideMark/>
          </w:tcPr>
          <w:p>
            <w:pPr>
              <w:spacing w:before="0" w:after="0"/>
              <w:rPr>
                <w:noProof/>
                <w:szCs w:val="24"/>
                <w:lang w:val="en-US"/>
              </w:rPr>
            </w:pPr>
          </w:p>
        </w:tc>
      </w:tr>
      <w:tr>
        <w:trPr>
          <w:trHeight w:val="227"/>
        </w:trPr>
        <w:tc>
          <w:tcPr>
            <w:tcW w:w="1809" w:type="dxa"/>
            <w:noWrap/>
            <w:hideMark/>
          </w:tcPr>
          <w:p>
            <w:pPr>
              <w:spacing w:before="60" w:after="60"/>
              <w:rPr>
                <w:noProof/>
                <w:lang w:val="en-US"/>
              </w:rPr>
            </w:pPr>
            <w:r>
              <w:rPr>
                <w:noProof/>
                <w:lang w:val="en-US"/>
              </w:rPr>
              <w:t>Union</w:t>
            </w:r>
          </w:p>
        </w:tc>
        <w:tc>
          <w:tcPr>
            <w:tcW w:w="2127" w:type="dxa"/>
            <w:noWrap/>
            <w:hideMark/>
          </w:tcPr>
          <w:p>
            <w:pPr>
              <w:spacing w:before="60" w:after="60"/>
              <w:jc w:val="right"/>
              <w:rPr>
                <w:noProof/>
                <w:lang w:val="en-US"/>
              </w:rPr>
            </w:pPr>
            <w:r>
              <w:rPr>
                <w:noProof/>
                <w:lang w:val="en-US"/>
              </w:rPr>
              <w:t>to be established</w:t>
            </w:r>
          </w:p>
        </w:tc>
        <w:tc>
          <w:tcPr>
            <w:tcW w:w="708" w:type="dxa"/>
          </w:tcPr>
          <w:p>
            <w:pPr>
              <w:spacing w:before="60" w:after="60"/>
              <w:rPr>
                <w:noProof/>
                <w:lang w:val="en-US"/>
              </w:rPr>
            </w:pPr>
          </w:p>
        </w:tc>
        <w:tc>
          <w:tcPr>
            <w:tcW w:w="0" w:type="auto"/>
            <w:gridSpan w:val="2"/>
            <w:vMerge/>
            <w:tcBorders>
              <w:top w:val="single" w:sz="8" w:space="0" w:color="auto"/>
              <w:left w:val="nil"/>
              <w:bottom w:val="nil"/>
              <w:right w:val="nil"/>
            </w:tcBorders>
            <w:vAlign w:val="center"/>
            <w:hideMark/>
          </w:tcPr>
          <w:p>
            <w:pPr>
              <w:spacing w:before="0" w:after="0"/>
              <w:rPr>
                <w:noProof/>
                <w:szCs w:val="24"/>
                <w:lang w:val="en-US"/>
              </w:rPr>
            </w:pPr>
          </w:p>
        </w:tc>
      </w:tr>
      <w:tr>
        <w:trPr>
          <w:trHeight w:val="227"/>
        </w:trPr>
        <w:tc>
          <w:tcPr>
            <w:tcW w:w="1809" w:type="dxa"/>
            <w:noWrap/>
            <w:hideMark/>
          </w:tcPr>
          <w:p>
            <w:pPr>
              <w:spacing w:before="60" w:after="60"/>
              <w:rPr>
                <w:noProof/>
                <w:lang w:val="en-US"/>
              </w:rPr>
            </w:pPr>
            <w:r>
              <w:rPr>
                <w:noProof/>
                <w:lang w:val="en-US"/>
              </w:rPr>
              <w:t>TAC</w:t>
            </w:r>
          </w:p>
        </w:tc>
        <w:tc>
          <w:tcPr>
            <w:tcW w:w="2127" w:type="dxa"/>
            <w:noWrap/>
            <w:hideMark/>
          </w:tcPr>
          <w:p>
            <w:pPr>
              <w:spacing w:before="60" w:after="60"/>
              <w:rPr>
                <w:noProof/>
                <w:lang w:val="en-US"/>
              </w:rPr>
            </w:pPr>
            <w:r>
              <w:rPr>
                <w:noProof/>
                <w:lang w:val="en-US"/>
              </w:rPr>
              <w:t>Not relevant</w:t>
            </w:r>
          </w:p>
        </w:tc>
        <w:tc>
          <w:tcPr>
            <w:tcW w:w="708" w:type="dxa"/>
          </w:tcPr>
          <w:p>
            <w:pPr>
              <w:spacing w:before="60" w:after="60"/>
              <w:rPr>
                <w:noProof/>
                <w:lang w:val="en-US"/>
              </w:rPr>
            </w:pPr>
          </w:p>
        </w:tc>
        <w:tc>
          <w:tcPr>
            <w:tcW w:w="0" w:type="auto"/>
            <w:gridSpan w:val="2"/>
            <w:vMerge/>
            <w:tcBorders>
              <w:top w:val="single" w:sz="8" w:space="0" w:color="auto"/>
              <w:left w:val="nil"/>
              <w:bottom w:val="nil"/>
              <w:right w:val="nil"/>
            </w:tcBorders>
            <w:vAlign w:val="center"/>
            <w:hideMark/>
          </w:tcPr>
          <w:p>
            <w:pPr>
              <w:spacing w:before="0" w:after="0"/>
              <w:rPr>
                <w:noProof/>
                <w:szCs w:val="24"/>
                <w:lang w:val="en-US"/>
              </w:rPr>
            </w:pPr>
          </w:p>
        </w:tc>
      </w:tr>
      <w:tr>
        <w:trPr>
          <w:trHeight w:val="227"/>
        </w:trPr>
        <w:tc>
          <w:tcPr>
            <w:tcW w:w="1809" w:type="dxa"/>
            <w:tcBorders>
              <w:top w:val="single" w:sz="4" w:space="0" w:color="auto"/>
              <w:left w:val="nil"/>
              <w:bottom w:val="single" w:sz="8" w:space="0" w:color="auto"/>
              <w:right w:val="nil"/>
            </w:tcBorders>
            <w:noWrap/>
          </w:tcPr>
          <w:p>
            <w:pPr>
              <w:spacing w:before="60" w:after="60"/>
              <w:rPr>
                <w:b/>
                <w:bCs/>
                <w:noProof/>
                <w:vertAlign w:val="superscript"/>
                <w:lang w:val="en-US"/>
              </w:rPr>
            </w:pPr>
          </w:p>
        </w:tc>
        <w:tc>
          <w:tcPr>
            <w:tcW w:w="8046" w:type="dxa"/>
            <w:gridSpan w:val="4"/>
            <w:tcBorders>
              <w:top w:val="single" w:sz="4" w:space="0" w:color="auto"/>
              <w:left w:val="nil"/>
              <w:bottom w:val="single" w:sz="8" w:space="0" w:color="auto"/>
              <w:right w:val="nil"/>
            </w:tcBorders>
            <w:noWrap/>
          </w:tcPr>
          <w:p>
            <w:pPr>
              <w:spacing w:before="60" w:after="60"/>
              <w:rPr>
                <w:noProof/>
                <w:lang w:val="en-US"/>
              </w:rPr>
            </w:pPr>
          </w:p>
        </w:tc>
      </w:tr>
      <w:tr>
        <w:trPr>
          <w:trHeight w:val="227"/>
        </w:trPr>
        <w:tc>
          <w:tcPr>
            <w:tcW w:w="1809" w:type="dxa"/>
            <w:tcBorders>
              <w:top w:val="single" w:sz="8" w:space="0" w:color="auto"/>
              <w:left w:val="nil"/>
              <w:bottom w:val="single" w:sz="8" w:space="0" w:color="auto"/>
              <w:right w:val="nil"/>
            </w:tcBorders>
            <w:hideMark/>
          </w:tcPr>
          <w:p>
            <w:pPr>
              <w:spacing w:before="60" w:after="60"/>
              <w:rPr>
                <w:noProof/>
                <w:lang w:val="en-US"/>
              </w:rPr>
            </w:pPr>
            <w:r>
              <w:rPr>
                <w:noProof/>
                <w:lang w:val="en-US"/>
              </w:rPr>
              <w:t>Species:</w:t>
            </w:r>
          </w:p>
        </w:tc>
        <w:tc>
          <w:tcPr>
            <w:tcW w:w="2835" w:type="dxa"/>
            <w:gridSpan w:val="2"/>
            <w:tcBorders>
              <w:top w:val="single" w:sz="8" w:space="0" w:color="auto"/>
              <w:left w:val="nil"/>
              <w:bottom w:val="single" w:sz="8" w:space="0" w:color="auto"/>
              <w:right w:val="single" w:sz="8" w:space="0" w:color="auto"/>
            </w:tcBorders>
            <w:hideMark/>
          </w:tcPr>
          <w:p>
            <w:pPr>
              <w:spacing w:before="60" w:after="60"/>
              <w:rPr>
                <w:noProof/>
                <w:lang w:val="en-US"/>
              </w:rPr>
            </w:pPr>
            <w:r>
              <w:rPr>
                <w:noProof/>
                <w:lang w:val="en-US"/>
              </w:rPr>
              <w:t>Toothfish</w:t>
            </w:r>
          </w:p>
          <w:p>
            <w:pPr>
              <w:keepNext/>
              <w:tabs>
                <w:tab w:val="left" w:pos="850"/>
              </w:tabs>
              <w:spacing w:before="60" w:after="60"/>
              <w:rPr>
                <w:i/>
                <w:iCs/>
                <w:noProof/>
                <w:lang w:val="en-US"/>
              </w:rPr>
            </w:pPr>
            <w:r>
              <w:rPr>
                <w:i/>
                <w:iCs/>
                <w:noProof/>
                <w:lang w:val="en-US"/>
              </w:rPr>
              <w:t xml:space="preserve">Dissostichus </w:t>
            </w:r>
            <w:r>
              <w:rPr>
                <w:noProof/>
                <w:lang w:val="en-US"/>
              </w:rPr>
              <w:t>spp.</w:t>
            </w:r>
          </w:p>
        </w:tc>
        <w:tc>
          <w:tcPr>
            <w:tcW w:w="1040" w:type="dxa"/>
            <w:tcBorders>
              <w:top w:val="single" w:sz="8" w:space="0" w:color="auto"/>
              <w:left w:val="single" w:sz="8" w:space="0" w:color="auto"/>
              <w:bottom w:val="single" w:sz="8" w:space="0" w:color="auto"/>
              <w:right w:val="nil"/>
            </w:tcBorders>
            <w:hideMark/>
          </w:tcPr>
          <w:p>
            <w:pPr>
              <w:spacing w:before="60" w:after="60"/>
              <w:rPr>
                <w:noProof/>
                <w:lang w:val="en-US"/>
              </w:rPr>
            </w:pPr>
            <w:r>
              <w:rPr>
                <w:noProof/>
                <w:lang w:val="en-US"/>
              </w:rPr>
              <w:t>Zone:</w:t>
            </w:r>
          </w:p>
        </w:tc>
        <w:tc>
          <w:tcPr>
            <w:tcW w:w="4171" w:type="dxa"/>
            <w:tcBorders>
              <w:top w:val="single" w:sz="8" w:space="0" w:color="auto"/>
              <w:left w:val="nil"/>
              <w:bottom w:val="single" w:sz="8" w:space="0" w:color="auto"/>
              <w:right w:val="nil"/>
            </w:tcBorders>
            <w:hideMark/>
          </w:tcPr>
          <w:p>
            <w:pPr>
              <w:spacing w:before="60" w:after="60"/>
              <w:rPr>
                <w:noProof/>
                <w:lang w:val="en-US"/>
              </w:rPr>
            </w:pPr>
            <w:r>
              <w:rPr>
                <w:noProof/>
                <w:lang w:val="en-US"/>
              </w:rPr>
              <w:t>SPRFMO Convention Area</w:t>
            </w:r>
          </w:p>
          <w:p>
            <w:pPr>
              <w:spacing w:before="60" w:after="60"/>
              <w:rPr>
                <w:noProof/>
                <w:lang w:val="en-US"/>
              </w:rPr>
            </w:pPr>
            <w:r>
              <w:rPr>
                <w:noProof/>
                <w:lang w:val="en-US"/>
              </w:rPr>
              <w:t>(TOT/SPR-AE)</w:t>
            </w:r>
          </w:p>
        </w:tc>
      </w:tr>
      <w:tr>
        <w:trPr>
          <w:trHeight w:val="227"/>
        </w:trPr>
        <w:tc>
          <w:tcPr>
            <w:tcW w:w="1809" w:type="dxa"/>
            <w:tcBorders>
              <w:top w:val="single" w:sz="8" w:space="0" w:color="auto"/>
              <w:left w:val="nil"/>
              <w:bottom w:val="nil"/>
              <w:right w:val="nil"/>
            </w:tcBorders>
            <w:hideMark/>
          </w:tcPr>
          <w:p>
            <w:pPr>
              <w:spacing w:before="60" w:after="60"/>
              <w:rPr>
                <w:noProof/>
                <w:lang w:val="en-US"/>
              </w:rPr>
            </w:pPr>
            <w:r>
              <w:rPr>
                <w:noProof/>
                <w:lang w:val="en-US"/>
              </w:rPr>
              <w:t>TAC</w:t>
            </w:r>
          </w:p>
        </w:tc>
        <w:tc>
          <w:tcPr>
            <w:tcW w:w="2127" w:type="dxa"/>
            <w:tcBorders>
              <w:top w:val="single" w:sz="8" w:space="0" w:color="auto"/>
              <w:left w:val="nil"/>
              <w:bottom w:val="nil"/>
              <w:right w:val="nil"/>
            </w:tcBorders>
            <w:hideMark/>
          </w:tcPr>
          <w:p>
            <w:pPr>
              <w:spacing w:before="60" w:after="60"/>
              <w:jc w:val="right"/>
              <w:rPr>
                <w:noProof/>
                <w:lang w:val="en-US"/>
              </w:rPr>
            </w:pPr>
            <w:r>
              <w:rPr>
                <w:noProof/>
                <w:lang w:val="en-US"/>
              </w:rPr>
              <w:t>to be established</w:t>
            </w:r>
          </w:p>
        </w:tc>
        <w:tc>
          <w:tcPr>
            <w:tcW w:w="708" w:type="dxa"/>
            <w:tcBorders>
              <w:top w:val="single" w:sz="8" w:space="0" w:color="auto"/>
              <w:left w:val="nil"/>
              <w:bottom w:val="nil"/>
              <w:right w:val="nil"/>
            </w:tcBorders>
            <w:hideMark/>
          </w:tcPr>
          <w:p>
            <w:pPr>
              <w:spacing w:before="60" w:after="60"/>
              <w:rPr>
                <w:b/>
                <w:bCs/>
                <w:noProof/>
                <w:vertAlign w:val="superscript"/>
                <w:lang w:val="en-US"/>
              </w:rPr>
            </w:pPr>
            <w:r>
              <w:rPr>
                <w:b/>
                <w:bCs/>
                <w:noProof/>
                <w:vertAlign w:val="superscript"/>
                <w:lang w:val="en-US"/>
              </w:rPr>
              <w:t>(1)</w:t>
            </w:r>
          </w:p>
        </w:tc>
        <w:tc>
          <w:tcPr>
            <w:tcW w:w="5211" w:type="dxa"/>
            <w:gridSpan w:val="2"/>
            <w:tcBorders>
              <w:top w:val="single" w:sz="8" w:space="0" w:color="auto"/>
              <w:left w:val="nil"/>
              <w:bottom w:val="nil"/>
              <w:right w:val="nil"/>
            </w:tcBorders>
            <w:hideMark/>
          </w:tcPr>
          <w:p>
            <w:pPr>
              <w:spacing w:before="60" w:after="60"/>
              <w:rPr>
                <w:noProof/>
                <w:lang w:val="en-US"/>
              </w:rPr>
            </w:pPr>
            <w:r>
              <w:rPr>
                <w:noProof/>
                <w:lang w:val="en-US"/>
              </w:rPr>
              <w:t>Precautionary TAC</w:t>
            </w:r>
          </w:p>
        </w:tc>
      </w:tr>
      <w:tr>
        <w:trPr>
          <w:trHeight w:val="227"/>
        </w:trPr>
        <w:tc>
          <w:tcPr>
            <w:tcW w:w="0" w:type="auto"/>
            <w:gridSpan w:val="5"/>
            <w:tcBorders>
              <w:top w:val="nil"/>
              <w:left w:val="nil"/>
              <w:bottom w:val="single" w:sz="4" w:space="0" w:color="auto"/>
              <w:right w:val="nil"/>
            </w:tcBorders>
            <w:hideMark/>
          </w:tcPr>
          <w:p>
            <w:pPr>
              <w:spacing w:before="60" w:after="60"/>
              <w:ind w:left="720" w:hanging="720"/>
              <w:jc w:val="left"/>
              <w:rPr>
                <w:noProof/>
                <w:lang w:val="en-US"/>
              </w:rPr>
            </w:pPr>
            <w:r>
              <w:rPr>
                <w:b/>
                <w:bCs/>
                <w:noProof/>
                <w:vertAlign w:val="superscript"/>
                <w:lang w:val="en-US"/>
              </w:rPr>
              <w:t>(1)</w:t>
            </w:r>
            <w:r>
              <w:rPr>
                <w:noProof/>
                <w:lang w:val="en-US"/>
              </w:rPr>
              <w:tab/>
              <w:t>This TAC is for exploratory fisheries only. Fishing shall only take place within the following research blocks (A-E):</w:t>
            </w:r>
            <w:r>
              <w:rPr>
                <w:noProof/>
                <w:lang w:val="en-US"/>
              </w:rPr>
              <w:br/>
              <w:t>– Research block A: area bounded by latitudes 47</w:t>
            </w:r>
            <w:r>
              <w:rPr>
                <w:noProof/>
                <w:lang w:val="de-DE"/>
              </w:rPr>
              <w:t>°</w:t>
            </w:r>
            <w:r>
              <w:rPr>
                <w:noProof/>
                <w:lang w:val="en-US"/>
              </w:rPr>
              <w:t> 15' S and 48</w:t>
            </w:r>
            <w:r>
              <w:rPr>
                <w:noProof/>
                <w:lang w:val="de-DE"/>
              </w:rPr>
              <w:t>°</w:t>
            </w:r>
            <w:r>
              <w:rPr>
                <w:noProof/>
                <w:lang w:val="en-US"/>
              </w:rPr>
              <w:t> 15' S and by longitudes 146</w:t>
            </w:r>
            <w:r>
              <w:rPr>
                <w:noProof/>
                <w:lang w:val="de-DE"/>
              </w:rPr>
              <w:t>°</w:t>
            </w:r>
            <w:r>
              <w:rPr>
                <w:noProof/>
                <w:lang w:val="en-US"/>
              </w:rPr>
              <w:t> 30' E and 147</w:t>
            </w:r>
            <w:r>
              <w:rPr>
                <w:noProof/>
                <w:lang w:val="de-DE"/>
              </w:rPr>
              <w:t>°</w:t>
            </w:r>
            <w:r>
              <w:rPr>
                <w:noProof/>
                <w:lang w:val="en-US"/>
              </w:rPr>
              <w:t> 30' E,</w:t>
            </w:r>
            <w:r>
              <w:rPr>
                <w:noProof/>
                <w:lang w:val="en-US"/>
              </w:rPr>
              <w:br/>
              <w:t>– Research block B: area bounded by latitudes 47</w:t>
            </w:r>
            <w:r>
              <w:rPr>
                <w:noProof/>
                <w:lang w:val="de-DE"/>
              </w:rPr>
              <w:t>°</w:t>
            </w:r>
            <w:r>
              <w:rPr>
                <w:noProof/>
                <w:lang w:val="en-US"/>
              </w:rPr>
              <w:t> 15' S and 48</w:t>
            </w:r>
            <w:r>
              <w:rPr>
                <w:noProof/>
                <w:lang w:val="de-DE"/>
              </w:rPr>
              <w:t>°</w:t>
            </w:r>
            <w:r>
              <w:rPr>
                <w:noProof/>
                <w:lang w:val="en-US"/>
              </w:rPr>
              <w:t> 15' S and by longitudes 147</w:t>
            </w:r>
            <w:r>
              <w:rPr>
                <w:noProof/>
                <w:lang w:val="de-DE"/>
              </w:rPr>
              <w:t>°</w:t>
            </w:r>
            <w:r>
              <w:rPr>
                <w:noProof/>
                <w:lang w:val="en-US"/>
              </w:rPr>
              <w:t> 30' E and 148</w:t>
            </w:r>
            <w:r>
              <w:rPr>
                <w:noProof/>
                <w:lang w:val="de-DE"/>
              </w:rPr>
              <w:t>°</w:t>
            </w:r>
            <w:r>
              <w:rPr>
                <w:noProof/>
                <w:lang w:val="en-US"/>
              </w:rPr>
              <w:t> 30' E,</w:t>
            </w:r>
            <w:r>
              <w:rPr>
                <w:noProof/>
                <w:lang w:val="en-US"/>
              </w:rPr>
              <w:br/>
              <w:t>– Research block C: area bounded by latitudes 47</w:t>
            </w:r>
            <w:r>
              <w:rPr>
                <w:noProof/>
                <w:lang w:val="de-DE"/>
              </w:rPr>
              <w:t>°</w:t>
            </w:r>
            <w:r>
              <w:rPr>
                <w:noProof/>
                <w:lang w:val="en-US"/>
              </w:rPr>
              <w:t> 15' S and 48</w:t>
            </w:r>
            <w:r>
              <w:rPr>
                <w:noProof/>
                <w:lang w:val="de-DE"/>
              </w:rPr>
              <w:t>°</w:t>
            </w:r>
            <w:r>
              <w:rPr>
                <w:noProof/>
                <w:lang w:val="en-US"/>
              </w:rPr>
              <w:t> 15' S and by longitudes 148</w:t>
            </w:r>
            <w:r>
              <w:rPr>
                <w:noProof/>
                <w:lang w:val="de-DE"/>
              </w:rPr>
              <w:t>°</w:t>
            </w:r>
            <w:r>
              <w:rPr>
                <w:noProof/>
                <w:lang w:val="en-US"/>
              </w:rPr>
              <w:t> 30' E and 150</w:t>
            </w:r>
            <w:r>
              <w:rPr>
                <w:noProof/>
                <w:lang w:val="de-DE"/>
              </w:rPr>
              <w:t>°</w:t>
            </w:r>
            <w:r>
              <w:rPr>
                <w:noProof/>
                <w:lang w:val="en-US"/>
              </w:rPr>
              <w:t> 00' E,</w:t>
            </w:r>
            <w:r>
              <w:rPr>
                <w:noProof/>
                <w:lang w:val="en-US"/>
              </w:rPr>
              <w:br/>
              <w:t>– Research block D: area bounded by latitudes 48</w:t>
            </w:r>
            <w:r>
              <w:rPr>
                <w:noProof/>
                <w:lang w:val="de-DE"/>
              </w:rPr>
              <w:t>°</w:t>
            </w:r>
            <w:r>
              <w:rPr>
                <w:noProof/>
                <w:lang w:val="en-US"/>
              </w:rPr>
              <w:t> 15' S and 49</w:t>
            </w:r>
            <w:r>
              <w:rPr>
                <w:noProof/>
                <w:lang w:val="de-DE"/>
              </w:rPr>
              <w:t>°</w:t>
            </w:r>
            <w:r>
              <w:rPr>
                <w:noProof/>
                <w:lang w:val="en-US"/>
              </w:rPr>
              <w:t> 15' S and by longitudes 149</w:t>
            </w:r>
            <w:r>
              <w:rPr>
                <w:noProof/>
                <w:lang w:val="de-DE"/>
              </w:rPr>
              <w:t>°</w:t>
            </w:r>
            <w:r>
              <w:rPr>
                <w:noProof/>
                <w:lang w:val="en-US"/>
              </w:rPr>
              <w:t> 00' E and 150</w:t>
            </w:r>
            <w:r>
              <w:rPr>
                <w:noProof/>
                <w:lang w:val="de-DE"/>
              </w:rPr>
              <w:t>°</w:t>
            </w:r>
            <w:r>
              <w:rPr>
                <w:noProof/>
                <w:lang w:val="en-US"/>
              </w:rPr>
              <w:t> 00' E,</w:t>
            </w:r>
            <w:r>
              <w:rPr>
                <w:noProof/>
                <w:lang w:val="en-US"/>
              </w:rPr>
              <w:br/>
              <w:t>– Research block E: area bounded by latitudes 48</w:t>
            </w:r>
            <w:r>
              <w:rPr>
                <w:noProof/>
                <w:lang w:val="de-DE"/>
              </w:rPr>
              <w:t>°</w:t>
            </w:r>
            <w:r>
              <w:rPr>
                <w:noProof/>
                <w:lang w:val="en-US"/>
              </w:rPr>
              <w:t> 15' S and 49</w:t>
            </w:r>
            <w:r>
              <w:rPr>
                <w:noProof/>
                <w:lang w:val="de-DE"/>
              </w:rPr>
              <w:t>°</w:t>
            </w:r>
            <w:r>
              <w:rPr>
                <w:noProof/>
                <w:lang w:val="en-US"/>
              </w:rPr>
              <w:t> 30' S and by longitudes 150</w:t>
            </w:r>
            <w:r>
              <w:rPr>
                <w:noProof/>
                <w:lang w:val="de-DE"/>
              </w:rPr>
              <w:t>°</w:t>
            </w:r>
            <w:r>
              <w:rPr>
                <w:noProof/>
                <w:lang w:val="en-US"/>
              </w:rPr>
              <w:t> 00' E and 151</w:t>
            </w:r>
            <w:r>
              <w:rPr>
                <w:noProof/>
                <w:lang w:val="de-DE"/>
              </w:rPr>
              <w:t>°</w:t>
            </w:r>
            <w:r>
              <w:rPr>
                <w:noProof/>
                <w:lang w:val="en-US"/>
              </w:rPr>
              <w:t> 00' E.</w:t>
            </w:r>
          </w:p>
        </w:tc>
      </w:tr>
    </w:tbl>
    <w:p>
      <w:pPr>
        <w:pStyle w:val="Lignefinal"/>
        <w:rPr>
          <w:noProof/>
          <w:szCs w:val="22"/>
        </w:rPr>
      </w:pPr>
    </w:p>
    <w:p>
      <w:pPr>
        <w:spacing w:before="0" w:after="0"/>
        <w:rPr>
          <w:noProof/>
        </w:rPr>
        <w:sectPr>
          <w:pgSz w:w="11907" w:h="16840"/>
          <w:pgMar w:top="1134" w:right="1134" w:bottom="1134" w:left="1134" w:header="567" w:footer="567" w:gutter="0"/>
          <w:pgNumType w:start="111"/>
          <w:cols w:space="720"/>
          <w:docGrid w:linePitch="326"/>
        </w:sectPr>
      </w:pPr>
    </w:p>
    <w:p>
      <w:pPr>
        <w:jc w:val="center"/>
        <w:rPr>
          <w:b/>
          <w:noProof/>
          <w:szCs w:val="24"/>
        </w:rPr>
      </w:pPr>
      <w:r>
        <w:rPr>
          <w:b/>
          <w:noProof/>
        </w:rPr>
        <w:t>ANNEX IJ</w:t>
      </w:r>
    </w:p>
    <w:p>
      <w:pPr>
        <w:pStyle w:val="NormalCentered"/>
        <w:rPr>
          <w:noProof/>
        </w:rPr>
      </w:pPr>
      <w:r>
        <w:rPr>
          <w:noProof/>
        </w:rPr>
        <w:t>IOTC AREA OF COMPETENCE</w:t>
      </w:r>
    </w:p>
    <w:p>
      <w:pPr>
        <w:rPr>
          <w:noProof/>
        </w:rPr>
      </w:pPr>
      <w:r>
        <w:rPr>
          <w:noProof/>
        </w:rPr>
        <w:t>Catches of yellowfin tuna by Union purse seiners shall not exceed the catch limits set out in this Annex.</w:t>
      </w:r>
    </w:p>
    <w:tbl>
      <w:tblPr>
        <w:tblW w:w="9406" w:type="dxa"/>
        <w:tblInd w:w="108" w:type="dxa"/>
        <w:tblLayout w:type="fixed"/>
        <w:tblLook w:val="04A0" w:firstRow="1" w:lastRow="0" w:firstColumn="1" w:lastColumn="0" w:noHBand="0" w:noVBand="1"/>
      </w:tblPr>
      <w:tblGrid>
        <w:gridCol w:w="1843"/>
        <w:gridCol w:w="1559"/>
        <w:gridCol w:w="993"/>
        <w:gridCol w:w="850"/>
        <w:gridCol w:w="4161"/>
      </w:tblGrid>
      <w:tr>
        <w:trPr>
          <w:trHeight w:val="40"/>
        </w:trPr>
        <w:tc>
          <w:tcPr>
            <w:tcW w:w="1843" w:type="dxa"/>
            <w:tcBorders>
              <w:top w:val="single" w:sz="8" w:space="0" w:color="auto"/>
              <w:left w:val="nil"/>
              <w:bottom w:val="nil"/>
              <w:right w:val="nil"/>
            </w:tcBorders>
            <w:hideMark/>
          </w:tcPr>
          <w:p>
            <w:pPr>
              <w:spacing w:before="60" w:after="60"/>
              <w:rPr>
                <w:rFonts w:asciiTheme="majorBidi" w:hAnsiTheme="majorBidi" w:cstheme="majorBidi"/>
                <w:noProof/>
                <w:lang w:val="de-DE"/>
              </w:rPr>
            </w:pPr>
            <w:r>
              <w:rPr>
                <w:rFonts w:asciiTheme="majorBidi" w:hAnsiTheme="majorBidi" w:cstheme="majorBidi"/>
                <w:noProof/>
                <w:lang w:val="de-DE"/>
              </w:rPr>
              <w:t>Species:</w:t>
            </w:r>
          </w:p>
        </w:tc>
        <w:tc>
          <w:tcPr>
            <w:tcW w:w="2552" w:type="dxa"/>
            <w:gridSpan w:val="2"/>
            <w:tcBorders>
              <w:top w:val="single" w:sz="8" w:space="0" w:color="auto"/>
              <w:left w:val="nil"/>
              <w:bottom w:val="nil"/>
              <w:right w:val="nil"/>
            </w:tcBorders>
            <w:hideMark/>
          </w:tcPr>
          <w:p>
            <w:pPr>
              <w:spacing w:before="60" w:after="60"/>
              <w:rPr>
                <w:rFonts w:asciiTheme="majorBidi" w:hAnsiTheme="majorBidi" w:cstheme="majorBidi"/>
                <w:noProof/>
                <w:lang w:val="de-DE"/>
              </w:rPr>
            </w:pPr>
            <w:r>
              <w:rPr>
                <w:rFonts w:asciiTheme="majorBidi" w:hAnsiTheme="majorBidi" w:cstheme="majorBidi"/>
                <w:noProof/>
                <w:lang w:val="de-DE"/>
              </w:rPr>
              <w:t>Yellowfin tuna</w:t>
            </w:r>
          </w:p>
          <w:p>
            <w:pPr>
              <w:spacing w:before="60" w:after="60"/>
              <w:rPr>
                <w:rFonts w:asciiTheme="majorBidi" w:hAnsiTheme="majorBidi" w:cstheme="majorBidi"/>
                <w:noProof/>
                <w:lang w:val="de-DE"/>
              </w:rPr>
            </w:pPr>
            <w:r>
              <w:rPr>
                <w:rFonts w:asciiTheme="majorBidi" w:hAnsiTheme="majorBidi" w:cstheme="majorBidi"/>
                <w:i/>
                <w:iCs/>
                <w:noProof/>
                <w:lang w:val="de-DE"/>
              </w:rPr>
              <w:t>Thunnus albacares</w:t>
            </w:r>
          </w:p>
        </w:tc>
        <w:tc>
          <w:tcPr>
            <w:tcW w:w="850" w:type="dxa"/>
            <w:tcBorders>
              <w:top w:val="single" w:sz="8" w:space="0" w:color="auto"/>
              <w:left w:val="single" w:sz="8" w:space="0" w:color="auto"/>
              <w:bottom w:val="nil"/>
              <w:right w:val="nil"/>
            </w:tcBorders>
            <w:hideMark/>
          </w:tcPr>
          <w:p>
            <w:pPr>
              <w:spacing w:before="60" w:after="60"/>
              <w:rPr>
                <w:rFonts w:asciiTheme="majorBidi" w:hAnsiTheme="majorBidi" w:cstheme="majorBidi"/>
                <w:noProof/>
                <w:lang w:val="de-DE"/>
              </w:rPr>
            </w:pPr>
            <w:r>
              <w:rPr>
                <w:rFonts w:asciiTheme="majorBidi" w:hAnsiTheme="majorBidi" w:cstheme="majorBidi"/>
                <w:noProof/>
                <w:lang w:val="de-DE"/>
              </w:rPr>
              <w:t>Zone:</w:t>
            </w:r>
          </w:p>
        </w:tc>
        <w:tc>
          <w:tcPr>
            <w:tcW w:w="4161" w:type="dxa"/>
            <w:tcBorders>
              <w:top w:val="single" w:sz="8" w:space="0" w:color="auto"/>
              <w:left w:val="nil"/>
              <w:bottom w:val="nil"/>
              <w:right w:val="nil"/>
            </w:tcBorders>
            <w:hideMark/>
          </w:tcPr>
          <w:p>
            <w:pPr>
              <w:spacing w:before="60" w:after="60"/>
              <w:rPr>
                <w:rFonts w:asciiTheme="majorBidi" w:hAnsiTheme="majorBidi" w:cstheme="majorBidi"/>
                <w:noProof/>
                <w:lang w:val="de-DE"/>
              </w:rPr>
            </w:pPr>
            <w:r>
              <w:rPr>
                <w:rFonts w:asciiTheme="majorBidi" w:hAnsiTheme="majorBidi" w:cstheme="majorBidi"/>
                <w:noProof/>
                <w:lang w:val="de-DE"/>
              </w:rPr>
              <w:t>IOTC Area of Competence</w:t>
            </w:r>
          </w:p>
          <w:p>
            <w:pPr>
              <w:spacing w:before="60" w:after="60"/>
              <w:rPr>
                <w:rFonts w:asciiTheme="majorBidi" w:hAnsiTheme="majorBidi" w:cstheme="majorBidi"/>
                <w:noProof/>
                <w:lang w:val="de-DE"/>
              </w:rPr>
            </w:pPr>
            <w:r>
              <w:rPr>
                <w:rFonts w:asciiTheme="majorBidi" w:hAnsiTheme="majorBidi" w:cstheme="majorBidi"/>
                <w:noProof/>
                <w:lang w:val="de-DE"/>
              </w:rPr>
              <w:t>(YFT/IOTC)</w:t>
            </w:r>
          </w:p>
        </w:tc>
      </w:tr>
      <w:tr>
        <w:trPr>
          <w:trHeight w:val="227"/>
        </w:trPr>
        <w:tc>
          <w:tcPr>
            <w:tcW w:w="1843" w:type="dxa"/>
            <w:tcBorders>
              <w:top w:val="single" w:sz="8" w:space="0" w:color="auto"/>
              <w:left w:val="nil"/>
              <w:bottom w:val="nil"/>
              <w:right w:val="nil"/>
            </w:tcBorders>
            <w:hideMark/>
          </w:tcPr>
          <w:p>
            <w:pPr>
              <w:spacing w:before="60" w:after="60"/>
              <w:rPr>
                <w:rFonts w:asciiTheme="majorBidi" w:hAnsiTheme="majorBidi" w:cstheme="majorBidi"/>
                <w:noProof/>
                <w:lang w:val="de-DE"/>
              </w:rPr>
            </w:pPr>
            <w:r>
              <w:rPr>
                <w:rFonts w:asciiTheme="majorBidi" w:hAnsiTheme="majorBidi" w:cstheme="majorBidi"/>
                <w:noProof/>
                <w:lang w:val="de-DE"/>
              </w:rPr>
              <w:t>France</w:t>
            </w:r>
          </w:p>
        </w:tc>
        <w:tc>
          <w:tcPr>
            <w:tcW w:w="1559" w:type="dxa"/>
            <w:tcBorders>
              <w:top w:val="single" w:sz="8" w:space="0" w:color="auto"/>
              <w:left w:val="nil"/>
              <w:bottom w:val="nil"/>
              <w:right w:val="nil"/>
            </w:tcBorders>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993" w:type="dxa"/>
            <w:tcBorders>
              <w:top w:val="single" w:sz="8" w:space="0" w:color="auto"/>
              <w:left w:val="nil"/>
              <w:bottom w:val="nil"/>
              <w:right w:val="nil"/>
            </w:tcBorders>
            <w:hideMark/>
          </w:tcPr>
          <w:p>
            <w:pPr>
              <w:rPr>
                <w:noProof/>
                <w:color w:val="000000"/>
                <w:lang w:val="de-DE" w:eastAsia="en-GB"/>
              </w:rPr>
            </w:pPr>
          </w:p>
        </w:tc>
        <w:tc>
          <w:tcPr>
            <w:tcW w:w="5011" w:type="dxa"/>
            <w:gridSpan w:val="2"/>
            <w:vMerge w:val="restart"/>
            <w:tcBorders>
              <w:top w:val="single" w:sz="8" w:space="0" w:color="auto"/>
              <w:left w:val="nil"/>
              <w:bottom w:val="single" w:sz="8" w:space="0" w:color="auto"/>
              <w:right w:val="nil"/>
            </w:tcBorders>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Analytical TAC</w:t>
            </w:r>
          </w:p>
          <w:p>
            <w:pPr>
              <w:spacing w:before="60" w:after="60"/>
              <w:rPr>
                <w:rFonts w:asciiTheme="majorBidi" w:hAnsiTheme="majorBidi" w:cstheme="majorBidi"/>
                <w:noProof/>
                <w:lang w:val="de-DE"/>
              </w:rPr>
            </w:pPr>
            <w:r>
              <w:rPr>
                <w:rFonts w:asciiTheme="majorBidi" w:hAnsiTheme="majorBidi" w:cstheme="majorBidi"/>
                <w:noProof/>
                <w:lang w:val="de-DE"/>
              </w:rPr>
              <w:t>Article 3 of Regulation (EC) No 847/96 shall not apply</w:t>
            </w:r>
          </w:p>
          <w:p>
            <w:pPr>
              <w:spacing w:before="60" w:after="60"/>
              <w:rPr>
                <w:rFonts w:asciiTheme="majorBidi" w:hAnsiTheme="majorBidi" w:cstheme="majorBidi"/>
                <w:noProof/>
                <w:lang w:val="de-DE"/>
              </w:rPr>
            </w:pPr>
            <w:r>
              <w:rPr>
                <w:rFonts w:asciiTheme="majorBidi" w:hAnsiTheme="majorBidi" w:cstheme="majorBidi"/>
                <w:noProof/>
                <w:lang w:val="de-DE"/>
              </w:rPr>
              <w:t>Article 4 of Regulation (EC) No 847/96 shall not apply</w:t>
            </w:r>
          </w:p>
        </w:tc>
      </w:tr>
      <w:tr>
        <w:trPr>
          <w:trHeight w:val="227"/>
        </w:trPr>
        <w:tc>
          <w:tcPr>
            <w:tcW w:w="1843" w:type="dxa"/>
            <w:hideMark/>
          </w:tcPr>
          <w:p>
            <w:pPr>
              <w:spacing w:before="60" w:after="60"/>
              <w:rPr>
                <w:rFonts w:asciiTheme="majorBidi" w:hAnsiTheme="majorBidi" w:cstheme="majorBidi"/>
                <w:noProof/>
                <w:lang w:val="de-DE"/>
              </w:rPr>
            </w:pPr>
            <w:r>
              <w:rPr>
                <w:rFonts w:asciiTheme="majorBidi" w:hAnsiTheme="majorBidi" w:cstheme="majorBidi"/>
                <w:noProof/>
                <w:lang w:val="de-DE"/>
              </w:rPr>
              <w:t>Italy</w:t>
            </w:r>
          </w:p>
        </w:tc>
        <w:tc>
          <w:tcPr>
            <w:tcW w:w="1559" w:type="dxa"/>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993" w:type="dxa"/>
            <w:hideMark/>
          </w:tcPr>
          <w:p>
            <w:pPr>
              <w:rPr>
                <w:noProof/>
                <w:color w:val="000000"/>
                <w:lang w:val="de-DE"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de-DE"/>
              </w:rPr>
            </w:pPr>
          </w:p>
        </w:tc>
      </w:tr>
      <w:tr>
        <w:trPr>
          <w:trHeight w:val="227"/>
        </w:trPr>
        <w:tc>
          <w:tcPr>
            <w:tcW w:w="1843" w:type="dxa"/>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Spain</w:t>
            </w:r>
          </w:p>
        </w:tc>
        <w:tc>
          <w:tcPr>
            <w:tcW w:w="1559" w:type="dxa"/>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993" w:type="dxa"/>
            <w:hideMark/>
          </w:tcPr>
          <w:p>
            <w:pPr>
              <w:rPr>
                <w:noProof/>
                <w:color w:val="000000"/>
                <w:lang w:val="de-DE"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de-DE"/>
              </w:rPr>
            </w:pPr>
          </w:p>
        </w:tc>
      </w:tr>
      <w:tr>
        <w:trPr>
          <w:trHeight w:val="227"/>
        </w:trPr>
        <w:tc>
          <w:tcPr>
            <w:tcW w:w="1843" w:type="dxa"/>
          </w:tcPr>
          <w:p>
            <w:pPr>
              <w:spacing w:before="60" w:after="60"/>
              <w:rPr>
                <w:rFonts w:asciiTheme="majorBidi" w:hAnsiTheme="majorBidi" w:cstheme="majorBidi"/>
                <w:noProof/>
                <w:szCs w:val="24"/>
                <w:lang w:val="de-DE"/>
              </w:rPr>
            </w:pPr>
          </w:p>
        </w:tc>
        <w:tc>
          <w:tcPr>
            <w:tcW w:w="1559" w:type="dxa"/>
          </w:tcPr>
          <w:p>
            <w:pPr>
              <w:spacing w:before="60" w:after="60"/>
              <w:jc w:val="right"/>
              <w:rPr>
                <w:rFonts w:asciiTheme="majorBidi" w:hAnsiTheme="majorBidi" w:cstheme="majorBidi"/>
                <w:noProof/>
                <w:lang w:val="de-DE"/>
              </w:rPr>
            </w:pPr>
          </w:p>
        </w:tc>
        <w:tc>
          <w:tcPr>
            <w:tcW w:w="993" w:type="dxa"/>
          </w:tcPr>
          <w:p>
            <w:pPr>
              <w:spacing w:before="60" w:after="60"/>
              <w:rPr>
                <w:rFonts w:asciiTheme="majorBidi" w:hAnsiTheme="majorBidi" w:cstheme="majorBidi"/>
                <w:noProof/>
                <w:lang w:val="de-DE"/>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de-DE"/>
              </w:rPr>
            </w:pPr>
          </w:p>
        </w:tc>
      </w:tr>
      <w:tr>
        <w:trPr>
          <w:trHeight w:val="227"/>
        </w:trPr>
        <w:tc>
          <w:tcPr>
            <w:tcW w:w="1843" w:type="dxa"/>
            <w:hideMark/>
          </w:tcPr>
          <w:p>
            <w:pPr>
              <w:spacing w:before="60" w:after="60"/>
              <w:rPr>
                <w:rFonts w:asciiTheme="majorBidi" w:hAnsiTheme="majorBidi" w:cstheme="majorBidi"/>
                <w:noProof/>
                <w:lang w:val="de-DE"/>
              </w:rPr>
            </w:pPr>
            <w:r>
              <w:rPr>
                <w:rFonts w:asciiTheme="majorBidi" w:hAnsiTheme="majorBidi" w:cstheme="majorBidi"/>
                <w:noProof/>
                <w:lang w:val="de-DE"/>
              </w:rPr>
              <w:t>Union</w:t>
            </w:r>
          </w:p>
        </w:tc>
        <w:tc>
          <w:tcPr>
            <w:tcW w:w="1559" w:type="dxa"/>
            <w:hideMark/>
          </w:tcPr>
          <w:p>
            <w:pPr>
              <w:spacing w:before="60" w:after="60"/>
              <w:jc w:val="right"/>
              <w:rPr>
                <w:noProof/>
                <w:color w:val="000000"/>
                <w:lang w:val="de-DE" w:eastAsia="en-GB"/>
              </w:rPr>
            </w:pPr>
            <w:r>
              <w:rPr>
                <w:rFonts w:asciiTheme="majorBidi" w:hAnsiTheme="majorBidi" w:cstheme="majorBidi"/>
                <w:noProof/>
                <w:color w:val="000000"/>
                <w:lang w:val="de-DE" w:eastAsia="en-GB"/>
              </w:rPr>
              <w:t>pm</w:t>
            </w:r>
          </w:p>
        </w:tc>
        <w:tc>
          <w:tcPr>
            <w:tcW w:w="993" w:type="dxa"/>
            <w:hideMark/>
          </w:tcPr>
          <w:p>
            <w:pPr>
              <w:rPr>
                <w:noProof/>
                <w:color w:val="000000"/>
                <w:lang w:val="de-DE"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de-DE"/>
              </w:rPr>
            </w:pPr>
          </w:p>
        </w:tc>
      </w:tr>
      <w:tr>
        <w:trPr>
          <w:trHeight w:val="227"/>
        </w:trPr>
        <w:tc>
          <w:tcPr>
            <w:tcW w:w="1843" w:type="dxa"/>
            <w:hideMark/>
          </w:tcPr>
          <w:p>
            <w:pPr>
              <w:spacing w:before="0" w:after="0"/>
              <w:rPr>
                <w:noProof/>
                <w:sz w:val="20"/>
                <w:szCs w:val="20"/>
                <w:lang w:eastAsia="en-GB"/>
              </w:rPr>
            </w:pPr>
          </w:p>
        </w:tc>
        <w:tc>
          <w:tcPr>
            <w:tcW w:w="1559" w:type="dxa"/>
            <w:hideMark/>
          </w:tcPr>
          <w:p>
            <w:pPr>
              <w:spacing w:before="0" w:after="0"/>
              <w:rPr>
                <w:noProof/>
                <w:sz w:val="20"/>
                <w:szCs w:val="20"/>
                <w:lang w:eastAsia="en-GB"/>
              </w:rPr>
            </w:pPr>
          </w:p>
        </w:tc>
        <w:tc>
          <w:tcPr>
            <w:tcW w:w="993" w:type="dxa"/>
            <w:hideMark/>
          </w:tcPr>
          <w:p>
            <w:pPr>
              <w:spacing w:before="0" w:after="0"/>
              <w:rPr>
                <w:noProof/>
                <w:sz w:val="20"/>
                <w:szCs w:val="20"/>
                <w:lang w:eastAsia="en-GB"/>
              </w:rPr>
            </w:pPr>
          </w:p>
        </w:tc>
        <w:tc>
          <w:tcPr>
            <w:tcW w:w="5011" w:type="dxa"/>
            <w:gridSpan w:val="2"/>
            <w:vMerge/>
            <w:tcBorders>
              <w:top w:val="single" w:sz="8" w:space="0" w:color="auto"/>
              <w:left w:val="nil"/>
              <w:bottom w:val="single" w:sz="8" w:space="0" w:color="auto"/>
              <w:right w:val="nil"/>
            </w:tcBorders>
            <w:vAlign w:val="center"/>
            <w:hideMark/>
          </w:tcPr>
          <w:p>
            <w:pPr>
              <w:spacing w:before="0" w:after="0"/>
              <w:rPr>
                <w:rFonts w:asciiTheme="majorBidi" w:hAnsiTheme="majorBidi" w:cstheme="majorBidi"/>
                <w:noProof/>
                <w:szCs w:val="24"/>
                <w:lang w:val="de-DE"/>
              </w:rPr>
            </w:pPr>
          </w:p>
        </w:tc>
      </w:tr>
      <w:tr>
        <w:trPr>
          <w:trHeight w:val="227"/>
        </w:trPr>
        <w:tc>
          <w:tcPr>
            <w:tcW w:w="1843" w:type="dxa"/>
            <w:tcBorders>
              <w:top w:val="nil"/>
              <w:left w:val="nil"/>
              <w:bottom w:val="single" w:sz="8" w:space="0" w:color="auto"/>
              <w:right w:val="nil"/>
            </w:tcBorders>
            <w:hideMark/>
          </w:tcPr>
          <w:p>
            <w:pPr>
              <w:spacing w:before="60" w:after="60"/>
              <w:rPr>
                <w:rFonts w:asciiTheme="majorBidi" w:hAnsiTheme="majorBidi" w:cstheme="majorBidi"/>
                <w:noProof/>
                <w:szCs w:val="24"/>
                <w:lang w:val="de-DE"/>
              </w:rPr>
            </w:pPr>
            <w:r>
              <w:rPr>
                <w:rFonts w:asciiTheme="majorBidi" w:hAnsiTheme="majorBidi" w:cstheme="majorBidi"/>
                <w:noProof/>
                <w:lang w:val="de-DE"/>
              </w:rPr>
              <w:t>TAC</w:t>
            </w:r>
          </w:p>
        </w:tc>
        <w:tc>
          <w:tcPr>
            <w:tcW w:w="1559" w:type="dxa"/>
            <w:tcBorders>
              <w:top w:val="nil"/>
              <w:left w:val="nil"/>
              <w:bottom w:val="single" w:sz="8" w:space="0" w:color="auto"/>
              <w:right w:val="nil"/>
            </w:tcBorders>
            <w:hideMark/>
          </w:tcPr>
          <w:p>
            <w:pPr>
              <w:spacing w:before="60" w:after="60"/>
              <w:rPr>
                <w:rFonts w:asciiTheme="majorBidi" w:hAnsiTheme="majorBidi" w:cstheme="majorBidi"/>
                <w:noProof/>
                <w:lang w:val="de-DE"/>
              </w:rPr>
            </w:pPr>
            <w:r>
              <w:rPr>
                <w:rFonts w:asciiTheme="majorBidi" w:hAnsiTheme="majorBidi" w:cstheme="majorBidi"/>
                <w:noProof/>
                <w:lang w:val="de-DE"/>
              </w:rPr>
              <w:t>Not relevant</w:t>
            </w:r>
          </w:p>
        </w:tc>
        <w:tc>
          <w:tcPr>
            <w:tcW w:w="993" w:type="dxa"/>
            <w:tcBorders>
              <w:top w:val="nil"/>
              <w:left w:val="nil"/>
              <w:bottom w:val="single" w:sz="8" w:space="0" w:color="auto"/>
              <w:right w:val="nil"/>
            </w:tcBorders>
            <w:hideMark/>
          </w:tcPr>
          <w:p>
            <w:pPr>
              <w:rPr>
                <w:rFonts w:asciiTheme="majorBidi" w:hAnsiTheme="majorBidi" w:cstheme="majorBidi"/>
                <w:noProof/>
                <w:lang w:val="de-DE"/>
              </w:rPr>
            </w:pPr>
          </w:p>
        </w:tc>
        <w:tc>
          <w:tcPr>
            <w:tcW w:w="5011" w:type="dxa"/>
            <w:gridSpan w:val="2"/>
            <w:vMerge/>
            <w:tcBorders>
              <w:top w:val="nil"/>
              <w:left w:val="nil"/>
              <w:bottom w:val="single" w:sz="8" w:space="0" w:color="auto"/>
              <w:right w:val="nil"/>
            </w:tcBorders>
            <w:vAlign w:val="center"/>
            <w:hideMark/>
          </w:tcPr>
          <w:p>
            <w:pPr>
              <w:spacing w:before="0" w:after="0"/>
              <w:rPr>
                <w:rFonts w:asciiTheme="majorBidi" w:hAnsiTheme="majorBidi" w:cstheme="majorBidi"/>
                <w:noProof/>
                <w:szCs w:val="24"/>
                <w:lang w:val="de-DE"/>
              </w:rPr>
            </w:pPr>
          </w:p>
        </w:tc>
      </w:tr>
    </w:tbl>
    <w:p>
      <w:pPr>
        <w:pStyle w:val="Lignefinal"/>
        <w:rPr>
          <w:noProof/>
          <w:szCs w:val="22"/>
        </w:rPr>
      </w:pPr>
    </w:p>
    <w:p>
      <w:pPr>
        <w:spacing w:before="0" w:after="0"/>
        <w:rPr>
          <w:noProof/>
        </w:rPr>
        <w:sectPr>
          <w:pgSz w:w="11907" w:h="16840"/>
          <w:pgMar w:top="1134" w:right="1134" w:bottom="1134" w:left="1134" w:header="567" w:footer="567" w:gutter="0"/>
          <w:pgNumType w:start="112"/>
          <w:cols w:space="720"/>
          <w:docGrid w:linePitch="326"/>
        </w:sectPr>
      </w:pPr>
    </w:p>
    <w:p>
      <w:pPr>
        <w:jc w:val="center"/>
        <w:rPr>
          <w:b/>
          <w:noProof/>
          <w:szCs w:val="24"/>
        </w:rPr>
      </w:pPr>
      <w:r>
        <w:rPr>
          <w:b/>
          <w:noProof/>
        </w:rPr>
        <w:t>ANNEX IK</w:t>
      </w:r>
    </w:p>
    <w:p>
      <w:pPr>
        <w:pStyle w:val="NormalCentered"/>
        <w:rPr>
          <w:noProof/>
        </w:rPr>
      </w:pPr>
      <w:r>
        <w:rPr>
          <w:noProof/>
        </w:rPr>
        <w:t>SIOFA AGREEMENT AREA</w:t>
      </w:r>
    </w:p>
    <w:tbl>
      <w:tblPr>
        <w:tblW w:w="9711" w:type="dxa"/>
        <w:tblInd w:w="108" w:type="dxa"/>
        <w:tblLayout w:type="fixed"/>
        <w:tblLook w:val="04A0" w:firstRow="1" w:lastRow="0" w:firstColumn="1" w:lastColumn="0" w:noHBand="0" w:noVBand="1"/>
      </w:tblPr>
      <w:tblGrid>
        <w:gridCol w:w="1701"/>
        <w:gridCol w:w="1701"/>
        <w:gridCol w:w="196"/>
        <w:gridCol w:w="797"/>
        <w:gridCol w:w="992"/>
        <w:gridCol w:w="4324"/>
      </w:tblGrid>
      <w:tr>
        <w:trPr>
          <w:trHeight w:val="227"/>
        </w:trPr>
        <w:tc>
          <w:tcPr>
            <w:tcW w:w="1701" w:type="dxa"/>
            <w:tcBorders>
              <w:top w:val="single" w:sz="8" w:space="0" w:color="auto"/>
              <w:left w:val="nil"/>
              <w:bottom w:val="single" w:sz="8" w:space="0" w:color="000000"/>
              <w:right w:val="nil"/>
            </w:tcBorders>
            <w:shd w:val="clear" w:color="auto" w:fill="FFFFFF"/>
            <w:hideMark/>
          </w:tcPr>
          <w:p>
            <w:pPr>
              <w:spacing w:before="60" w:after="60"/>
              <w:rPr>
                <w:noProof/>
                <w:lang w:val="en-US"/>
              </w:rPr>
            </w:pPr>
            <w:r>
              <w:rPr>
                <w:noProof/>
                <w:lang w:val="en-US"/>
              </w:rPr>
              <w:t>Species</w:t>
            </w:r>
          </w:p>
        </w:tc>
        <w:tc>
          <w:tcPr>
            <w:tcW w:w="2694" w:type="dxa"/>
            <w:gridSpan w:val="3"/>
            <w:tcBorders>
              <w:top w:val="single" w:sz="8" w:space="0" w:color="auto"/>
              <w:left w:val="nil"/>
              <w:bottom w:val="single" w:sz="8" w:space="0" w:color="000000"/>
              <w:right w:val="single" w:sz="8" w:space="0" w:color="auto"/>
            </w:tcBorders>
            <w:shd w:val="clear" w:color="auto" w:fill="FFFFFF"/>
            <w:hideMark/>
          </w:tcPr>
          <w:p>
            <w:pPr>
              <w:spacing w:before="60" w:after="60"/>
              <w:rPr>
                <w:noProof/>
                <w:lang w:val="en-US"/>
              </w:rPr>
            </w:pPr>
            <w:r>
              <w:rPr>
                <w:noProof/>
                <w:lang w:val="en-US"/>
              </w:rPr>
              <w:t>Toothfish</w:t>
            </w:r>
          </w:p>
          <w:p>
            <w:pPr>
              <w:spacing w:before="60" w:after="60"/>
              <w:rPr>
                <w:i/>
                <w:iCs/>
                <w:noProof/>
                <w:lang w:val="en-US"/>
              </w:rPr>
            </w:pPr>
            <w:r>
              <w:rPr>
                <w:i/>
                <w:iCs/>
                <w:noProof/>
                <w:lang w:val="en-US"/>
              </w:rPr>
              <w:t xml:space="preserve">Dissostichus </w:t>
            </w:r>
            <w:r>
              <w:rPr>
                <w:noProof/>
                <w:lang w:val="en-US"/>
              </w:rPr>
              <w:t>spp.</w:t>
            </w:r>
          </w:p>
        </w:tc>
        <w:tc>
          <w:tcPr>
            <w:tcW w:w="992" w:type="dxa"/>
            <w:tcBorders>
              <w:top w:val="single" w:sz="8" w:space="0" w:color="auto"/>
              <w:left w:val="single" w:sz="8" w:space="0" w:color="auto"/>
              <w:bottom w:val="single" w:sz="8" w:space="0" w:color="000000"/>
              <w:right w:val="nil"/>
            </w:tcBorders>
            <w:shd w:val="clear" w:color="auto" w:fill="FFFFFF"/>
            <w:hideMark/>
          </w:tcPr>
          <w:p>
            <w:pPr>
              <w:spacing w:before="60" w:after="60"/>
              <w:rPr>
                <w:noProof/>
                <w:lang w:val="en-US"/>
              </w:rPr>
            </w:pPr>
            <w:r>
              <w:rPr>
                <w:noProof/>
                <w:lang w:val="en-US"/>
              </w:rPr>
              <w:t>Zone:</w:t>
            </w:r>
          </w:p>
        </w:tc>
        <w:tc>
          <w:tcPr>
            <w:tcW w:w="4324" w:type="dxa"/>
            <w:tcBorders>
              <w:top w:val="single" w:sz="8" w:space="0" w:color="auto"/>
              <w:left w:val="nil"/>
              <w:bottom w:val="single" w:sz="8" w:space="0" w:color="000000"/>
              <w:right w:val="nil"/>
            </w:tcBorders>
            <w:shd w:val="clear" w:color="auto" w:fill="FFFFFF"/>
            <w:hideMark/>
          </w:tcPr>
          <w:p>
            <w:pPr>
              <w:spacing w:before="60" w:after="60"/>
              <w:rPr>
                <w:noProof/>
                <w:lang w:val="it-IT"/>
              </w:rPr>
            </w:pPr>
            <w:r>
              <w:rPr>
                <w:noProof/>
                <w:lang w:val="it-IT"/>
              </w:rPr>
              <w:t>Del Cano Area</w:t>
            </w:r>
            <w:r>
              <w:rPr>
                <w:b/>
                <w:bCs/>
                <w:noProof/>
                <w:vertAlign w:val="superscript"/>
                <w:lang w:val="it-IT"/>
              </w:rPr>
              <w:t>(1)</w:t>
            </w:r>
          </w:p>
          <w:p>
            <w:pPr>
              <w:spacing w:before="60" w:after="60"/>
              <w:rPr>
                <w:noProof/>
                <w:lang w:val="it-IT"/>
              </w:rPr>
            </w:pPr>
            <w:r>
              <w:rPr>
                <w:noProof/>
                <w:lang w:val="it-IT"/>
              </w:rPr>
              <w:t>(TOT/F517DC)</w:t>
            </w:r>
          </w:p>
        </w:tc>
      </w:tr>
      <w:tr>
        <w:trPr>
          <w:trHeight w:val="227"/>
        </w:trPr>
        <w:tc>
          <w:tcPr>
            <w:tcW w:w="1701" w:type="dxa"/>
            <w:hideMark/>
          </w:tcPr>
          <w:p>
            <w:pPr>
              <w:spacing w:before="60" w:after="60"/>
              <w:rPr>
                <w:noProof/>
                <w:lang w:val="en-US"/>
              </w:rPr>
            </w:pPr>
            <w:r>
              <w:rPr>
                <w:noProof/>
                <w:lang w:val="en-US"/>
              </w:rPr>
              <w:t>Union</w:t>
            </w:r>
          </w:p>
        </w:tc>
        <w:tc>
          <w:tcPr>
            <w:tcW w:w="1897" w:type="dxa"/>
            <w:gridSpan w:val="2"/>
            <w:hideMark/>
          </w:tcPr>
          <w:p>
            <w:pPr>
              <w:spacing w:before="60" w:after="60"/>
              <w:jc w:val="right"/>
              <w:rPr>
                <w:noProof/>
                <w:lang w:val="en-US"/>
              </w:rPr>
            </w:pPr>
            <w:r>
              <w:rPr>
                <w:rFonts w:asciiTheme="majorBidi" w:hAnsiTheme="majorBidi" w:cstheme="majorBidi"/>
                <w:noProof/>
                <w:color w:val="000000"/>
                <w:lang w:val="de-DE" w:eastAsia="en-GB"/>
              </w:rPr>
              <w:t>pm</w:t>
            </w:r>
          </w:p>
        </w:tc>
        <w:tc>
          <w:tcPr>
            <w:tcW w:w="797" w:type="dxa"/>
            <w:hideMark/>
          </w:tcPr>
          <w:p>
            <w:pPr>
              <w:spacing w:before="60" w:after="60"/>
              <w:rPr>
                <w:b/>
                <w:bCs/>
                <w:noProof/>
                <w:vertAlign w:val="superscript"/>
                <w:lang w:val="en-US"/>
              </w:rPr>
            </w:pPr>
            <w:r>
              <w:rPr>
                <w:b/>
                <w:bCs/>
                <w:noProof/>
                <w:vertAlign w:val="superscript"/>
                <w:lang w:val="en-US"/>
              </w:rPr>
              <w:t>(2)</w:t>
            </w:r>
          </w:p>
        </w:tc>
        <w:tc>
          <w:tcPr>
            <w:tcW w:w="5316" w:type="dxa"/>
            <w:gridSpan w:val="2"/>
            <w:vMerge w:val="restart"/>
            <w:tcBorders>
              <w:top w:val="single" w:sz="8" w:space="0" w:color="000000"/>
              <w:left w:val="nil"/>
              <w:bottom w:val="nil"/>
              <w:right w:val="nil"/>
            </w:tcBorders>
            <w:hideMark/>
          </w:tcPr>
          <w:p>
            <w:pPr>
              <w:spacing w:before="60" w:after="60"/>
              <w:rPr>
                <w:noProof/>
                <w:lang w:val="en-US"/>
              </w:rPr>
            </w:pPr>
            <w:r>
              <w:rPr>
                <w:noProof/>
                <w:lang w:val="en-US"/>
              </w:rPr>
              <w:t>Precautionary TAC</w:t>
            </w:r>
          </w:p>
        </w:tc>
      </w:tr>
      <w:tr>
        <w:trPr>
          <w:trHeight w:val="227"/>
        </w:trPr>
        <w:tc>
          <w:tcPr>
            <w:tcW w:w="1701" w:type="dxa"/>
            <w:hideMark/>
          </w:tcPr>
          <w:p>
            <w:pPr>
              <w:spacing w:before="60" w:after="60"/>
              <w:rPr>
                <w:noProof/>
                <w:lang w:val="en-US"/>
              </w:rPr>
            </w:pPr>
            <w:r>
              <w:rPr>
                <w:noProof/>
                <w:lang w:val="en-US"/>
              </w:rPr>
              <w:t>TAC</w:t>
            </w:r>
          </w:p>
        </w:tc>
        <w:tc>
          <w:tcPr>
            <w:tcW w:w="1897" w:type="dxa"/>
            <w:gridSpan w:val="2"/>
            <w:hideMark/>
          </w:tcPr>
          <w:p>
            <w:pPr>
              <w:spacing w:before="60" w:after="60"/>
              <w:jc w:val="right"/>
              <w:rPr>
                <w:noProof/>
                <w:lang w:val="en-US"/>
              </w:rPr>
            </w:pPr>
            <w:r>
              <w:rPr>
                <w:rFonts w:asciiTheme="majorBidi" w:hAnsiTheme="majorBidi" w:cstheme="majorBidi"/>
                <w:noProof/>
                <w:color w:val="000000"/>
                <w:lang w:val="de-DE" w:eastAsia="en-GB"/>
              </w:rPr>
              <w:t>pm</w:t>
            </w:r>
          </w:p>
        </w:tc>
        <w:tc>
          <w:tcPr>
            <w:tcW w:w="797" w:type="dxa"/>
            <w:hideMark/>
          </w:tcPr>
          <w:p>
            <w:pPr>
              <w:spacing w:before="60" w:after="60"/>
              <w:rPr>
                <w:b/>
                <w:bCs/>
                <w:noProof/>
                <w:vertAlign w:val="superscript"/>
                <w:lang w:val="en-US"/>
              </w:rPr>
            </w:pPr>
            <w:r>
              <w:rPr>
                <w:b/>
                <w:bCs/>
                <w:noProof/>
                <w:vertAlign w:val="superscript"/>
                <w:lang w:val="en-US"/>
              </w:rPr>
              <w:t>(2)</w:t>
            </w:r>
          </w:p>
        </w:tc>
        <w:tc>
          <w:tcPr>
            <w:tcW w:w="5316" w:type="dxa"/>
            <w:gridSpan w:val="2"/>
            <w:vMerge/>
            <w:tcBorders>
              <w:top w:val="single" w:sz="8" w:space="0" w:color="000000"/>
              <w:left w:val="nil"/>
              <w:bottom w:val="nil"/>
              <w:right w:val="nil"/>
            </w:tcBorders>
            <w:vAlign w:val="center"/>
            <w:hideMark/>
          </w:tcPr>
          <w:p>
            <w:pPr>
              <w:spacing w:before="0" w:after="0"/>
              <w:rPr>
                <w:noProof/>
                <w:szCs w:val="24"/>
                <w:lang w:val="en-US"/>
              </w:rPr>
            </w:pPr>
          </w:p>
        </w:tc>
      </w:tr>
      <w:tr>
        <w:trPr>
          <w:trHeight w:val="227"/>
        </w:trPr>
        <w:tc>
          <w:tcPr>
            <w:tcW w:w="1701" w:type="dxa"/>
            <w:hideMark/>
          </w:tcPr>
          <w:p>
            <w:pPr>
              <w:spacing w:before="60" w:after="60"/>
              <w:jc w:val="right"/>
              <w:rPr>
                <w:b/>
                <w:bCs/>
                <w:noProof/>
                <w:vertAlign w:val="superscript"/>
                <w:lang w:val="en-US"/>
              </w:rPr>
            </w:pPr>
            <w:r>
              <w:rPr>
                <w:b/>
                <w:bCs/>
                <w:noProof/>
                <w:vertAlign w:val="superscript"/>
                <w:lang w:val="en-US"/>
              </w:rPr>
              <w:t>(1)</w:t>
            </w:r>
          </w:p>
        </w:tc>
        <w:tc>
          <w:tcPr>
            <w:tcW w:w="8010" w:type="dxa"/>
            <w:gridSpan w:val="5"/>
            <w:hideMark/>
          </w:tcPr>
          <w:p>
            <w:pPr>
              <w:spacing w:before="60" w:after="60"/>
              <w:rPr>
                <w:noProof/>
                <w:lang w:val="de-DE"/>
              </w:rPr>
            </w:pPr>
            <w:r>
              <w:rPr>
                <w:noProof/>
                <w:lang w:val="de-DE"/>
              </w:rPr>
              <w:t xml:space="preserve">International waters in FAO Subarea 51.7 </w:t>
            </w:r>
            <w:r>
              <w:rPr>
                <w:noProof/>
                <w:lang w:val="en-US"/>
              </w:rPr>
              <w:t xml:space="preserve">bounded between -44° S and -45° S latitude, and the adjacent exclusive economic zones to the east and west. </w:t>
            </w:r>
          </w:p>
        </w:tc>
      </w:tr>
      <w:tr>
        <w:trPr>
          <w:trHeight w:val="227"/>
        </w:trPr>
        <w:tc>
          <w:tcPr>
            <w:tcW w:w="1701" w:type="dxa"/>
            <w:tcBorders>
              <w:top w:val="nil"/>
              <w:left w:val="nil"/>
              <w:bottom w:val="single" w:sz="8" w:space="0" w:color="auto"/>
              <w:right w:val="nil"/>
            </w:tcBorders>
            <w:hideMark/>
          </w:tcPr>
          <w:p>
            <w:pPr>
              <w:spacing w:before="60" w:after="60"/>
              <w:jc w:val="right"/>
              <w:rPr>
                <w:b/>
                <w:bCs/>
                <w:noProof/>
                <w:vertAlign w:val="superscript"/>
                <w:lang w:val="en-US"/>
              </w:rPr>
            </w:pPr>
            <w:r>
              <w:rPr>
                <w:b/>
                <w:bCs/>
                <w:noProof/>
                <w:vertAlign w:val="superscript"/>
                <w:lang w:val="en-US"/>
              </w:rPr>
              <w:t>(2)</w:t>
            </w:r>
          </w:p>
        </w:tc>
        <w:tc>
          <w:tcPr>
            <w:tcW w:w="8010" w:type="dxa"/>
            <w:gridSpan w:val="5"/>
            <w:tcBorders>
              <w:top w:val="nil"/>
              <w:left w:val="nil"/>
              <w:bottom w:val="single" w:sz="8" w:space="0" w:color="auto"/>
              <w:right w:val="nil"/>
            </w:tcBorders>
            <w:hideMark/>
          </w:tcPr>
          <w:p>
            <w:pPr>
              <w:spacing w:before="60" w:after="60"/>
              <w:rPr>
                <w:noProof/>
                <w:lang w:val="en-US"/>
              </w:rPr>
            </w:pPr>
            <w:r>
              <w:rPr>
                <w:noProof/>
                <w:lang w:val="en-US"/>
              </w:rPr>
              <w:t>May only be fished by vessels with observers on board and using longlines during the fishing season from 1 December 2020 to 30 November 2021. Longlines shall not exceed 3 000 hooks per line and shall be set at minimum 3 nautical miles from each other.</w:t>
            </w:r>
          </w:p>
          <w:p>
            <w:pPr>
              <w:spacing w:before="60" w:after="60"/>
              <w:rPr>
                <w:noProof/>
                <w:lang w:val="en-US"/>
              </w:rPr>
            </w:pPr>
            <w:r>
              <w:rPr>
                <w:noProof/>
                <w:lang w:val="en-US"/>
              </w:rPr>
              <w:t>Catches of vessels not targeting this species may not exceed 0,5 tonnes per fishing season. When a vessel reaches this limit, it may no longer fish in Del Cano Area.</w:t>
            </w:r>
          </w:p>
        </w:tc>
      </w:tr>
      <w:tr>
        <w:trPr>
          <w:trHeight w:val="227"/>
        </w:trPr>
        <w:tc>
          <w:tcPr>
            <w:tcW w:w="1701" w:type="dxa"/>
            <w:tcBorders>
              <w:top w:val="single" w:sz="8" w:space="0" w:color="auto"/>
              <w:left w:val="nil"/>
              <w:bottom w:val="single" w:sz="8" w:space="0" w:color="000000"/>
              <w:right w:val="nil"/>
            </w:tcBorders>
            <w:shd w:val="clear" w:color="auto" w:fill="FFFFFF"/>
          </w:tcPr>
          <w:p>
            <w:pPr>
              <w:spacing w:before="60" w:after="60"/>
              <w:rPr>
                <w:noProof/>
                <w:lang w:val="en-US"/>
              </w:rPr>
            </w:pPr>
          </w:p>
        </w:tc>
        <w:tc>
          <w:tcPr>
            <w:tcW w:w="2694" w:type="dxa"/>
            <w:gridSpan w:val="3"/>
            <w:tcBorders>
              <w:top w:val="single" w:sz="8" w:space="0" w:color="auto"/>
              <w:left w:val="nil"/>
              <w:bottom w:val="single" w:sz="8" w:space="0" w:color="000000"/>
              <w:right w:val="nil"/>
            </w:tcBorders>
            <w:shd w:val="clear" w:color="auto" w:fill="FFFFFF"/>
          </w:tcPr>
          <w:p>
            <w:pPr>
              <w:spacing w:before="60" w:after="60"/>
              <w:rPr>
                <w:noProof/>
                <w:lang w:val="en-US"/>
              </w:rPr>
            </w:pPr>
          </w:p>
        </w:tc>
        <w:tc>
          <w:tcPr>
            <w:tcW w:w="992" w:type="dxa"/>
            <w:tcBorders>
              <w:top w:val="single" w:sz="8" w:space="0" w:color="auto"/>
              <w:left w:val="nil"/>
              <w:bottom w:val="single" w:sz="8" w:space="0" w:color="000000"/>
              <w:right w:val="nil"/>
            </w:tcBorders>
            <w:shd w:val="clear" w:color="auto" w:fill="FFFFFF"/>
          </w:tcPr>
          <w:p>
            <w:pPr>
              <w:spacing w:before="60" w:after="60"/>
              <w:rPr>
                <w:noProof/>
                <w:lang w:val="en-US"/>
              </w:rPr>
            </w:pPr>
          </w:p>
        </w:tc>
        <w:tc>
          <w:tcPr>
            <w:tcW w:w="4324" w:type="dxa"/>
            <w:tcBorders>
              <w:top w:val="single" w:sz="8" w:space="0" w:color="auto"/>
              <w:left w:val="nil"/>
              <w:bottom w:val="single" w:sz="8" w:space="0" w:color="000000"/>
              <w:right w:val="nil"/>
            </w:tcBorders>
            <w:shd w:val="clear" w:color="auto" w:fill="FFFFFF"/>
          </w:tcPr>
          <w:p>
            <w:pPr>
              <w:spacing w:before="60" w:after="60"/>
              <w:rPr>
                <w:noProof/>
                <w:lang w:val="en-US"/>
              </w:rPr>
            </w:pPr>
          </w:p>
        </w:tc>
      </w:tr>
      <w:tr>
        <w:trPr>
          <w:trHeight w:val="227"/>
        </w:trPr>
        <w:tc>
          <w:tcPr>
            <w:tcW w:w="1701" w:type="dxa"/>
            <w:tcBorders>
              <w:top w:val="single" w:sz="8" w:space="0" w:color="auto"/>
              <w:left w:val="nil"/>
              <w:bottom w:val="single" w:sz="8" w:space="0" w:color="000000"/>
              <w:right w:val="nil"/>
            </w:tcBorders>
            <w:shd w:val="clear" w:color="auto" w:fill="FFFFFF"/>
            <w:hideMark/>
          </w:tcPr>
          <w:p>
            <w:pPr>
              <w:pageBreakBefore/>
              <w:spacing w:before="60" w:after="60"/>
              <w:rPr>
                <w:noProof/>
                <w:lang w:val="en-US"/>
              </w:rPr>
            </w:pPr>
            <w:r>
              <w:rPr>
                <w:noProof/>
                <w:lang w:val="en-US"/>
              </w:rPr>
              <w:t>Species:</w:t>
            </w:r>
          </w:p>
        </w:tc>
        <w:tc>
          <w:tcPr>
            <w:tcW w:w="2694" w:type="dxa"/>
            <w:gridSpan w:val="3"/>
            <w:tcBorders>
              <w:top w:val="single" w:sz="8" w:space="0" w:color="auto"/>
              <w:left w:val="nil"/>
              <w:bottom w:val="single" w:sz="8" w:space="0" w:color="000000"/>
              <w:right w:val="single" w:sz="8" w:space="0" w:color="auto"/>
            </w:tcBorders>
            <w:shd w:val="clear" w:color="auto" w:fill="FFFFFF"/>
            <w:hideMark/>
          </w:tcPr>
          <w:p>
            <w:pPr>
              <w:spacing w:before="60" w:after="60"/>
              <w:rPr>
                <w:noProof/>
                <w:lang w:val="en-US"/>
              </w:rPr>
            </w:pPr>
            <w:r>
              <w:rPr>
                <w:noProof/>
                <w:lang w:val="en-US"/>
              </w:rPr>
              <w:t>Toothfish</w:t>
            </w:r>
          </w:p>
          <w:p>
            <w:pPr>
              <w:spacing w:before="60" w:after="60"/>
              <w:rPr>
                <w:i/>
                <w:iCs/>
                <w:noProof/>
                <w:lang w:val="en-US"/>
              </w:rPr>
            </w:pPr>
            <w:r>
              <w:rPr>
                <w:i/>
                <w:iCs/>
                <w:noProof/>
                <w:lang w:val="en-US"/>
              </w:rPr>
              <w:t xml:space="preserve">Dissostichus </w:t>
            </w:r>
            <w:r>
              <w:rPr>
                <w:noProof/>
                <w:lang w:val="en-US"/>
              </w:rPr>
              <w:t>spp.</w:t>
            </w:r>
          </w:p>
        </w:tc>
        <w:tc>
          <w:tcPr>
            <w:tcW w:w="992" w:type="dxa"/>
            <w:tcBorders>
              <w:top w:val="single" w:sz="8" w:space="0" w:color="auto"/>
              <w:left w:val="single" w:sz="8" w:space="0" w:color="auto"/>
              <w:bottom w:val="single" w:sz="8" w:space="0" w:color="000000"/>
              <w:right w:val="nil"/>
            </w:tcBorders>
            <w:shd w:val="clear" w:color="auto" w:fill="FFFFFF"/>
            <w:hideMark/>
          </w:tcPr>
          <w:p>
            <w:pPr>
              <w:spacing w:before="60" w:after="60"/>
              <w:rPr>
                <w:noProof/>
                <w:lang w:val="en-US"/>
              </w:rPr>
            </w:pPr>
            <w:r>
              <w:rPr>
                <w:noProof/>
                <w:lang w:val="en-US"/>
              </w:rPr>
              <w:t>Zone:</w:t>
            </w:r>
          </w:p>
        </w:tc>
        <w:tc>
          <w:tcPr>
            <w:tcW w:w="4324" w:type="dxa"/>
            <w:tcBorders>
              <w:top w:val="single" w:sz="8" w:space="0" w:color="auto"/>
              <w:left w:val="nil"/>
              <w:bottom w:val="single" w:sz="8" w:space="0" w:color="000000"/>
              <w:right w:val="nil"/>
            </w:tcBorders>
            <w:shd w:val="clear" w:color="auto" w:fill="FFFFFF"/>
            <w:hideMark/>
          </w:tcPr>
          <w:p>
            <w:pPr>
              <w:spacing w:before="60" w:after="60"/>
              <w:rPr>
                <w:noProof/>
                <w:lang w:val="en-US"/>
              </w:rPr>
            </w:pPr>
            <w:r>
              <w:rPr>
                <w:noProof/>
                <w:lang w:val="en-US"/>
              </w:rPr>
              <w:t>Williams Ridge</w:t>
            </w:r>
            <w:r>
              <w:rPr>
                <w:b/>
                <w:bCs/>
                <w:noProof/>
                <w:vertAlign w:val="superscript"/>
                <w:lang w:val="en-US"/>
              </w:rPr>
              <w:t>(1)</w:t>
            </w:r>
          </w:p>
          <w:p>
            <w:pPr>
              <w:spacing w:before="60" w:after="60"/>
              <w:rPr>
                <w:noProof/>
                <w:lang w:val="en-US"/>
              </w:rPr>
            </w:pPr>
            <w:r>
              <w:rPr>
                <w:noProof/>
                <w:lang w:val="en-US"/>
              </w:rPr>
              <w:t>(TOT/F574WR)</w:t>
            </w:r>
          </w:p>
        </w:tc>
      </w:tr>
      <w:tr>
        <w:trPr>
          <w:trHeight w:val="227"/>
        </w:trPr>
        <w:tc>
          <w:tcPr>
            <w:tcW w:w="1701" w:type="dxa"/>
            <w:hideMark/>
          </w:tcPr>
          <w:p>
            <w:pPr>
              <w:spacing w:before="60" w:after="60"/>
              <w:rPr>
                <w:noProof/>
                <w:lang w:val="en-US"/>
              </w:rPr>
            </w:pPr>
            <w:r>
              <w:rPr>
                <w:noProof/>
                <w:lang w:val="en-US"/>
              </w:rPr>
              <w:t>Union</w:t>
            </w:r>
          </w:p>
        </w:tc>
        <w:tc>
          <w:tcPr>
            <w:tcW w:w="1897" w:type="dxa"/>
            <w:gridSpan w:val="2"/>
            <w:hideMark/>
          </w:tcPr>
          <w:p>
            <w:pPr>
              <w:spacing w:before="60" w:after="60"/>
              <w:jc w:val="right"/>
              <w:rPr>
                <w:noProof/>
                <w:lang w:val="en-US"/>
              </w:rPr>
            </w:pPr>
            <w:r>
              <w:rPr>
                <w:noProof/>
                <w:lang w:val="en-US"/>
              </w:rPr>
              <w:t>to be established</w:t>
            </w:r>
          </w:p>
        </w:tc>
        <w:tc>
          <w:tcPr>
            <w:tcW w:w="797" w:type="dxa"/>
            <w:hideMark/>
          </w:tcPr>
          <w:p>
            <w:pPr>
              <w:spacing w:before="60" w:after="60"/>
              <w:rPr>
                <w:b/>
                <w:bCs/>
                <w:noProof/>
                <w:lang w:val="en-US"/>
              </w:rPr>
            </w:pPr>
            <w:r>
              <w:rPr>
                <w:b/>
                <w:bCs/>
                <w:noProof/>
                <w:vertAlign w:val="superscript"/>
                <w:lang w:val="en-US"/>
              </w:rPr>
              <w:t>(2)</w:t>
            </w:r>
          </w:p>
        </w:tc>
        <w:tc>
          <w:tcPr>
            <w:tcW w:w="5316" w:type="dxa"/>
            <w:gridSpan w:val="2"/>
            <w:vMerge w:val="restart"/>
            <w:tcBorders>
              <w:top w:val="single" w:sz="8" w:space="0" w:color="000000"/>
              <w:left w:val="nil"/>
              <w:bottom w:val="nil"/>
              <w:right w:val="nil"/>
            </w:tcBorders>
            <w:hideMark/>
          </w:tcPr>
          <w:p>
            <w:pPr>
              <w:spacing w:before="60" w:after="60"/>
              <w:rPr>
                <w:noProof/>
                <w:lang w:val="en-US"/>
              </w:rPr>
            </w:pPr>
            <w:r>
              <w:rPr>
                <w:noProof/>
                <w:lang w:val="en-US"/>
              </w:rPr>
              <w:t>Precautionary TAC</w:t>
            </w:r>
          </w:p>
        </w:tc>
      </w:tr>
      <w:tr>
        <w:trPr>
          <w:trHeight w:val="227"/>
        </w:trPr>
        <w:tc>
          <w:tcPr>
            <w:tcW w:w="1701" w:type="dxa"/>
            <w:hideMark/>
          </w:tcPr>
          <w:p>
            <w:pPr>
              <w:spacing w:before="60" w:after="60"/>
              <w:rPr>
                <w:noProof/>
                <w:lang w:val="en-US"/>
              </w:rPr>
            </w:pPr>
            <w:r>
              <w:rPr>
                <w:noProof/>
                <w:lang w:val="en-US"/>
              </w:rPr>
              <w:t>TAC</w:t>
            </w:r>
          </w:p>
        </w:tc>
        <w:tc>
          <w:tcPr>
            <w:tcW w:w="1897" w:type="dxa"/>
            <w:gridSpan w:val="2"/>
            <w:hideMark/>
          </w:tcPr>
          <w:p>
            <w:pPr>
              <w:spacing w:before="60" w:after="60"/>
              <w:jc w:val="right"/>
              <w:rPr>
                <w:noProof/>
                <w:lang w:val="en-US"/>
              </w:rPr>
            </w:pPr>
            <w:r>
              <w:rPr>
                <w:rFonts w:asciiTheme="majorBidi" w:hAnsiTheme="majorBidi" w:cstheme="majorBidi"/>
                <w:noProof/>
                <w:color w:val="000000"/>
                <w:lang w:val="de-DE" w:eastAsia="en-GB"/>
              </w:rPr>
              <w:t>pm</w:t>
            </w:r>
          </w:p>
        </w:tc>
        <w:tc>
          <w:tcPr>
            <w:tcW w:w="797" w:type="dxa"/>
            <w:hideMark/>
          </w:tcPr>
          <w:p>
            <w:pPr>
              <w:spacing w:before="60" w:after="60"/>
              <w:rPr>
                <w:b/>
                <w:bCs/>
                <w:noProof/>
                <w:vertAlign w:val="superscript"/>
                <w:lang w:val="en-US"/>
              </w:rPr>
            </w:pPr>
            <w:r>
              <w:rPr>
                <w:b/>
                <w:bCs/>
                <w:noProof/>
                <w:vertAlign w:val="superscript"/>
                <w:lang w:val="en-US"/>
              </w:rPr>
              <w:t>(2)</w:t>
            </w:r>
          </w:p>
        </w:tc>
        <w:tc>
          <w:tcPr>
            <w:tcW w:w="5316" w:type="dxa"/>
            <w:gridSpan w:val="2"/>
            <w:vMerge/>
            <w:tcBorders>
              <w:top w:val="single" w:sz="8" w:space="0" w:color="000000"/>
              <w:left w:val="nil"/>
              <w:bottom w:val="nil"/>
              <w:right w:val="nil"/>
            </w:tcBorders>
            <w:vAlign w:val="center"/>
            <w:hideMark/>
          </w:tcPr>
          <w:p>
            <w:pPr>
              <w:spacing w:before="0" w:after="0"/>
              <w:rPr>
                <w:noProof/>
                <w:szCs w:val="24"/>
                <w:lang w:val="en-US"/>
              </w:rPr>
            </w:pPr>
          </w:p>
        </w:tc>
      </w:tr>
      <w:tr>
        <w:trPr>
          <w:trHeight w:val="227"/>
        </w:trPr>
        <w:tc>
          <w:tcPr>
            <w:tcW w:w="1701" w:type="dxa"/>
            <w:vMerge w:val="restart"/>
            <w:hideMark/>
          </w:tcPr>
          <w:p>
            <w:pPr>
              <w:spacing w:before="60" w:after="60"/>
              <w:rPr>
                <w:b/>
                <w:bCs/>
                <w:noProof/>
                <w:vertAlign w:val="superscript"/>
                <w:lang w:val="en-US"/>
              </w:rPr>
            </w:pPr>
            <w:r>
              <w:rPr>
                <w:b/>
                <w:bCs/>
                <w:noProof/>
                <w:vertAlign w:val="superscript"/>
                <w:lang w:val="en-US"/>
              </w:rPr>
              <w:t>(1)</w:t>
            </w:r>
          </w:p>
        </w:tc>
        <w:tc>
          <w:tcPr>
            <w:tcW w:w="8010" w:type="dxa"/>
            <w:gridSpan w:val="5"/>
            <w:hideMark/>
          </w:tcPr>
          <w:p>
            <w:pPr>
              <w:spacing w:before="60" w:after="60"/>
              <w:rPr>
                <w:noProof/>
                <w:lang w:val="en-US"/>
              </w:rPr>
            </w:pPr>
            <w:r>
              <w:rPr>
                <w:noProof/>
                <w:lang w:val="en-US"/>
              </w:rPr>
              <w:t>Area of FAO Subarea 57.4 bounded by the following coordinates:</w:t>
            </w:r>
          </w:p>
        </w:tc>
      </w:tr>
      <w:tr>
        <w:trPr>
          <w:trHeight w:val="227"/>
        </w:trPr>
        <w:tc>
          <w:tcPr>
            <w:tcW w:w="1701" w:type="dxa"/>
            <w:vMerge/>
            <w:vAlign w:val="center"/>
            <w:hideMark/>
          </w:tcPr>
          <w:p>
            <w:pPr>
              <w:spacing w:before="0" w:after="0"/>
              <w:rPr>
                <w:b/>
                <w:bCs/>
                <w:noProof/>
                <w:szCs w:val="24"/>
                <w:vertAlign w:val="superscript"/>
                <w:lang w:val="en-US"/>
              </w:rPr>
            </w:pPr>
          </w:p>
        </w:tc>
        <w:tc>
          <w:tcPr>
            <w:tcW w:w="1701" w:type="dxa"/>
            <w:hideMark/>
          </w:tcPr>
          <w:p>
            <w:pPr>
              <w:spacing w:before="60" w:after="60"/>
              <w:rPr>
                <w:noProof/>
                <w:lang w:val="en-US"/>
              </w:rPr>
            </w:pPr>
            <w:r>
              <w:rPr>
                <w:noProof/>
                <w:lang w:val="en-US"/>
              </w:rPr>
              <w:t>Point</w:t>
            </w:r>
          </w:p>
        </w:tc>
        <w:tc>
          <w:tcPr>
            <w:tcW w:w="1985" w:type="dxa"/>
            <w:gridSpan w:val="3"/>
            <w:hideMark/>
          </w:tcPr>
          <w:p>
            <w:pPr>
              <w:spacing w:before="60" w:after="60"/>
              <w:rPr>
                <w:noProof/>
                <w:lang w:val="en-US"/>
              </w:rPr>
            </w:pPr>
            <w:r>
              <w:rPr>
                <w:noProof/>
                <w:lang w:val="en-US"/>
              </w:rPr>
              <w:t>Latitude</w:t>
            </w:r>
          </w:p>
        </w:tc>
        <w:tc>
          <w:tcPr>
            <w:tcW w:w="4324" w:type="dxa"/>
            <w:hideMark/>
          </w:tcPr>
          <w:p>
            <w:pPr>
              <w:spacing w:before="60" w:after="60"/>
              <w:rPr>
                <w:noProof/>
                <w:lang w:val="en-US"/>
              </w:rPr>
            </w:pPr>
            <w:r>
              <w:rPr>
                <w:noProof/>
                <w:lang w:val="en-US"/>
              </w:rPr>
              <w:t>Longitude</w:t>
            </w:r>
          </w:p>
        </w:tc>
      </w:tr>
      <w:tr>
        <w:trPr>
          <w:trHeight w:val="227"/>
        </w:trPr>
        <w:tc>
          <w:tcPr>
            <w:tcW w:w="1701" w:type="dxa"/>
            <w:vMerge/>
            <w:vAlign w:val="center"/>
            <w:hideMark/>
          </w:tcPr>
          <w:p>
            <w:pPr>
              <w:spacing w:before="0" w:after="0"/>
              <w:rPr>
                <w:b/>
                <w:bCs/>
                <w:noProof/>
                <w:szCs w:val="24"/>
                <w:vertAlign w:val="superscript"/>
                <w:lang w:val="en-US"/>
              </w:rPr>
            </w:pPr>
          </w:p>
        </w:tc>
        <w:tc>
          <w:tcPr>
            <w:tcW w:w="1701" w:type="dxa"/>
            <w:hideMark/>
          </w:tcPr>
          <w:p>
            <w:pPr>
              <w:spacing w:before="60" w:after="60"/>
              <w:rPr>
                <w:noProof/>
                <w:lang w:val="en-US"/>
              </w:rPr>
            </w:pPr>
            <w:r>
              <w:rPr>
                <w:noProof/>
                <w:lang w:val="en-US"/>
              </w:rPr>
              <w:t>1</w:t>
            </w:r>
          </w:p>
        </w:tc>
        <w:tc>
          <w:tcPr>
            <w:tcW w:w="1985" w:type="dxa"/>
            <w:gridSpan w:val="3"/>
            <w:hideMark/>
          </w:tcPr>
          <w:p>
            <w:pPr>
              <w:spacing w:before="60" w:after="60"/>
              <w:rPr>
                <w:noProof/>
                <w:lang w:val="en-US"/>
              </w:rPr>
            </w:pPr>
            <w:r>
              <w:rPr>
                <w:noProof/>
                <w:lang w:val="en-US"/>
              </w:rPr>
              <w:t>52° 30' 00" S</w:t>
            </w:r>
          </w:p>
        </w:tc>
        <w:tc>
          <w:tcPr>
            <w:tcW w:w="4324" w:type="dxa"/>
            <w:hideMark/>
          </w:tcPr>
          <w:p>
            <w:pPr>
              <w:spacing w:before="60" w:after="60"/>
              <w:rPr>
                <w:noProof/>
                <w:lang w:val="en-US"/>
              </w:rPr>
            </w:pPr>
            <w:r>
              <w:rPr>
                <w:noProof/>
                <w:lang w:val="en-US"/>
              </w:rPr>
              <w:t>80° 00' 00" E</w:t>
            </w:r>
          </w:p>
        </w:tc>
      </w:tr>
      <w:tr>
        <w:trPr>
          <w:trHeight w:val="227"/>
        </w:trPr>
        <w:tc>
          <w:tcPr>
            <w:tcW w:w="1701" w:type="dxa"/>
            <w:vMerge/>
            <w:vAlign w:val="center"/>
            <w:hideMark/>
          </w:tcPr>
          <w:p>
            <w:pPr>
              <w:spacing w:before="0" w:after="0"/>
              <w:rPr>
                <w:b/>
                <w:bCs/>
                <w:noProof/>
                <w:szCs w:val="24"/>
                <w:vertAlign w:val="superscript"/>
                <w:lang w:val="en-US"/>
              </w:rPr>
            </w:pPr>
          </w:p>
        </w:tc>
        <w:tc>
          <w:tcPr>
            <w:tcW w:w="1701" w:type="dxa"/>
            <w:hideMark/>
          </w:tcPr>
          <w:p>
            <w:pPr>
              <w:spacing w:before="60" w:after="60"/>
              <w:rPr>
                <w:noProof/>
                <w:lang w:val="en-US"/>
              </w:rPr>
            </w:pPr>
            <w:r>
              <w:rPr>
                <w:noProof/>
                <w:lang w:val="en-US"/>
              </w:rPr>
              <w:t>2</w:t>
            </w:r>
          </w:p>
        </w:tc>
        <w:tc>
          <w:tcPr>
            <w:tcW w:w="1985" w:type="dxa"/>
            <w:gridSpan w:val="3"/>
            <w:hideMark/>
          </w:tcPr>
          <w:p>
            <w:pPr>
              <w:spacing w:before="60" w:after="60"/>
              <w:rPr>
                <w:noProof/>
                <w:lang w:val="en-US"/>
              </w:rPr>
            </w:pPr>
            <w:r>
              <w:rPr>
                <w:noProof/>
                <w:lang w:val="en-US"/>
              </w:rPr>
              <w:t>55° 00' 00" S</w:t>
            </w:r>
          </w:p>
        </w:tc>
        <w:tc>
          <w:tcPr>
            <w:tcW w:w="4324" w:type="dxa"/>
            <w:hideMark/>
          </w:tcPr>
          <w:p>
            <w:pPr>
              <w:spacing w:before="60" w:after="60"/>
              <w:rPr>
                <w:noProof/>
                <w:lang w:val="en-US"/>
              </w:rPr>
            </w:pPr>
            <w:r>
              <w:rPr>
                <w:noProof/>
                <w:lang w:val="en-US"/>
              </w:rPr>
              <w:t>80° 00' 00" E</w:t>
            </w:r>
          </w:p>
        </w:tc>
      </w:tr>
      <w:tr>
        <w:trPr>
          <w:trHeight w:val="227"/>
        </w:trPr>
        <w:tc>
          <w:tcPr>
            <w:tcW w:w="1701" w:type="dxa"/>
            <w:vMerge/>
            <w:vAlign w:val="center"/>
            <w:hideMark/>
          </w:tcPr>
          <w:p>
            <w:pPr>
              <w:spacing w:before="0" w:after="0"/>
              <w:rPr>
                <w:b/>
                <w:bCs/>
                <w:noProof/>
                <w:szCs w:val="24"/>
                <w:vertAlign w:val="superscript"/>
                <w:lang w:val="en-US"/>
              </w:rPr>
            </w:pPr>
          </w:p>
        </w:tc>
        <w:tc>
          <w:tcPr>
            <w:tcW w:w="1701" w:type="dxa"/>
            <w:hideMark/>
          </w:tcPr>
          <w:p>
            <w:pPr>
              <w:spacing w:before="60" w:after="60"/>
              <w:rPr>
                <w:noProof/>
                <w:lang w:val="en-US"/>
              </w:rPr>
            </w:pPr>
            <w:r>
              <w:rPr>
                <w:noProof/>
                <w:lang w:val="en-US"/>
              </w:rPr>
              <w:t>3</w:t>
            </w:r>
          </w:p>
        </w:tc>
        <w:tc>
          <w:tcPr>
            <w:tcW w:w="1985" w:type="dxa"/>
            <w:gridSpan w:val="3"/>
            <w:hideMark/>
          </w:tcPr>
          <w:p>
            <w:pPr>
              <w:spacing w:before="60" w:after="60"/>
              <w:rPr>
                <w:noProof/>
                <w:lang w:val="en-US"/>
              </w:rPr>
            </w:pPr>
            <w:r>
              <w:rPr>
                <w:noProof/>
                <w:lang w:val="en-US"/>
              </w:rPr>
              <w:t>55° 00' 00" S</w:t>
            </w:r>
          </w:p>
        </w:tc>
        <w:tc>
          <w:tcPr>
            <w:tcW w:w="4324" w:type="dxa"/>
            <w:hideMark/>
          </w:tcPr>
          <w:p>
            <w:pPr>
              <w:spacing w:before="60" w:after="60"/>
              <w:rPr>
                <w:noProof/>
                <w:lang w:val="en-US"/>
              </w:rPr>
            </w:pPr>
            <w:r>
              <w:rPr>
                <w:noProof/>
                <w:lang w:val="en-US"/>
              </w:rPr>
              <w:t>85° 00' 00" E</w:t>
            </w:r>
          </w:p>
        </w:tc>
      </w:tr>
      <w:tr>
        <w:trPr>
          <w:trHeight w:val="227"/>
        </w:trPr>
        <w:tc>
          <w:tcPr>
            <w:tcW w:w="1701" w:type="dxa"/>
            <w:vMerge/>
            <w:vAlign w:val="center"/>
            <w:hideMark/>
          </w:tcPr>
          <w:p>
            <w:pPr>
              <w:spacing w:before="0" w:after="0"/>
              <w:rPr>
                <w:b/>
                <w:bCs/>
                <w:noProof/>
                <w:szCs w:val="24"/>
                <w:vertAlign w:val="superscript"/>
                <w:lang w:val="en-US"/>
              </w:rPr>
            </w:pPr>
          </w:p>
        </w:tc>
        <w:tc>
          <w:tcPr>
            <w:tcW w:w="1701" w:type="dxa"/>
            <w:hideMark/>
          </w:tcPr>
          <w:p>
            <w:pPr>
              <w:spacing w:before="60" w:after="60"/>
              <w:rPr>
                <w:noProof/>
                <w:lang w:val="en-US"/>
              </w:rPr>
            </w:pPr>
            <w:r>
              <w:rPr>
                <w:noProof/>
                <w:lang w:val="en-US"/>
              </w:rPr>
              <w:t>4</w:t>
            </w:r>
          </w:p>
        </w:tc>
        <w:tc>
          <w:tcPr>
            <w:tcW w:w="1985" w:type="dxa"/>
            <w:gridSpan w:val="3"/>
            <w:hideMark/>
          </w:tcPr>
          <w:p>
            <w:pPr>
              <w:spacing w:before="60" w:after="60"/>
              <w:rPr>
                <w:noProof/>
                <w:lang w:val="en-US"/>
              </w:rPr>
            </w:pPr>
            <w:r>
              <w:rPr>
                <w:noProof/>
                <w:lang w:val="en-US"/>
              </w:rPr>
              <w:t>52° 30' 00" S</w:t>
            </w:r>
          </w:p>
        </w:tc>
        <w:tc>
          <w:tcPr>
            <w:tcW w:w="4324" w:type="dxa"/>
            <w:hideMark/>
          </w:tcPr>
          <w:p>
            <w:pPr>
              <w:spacing w:before="60" w:after="60"/>
              <w:rPr>
                <w:noProof/>
                <w:lang w:val="en-US"/>
              </w:rPr>
            </w:pPr>
            <w:r>
              <w:rPr>
                <w:noProof/>
                <w:lang w:val="en-US"/>
              </w:rPr>
              <w:t>85° 00' 00" E</w:t>
            </w:r>
          </w:p>
        </w:tc>
      </w:tr>
      <w:tr>
        <w:trPr>
          <w:trHeight w:val="227"/>
        </w:trPr>
        <w:tc>
          <w:tcPr>
            <w:tcW w:w="1701" w:type="dxa"/>
            <w:tcBorders>
              <w:top w:val="nil"/>
              <w:left w:val="nil"/>
              <w:bottom w:val="single" w:sz="8" w:space="0" w:color="auto"/>
              <w:right w:val="nil"/>
            </w:tcBorders>
            <w:hideMark/>
          </w:tcPr>
          <w:p>
            <w:pPr>
              <w:spacing w:before="60" w:after="60"/>
              <w:rPr>
                <w:b/>
                <w:bCs/>
                <w:noProof/>
                <w:vertAlign w:val="superscript"/>
                <w:lang w:val="en-US"/>
              </w:rPr>
            </w:pPr>
            <w:r>
              <w:rPr>
                <w:b/>
                <w:bCs/>
                <w:noProof/>
                <w:vertAlign w:val="superscript"/>
                <w:lang w:val="en-US"/>
              </w:rPr>
              <w:t>(2)</w:t>
            </w:r>
          </w:p>
        </w:tc>
        <w:tc>
          <w:tcPr>
            <w:tcW w:w="8010" w:type="dxa"/>
            <w:gridSpan w:val="5"/>
            <w:tcBorders>
              <w:top w:val="nil"/>
              <w:left w:val="nil"/>
              <w:bottom w:val="single" w:sz="8" w:space="0" w:color="auto"/>
              <w:right w:val="nil"/>
            </w:tcBorders>
            <w:hideMark/>
          </w:tcPr>
          <w:p>
            <w:pPr>
              <w:spacing w:before="60" w:after="60"/>
              <w:rPr>
                <w:noProof/>
                <w:lang w:val="en-US"/>
              </w:rPr>
            </w:pPr>
            <w:r>
              <w:rPr>
                <w:noProof/>
                <w:lang w:val="en-US"/>
              </w:rPr>
              <w:t>May only be fished by vessels with observers on board during the fishing season from 1 December 2019 to 30 November 2020. No more than two longlines not exceeding 6 250 hooks are set per grid cell established by SIOFA and an interval of at least 30 days is applied between fishing trips according to the access conditions established by SIOFA.</w:t>
            </w:r>
          </w:p>
          <w:p>
            <w:pPr>
              <w:spacing w:before="60" w:after="60"/>
              <w:rPr>
                <w:noProof/>
                <w:lang w:val="en-US"/>
              </w:rPr>
            </w:pPr>
            <w:r>
              <w:rPr>
                <w:noProof/>
                <w:lang w:val="en-US"/>
              </w:rPr>
              <w:t>Catches of vessels not targeting this species may not exceed 0,5 tonnes per fishing season. When a vessel reaches this limit, it may no longer fish in Williams Ridge.</w:t>
            </w:r>
          </w:p>
        </w:tc>
      </w:tr>
    </w:tbl>
    <w:p>
      <w:pPr>
        <w:shd w:val="clear" w:color="auto" w:fill="FFFFFF"/>
        <w:spacing w:after="0" w:line="312" w:lineRule="atLeast"/>
        <w:rPr>
          <w:rFonts w:eastAsia="Times New Roman"/>
          <w:noProof/>
          <w:color w:val="444444"/>
          <w:szCs w:val="24"/>
          <w:lang w:val="fr-BE" w:eastAsia="fr-BE"/>
        </w:rPr>
      </w:pPr>
      <w:r>
        <w:rPr>
          <w:rFonts w:eastAsia="Times New Roman"/>
          <w:noProof/>
          <w:color w:val="444444"/>
          <w:szCs w:val="24"/>
          <w:lang w:val="fr-BE" w:eastAsia="fr-BE"/>
        </w:rPr>
        <w:t>Interim Protected Areas</w:t>
      </w:r>
    </w:p>
    <w:p>
      <w:pPr>
        <w:shd w:val="clear" w:color="auto" w:fill="FFFFFF"/>
        <w:spacing w:after="0" w:line="312" w:lineRule="atLeast"/>
        <w:rPr>
          <w:rFonts w:eastAsia="Times New Roman"/>
          <w:noProof/>
          <w:color w:val="444444"/>
          <w:szCs w:val="24"/>
          <w:lang w:val="fr-BE" w:eastAsia="fr-BE"/>
        </w:rPr>
      </w:pPr>
      <w:r>
        <w:rPr>
          <w:rFonts w:eastAsia="Times New Roman"/>
          <w:noProof/>
          <w:color w:val="444444"/>
          <w:szCs w:val="24"/>
          <w:lang w:val="fr-BE" w:eastAsia="fr-BE"/>
        </w:rPr>
        <w:t>Atlantis Bank</w:t>
      </w:r>
    </w:p>
    <w:p>
      <w:pPr>
        <w:shd w:val="clear" w:color="auto" w:fill="FFFFFF"/>
        <w:spacing w:before="0" w:after="0" w:line="312" w:lineRule="atLeast"/>
        <w:jc w:val="left"/>
        <w:rPr>
          <w:rFonts w:eastAsia="Times New Roman"/>
          <w:noProof/>
          <w:color w:val="444444"/>
          <w:szCs w:val="24"/>
          <w:lang w:val="fr-BE" w:eastAsia="fr-BE"/>
        </w:rPr>
      </w:pPr>
    </w:p>
    <w:p>
      <w:pPr>
        <w:shd w:val="clear" w:color="auto" w:fill="FFFFFF"/>
        <w:spacing w:before="0" w:after="0" w:line="312" w:lineRule="atLeast"/>
        <w:jc w:val="center"/>
        <w:rPr>
          <w:rFonts w:eastAsia="Times New Roman"/>
          <w:noProof/>
          <w:color w:val="444444"/>
          <w:szCs w:val="24"/>
          <w:lang w:val="fr-BE"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567"/>
        <w:gridCol w:w="1214"/>
        <w:gridCol w:w="1413"/>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Point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Latitude (S)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Longitude (E)</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32°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57°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32° 50'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57°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32° 50'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58°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32°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58° 00'</w:t>
            </w:r>
          </w:p>
        </w:tc>
      </w:tr>
    </w:tbl>
    <w:p>
      <w:pPr>
        <w:shd w:val="clear" w:color="auto" w:fill="FFFFFF"/>
        <w:spacing w:after="0" w:line="312" w:lineRule="atLeast"/>
        <w:rPr>
          <w:rFonts w:eastAsia="Times New Roman"/>
          <w:noProof/>
          <w:color w:val="444444"/>
          <w:szCs w:val="24"/>
          <w:lang w:val="fr-BE" w:eastAsia="fr-BE"/>
        </w:rPr>
      </w:pPr>
      <w:r>
        <w:rPr>
          <w:rFonts w:eastAsia="Times New Roman"/>
          <w:noProof/>
          <w:color w:val="444444"/>
          <w:szCs w:val="24"/>
          <w:lang w:val="fr-BE" w:eastAsia="fr-BE"/>
        </w:rPr>
        <w:t>Coral</w:t>
      </w:r>
    </w:p>
    <w:p>
      <w:pPr>
        <w:shd w:val="clear" w:color="auto" w:fill="FFFFFF"/>
        <w:spacing w:before="0" w:after="0" w:line="312" w:lineRule="atLeast"/>
        <w:jc w:val="left"/>
        <w:rPr>
          <w:rFonts w:eastAsia="Times New Roman"/>
          <w:noProof/>
          <w:color w:val="444444"/>
          <w:szCs w:val="24"/>
          <w:lang w:val="fr-BE" w:eastAsia="fr-BE"/>
        </w:rPr>
      </w:pPr>
    </w:p>
    <w:p>
      <w:pPr>
        <w:shd w:val="clear" w:color="auto" w:fill="FFFFFF"/>
        <w:spacing w:before="0" w:after="0" w:line="312" w:lineRule="atLeast"/>
        <w:jc w:val="center"/>
        <w:rPr>
          <w:rFonts w:eastAsia="Times New Roman"/>
          <w:noProof/>
          <w:color w:val="444444"/>
          <w:szCs w:val="24"/>
          <w:lang w:val="fr-BE"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567"/>
        <w:gridCol w:w="1214"/>
        <w:gridCol w:w="1413"/>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Point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Latitude (S)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Longitude (E)</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41°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42°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42°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44°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41°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44° 00'</w:t>
            </w:r>
          </w:p>
        </w:tc>
      </w:tr>
    </w:tbl>
    <w:p>
      <w:pPr>
        <w:shd w:val="clear" w:color="auto" w:fill="FFFFFF"/>
        <w:spacing w:after="0" w:line="312" w:lineRule="atLeast"/>
        <w:rPr>
          <w:rFonts w:eastAsia="Times New Roman"/>
          <w:noProof/>
          <w:color w:val="444444"/>
          <w:szCs w:val="24"/>
          <w:lang w:val="fr-BE" w:eastAsia="fr-BE"/>
        </w:rPr>
      </w:pPr>
      <w:r>
        <w:rPr>
          <w:rFonts w:eastAsia="Times New Roman"/>
          <w:noProof/>
          <w:color w:val="444444"/>
          <w:szCs w:val="24"/>
          <w:lang w:val="fr-BE" w:eastAsia="fr-BE"/>
        </w:rPr>
        <w:t>Fools Flat</w:t>
      </w:r>
    </w:p>
    <w:p>
      <w:pPr>
        <w:shd w:val="clear" w:color="auto" w:fill="FFFFFF"/>
        <w:spacing w:before="0" w:after="0" w:line="312" w:lineRule="atLeast"/>
        <w:jc w:val="left"/>
        <w:rPr>
          <w:rFonts w:eastAsia="Times New Roman"/>
          <w:noProof/>
          <w:color w:val="444444"/>
          <w:szCs w:val="24"/>
          <w:lang w:val="fr-BE" w:eastAsia="fr-BE"/>
        </w:rPr>
      </w:pPr>
    </w:p>
    <w:p>
      <w:pPr>
        <w:shd w:val="clear" w:color="auto" w:fill="FFFFFF"/>
        <w:spacing w:before="0" w:after="0" w:line="312" w:lineRule="atLeast"/>
        <w:jc w:val="center"/>
        <w:rPr>
          <w:rFonts w:eastAsia="Times New Roman"/>
          <w:noProof/>
          <w:color w:val="444444"/>
          <w:szCs w:val="24"/>
          <w:lang w:val="fr-BE"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567"/>
        <w:gridCol w:w="1214"/>
        <w:gridCol w:w="1413"/>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Point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Latitude (S)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Longitude (E)</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31° 30'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94° 40'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94° 40'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31° 40'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95° 00'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31° 30'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95° 00'</w:t>
            </w:r>
          </w:p>
        </w:tc>
      </w:tr>
    </w:tbl>
    <w:p>
      <w:pPr>
        <w:shd w:val="clear" w:color="auto" w:fill="FFFFFF"/>
        <w:spacing w:after="0" w:line="312" w:lineRule="atLeast"/>
        <w:rPr>
          <w:rFonts w:eastAsia="Times New Roman"/>
          <w:noProof/>
          <w:color w:val="444444"/>
          <w:szCs w:val="24"/>
          <w:lang w:val="fr-BE" w:eastAsia="fr-BE"/>
        </w:rPr>
      </w:pPr>
      <w:r>
        <w:rPr>
          <w:rFonts w:eastAsia="Times New Roman"/>
          <w:noProof/>
          <w:color w:val="444444"/>
          <w:szCs w:val="24"/>
          <w:lang w:val="fr-BE" w:eastAsia="fr-BE"/>
        </w:rPr>
        <w:t>Middle of What</w:t>
      </w:r>
    </w:p>
    <w:p>
      <w:pPr>
        <w:shd w:val="clear" w:color="auto" w:fill="FFFFFF"/>
        <w:spacing w:before="0" w:after="0" w:line="312" w:lineRule="atLeast"/>
        <w:jc w:val="left"/>
        <w:rPr>
          <w:rFonts w:eastAsia="Times New Roman"/>
          <w:noProof/>
          <w:color w:val="444444"/>
          <w:szCs w:val="24"/>
          <w:lang w:val="fr-BE" w:eastAsia="fr-BE"/>
        </w:rPr>
      </w:pPr>
    </w:p>
    <w:p>
      <w:pPr>
        <w:shd w:val="clear" w:color="auto" w:fill="FFFFFF"/>
        <w:spacing w:before="0" w:after="0" w:line="312" w:lineRule="atLeast"/>
        <w:jc w:val="center"/>
        <w:rPr>
          <w:rFonts w:eastAsia="Times New Roman"/>
          <w:noProof/>
          <w:color w:val="444444"/>
          <w:szCs w:val="24"/>
          <w:lang w:val="fr-BE"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567"/>
        <w:gridCol w:w="1214"/>
        <w:gridCol w:w="1413"/>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Point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Latitude (S)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Longitude (E)</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37° 54'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50° 23'</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37° 56.5'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50° 23'</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37° 56.5'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50° 27'</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37° 54'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50° 27'</w:t>
            </w:r>
          </w:p>
        </w:tc>
      </w:tr>
    </w:tbl>
    <w:p>
      <w:pPr>
        <w:shd w:val="clear" w:color="auto" w:fill="FFFFFF"/>
        <w:spacing w:after="0" w:line="312" w:lineRule="atLeast"/>
        <w:rPr>
          <w:rFonts w:eastAsia="Times New Roman"/>
          <w:noProof/>
          <w:color w:val="444444"/>
          <w:szCs w:val="24"/>
          <w:lang w:val="fr-BE" w:eastAsia="fr-BE"/>
        </w:rPr>
      </w:pPr>
      <w:r>
        <w:rPr>
          <w:rFonts w:eastAsia="Times New Roman"/>
          <w:noProof/>
          <w:color w:val="444444"/>
          <w:szCs w:val="24"/>
          <w:lang w:val="fr-BE" w:eastAsia="fr-BE"/>
        </w:rPr>
        <w:t>Walter’s Shoal</w:t>
      </w:r>
    </w:p>
    <w:p>
      <w:pPr>
        <w:shd w:val="clear" w:color="auto" w:fill="FFFFFF"/>
        <w:spacing w:before="0" w:after="0" w:line="312" w:lineRule="atLeast"/>
        <w:jc w:val="left"/>
        <w:rPr>
          <w:rFonts w:eastAsia="Times New Roman"/>
          <w:noProof/>
          <w:color w:val="444444"/>
          <w:szCs w:val="24"/>
          <w:lang w:val="fr-BE" w:eastAsia="fr-BE"/>
        </w:rPr>
      </w:pPr>
    </w:p>
    <w:p>
      <w:pPr>
        <w:shd w:val="clear" w:color="auto" w:fill="FFFFFF"/>
        <w:spacing w:before="0" w:after="0" w:line="312" w:lineRule="atLeast"/>
        <w:jc w:val="center"/>
        <w:rPr>
          <w:rFonts w:eastAsia="Times New Roman"/>
          <w:noProof/>
          <w:color w:val="444444"/>
          <w:szCs w:val="24"/>
          <w:lang w:val="fr-BE" w:eastAsia="fr-BE"/>
        </w:rPr>
      </w:pPr>
    </w:p>
    <w:tbl>
      <w:tblPr>
        <w:tblW w:w="0" w:type="dxa"/>
        <w:jc w:val="center"/>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567"/>
        <w:gridCol w:w="1214"/>
        <w:gridCol w:w="1413"/>
      </w:tblGrid>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Point</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Latitude (S)</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bCs/>
                <w:noProof/>
                <w:szCs w:val="24"/>
                <w:lang w:val="fr-BE" w:eastAsia="fr-BE"/>
              </w:rPr>
            </w:pPr>
            <w:r>
              <w:rPr>
                <w:rFonts w:eastAsia="Times New Roman"/>
                <w:bCs/>
                <w:noProof/>
                <w:szCs w:val="24"/>
                <w:lang w:val="fr-BE" w:eastAsia="fr-BE"/>
              </w:rPr>
              <w:t>Longitude (E)</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33°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43° 10'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33° 20'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43° 10'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33° 20'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44° 10'</w:t>
            </w:r>
          </w:p>
        </w:tc>
      </w:tr>
      <w:tr>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33° 00'</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pPr>
              <w:spacing w:before="60" w:after="60" w:line="312" w:lineRule="atLeast"/>
              <w:rPr>
                <w:rFonts w:eastAsia="Times New Roman"/>
                <w:noProof/>
                <w:szCs w:val="24"/>
                <w:lang w:val="fr-BE" w:eastAsia="fr-BE"/>
              </w:rPr>
            </w:pPr>
            <w:r>
              <w:rPr>
                <w:rFonts w:eastAsia="Times New Roman"/>
                <w:noProof/>
                <w:szCs w:val="24"/>
                <w:lang w:val="fr-BE" w:eastAsia="fr-BE"/>
              </w:rPr>
              <w:t>44° 10'</w:t>
            </w:r>
          </w:p>
        </w:tc>
      </w:tr>
    </w:tbl>
    <w:p>
      <w:pPr>
        <w:pStyle w:val="Lignefinal"/>
        <w:rPr>
          <w:noProof/>
        </w:rPr>
      </w:pPr>
    </w:p>
    <w:p>
      <w:pPr>
        <w:spacing w:before="0" w:after="0"/>
        <w:rPr>
          <w:noProof/>
        </w:rPr>
        <w:sectPr>
          <w:pgSz w:w="11907" w:h="16839"/>
          <w:pgMar w:top="1134" w:right="1134" w:bottom="1134" w:left="1134" w:header="567" w:footer="567" w:gutter="0"/>
          <w:pgNumType w:start="113"/>
          <w:cols w:space="720"/>
          <w:docGrid w:linePitch="326"/>
        </w:sectPr>
      </w:pPr>
    </w:p>
    <w:p>
      <w:pPr>
        <w:jc w:val="center"/>
        <w:rPr>
          <w:b/>
          <w:noProof/>
        </w:rPr>
      </w:pPr>
      <w:r>
        <w:rPr>
          <w:b/>
          <w:noProof/>
        </w:rPr>
        <w:t>ANNEX IL</w:t>
      </w:r>
    </w:p>
    <w:p>
      <w:pPr>
        <w:pStyle w:val="NormalCentered"/>
        <w:rPr>
          <w:noProof/>
        </w:rPr>
      </w:pPr>
      <w:r>
        <w:rPr>
          <w:noProof/>
        </w:rPr>
        <w:t>IATTC CONVENTION AREA</w:t>
      </w:r>
    </w:p>
    <w:tbl>
      <w:tblPr>
        <w:tblW w:w="5000" w:type="pct"/>
        <w:tblCellMar>
          <w:left w:w="0" w:type="dxa"/>
          <w:right w:w="0" w:type="dxa"/>
        </w:tblCellMar>
        <w:tblLook w:val="04A0" w:firstRow="1" w:lastRow="0" w:firstColumn="1" w:lastColumn="0" w:noHBand="0" w:noVBand="1"/>
      </w:tblPr>
      <w:tblGrid>
        <w:gridCol w:w="1809"/>
        <w:gridCol w:w="1985"/>
        <w:gridCol w:w="708"/>
        <w:gridCol w:w="1133"/>
        <w:gridCol w:w="4220"/>
      </w:tblGrid>
      <w:tr>
        <w:trPr>
          <w:trHeight w:val="227"/>
        </w:trPr>
        <w:tc>
          <w:tcPr>
            <w:tcW w:w="918" w:type="pct"/>
            <w:tcBorders>
              <w:top w:val="single" w:sz="8" w:space="0" w:color="auto"/>
              <w:left w:val="nil"/>
              <w:bottom w:val="single" w:sz="8" w:space="0" w:color="000000"/>
              <w:right w:val="nil"/>
            </w:tcBorders>
            <w:shd w:val="clear" w:color="auto" w:fill="FFFFFF"/>
            <w:tcMar>
              <w:top w:w="0" w:type="dxa"/>
              <w:left w:w="108" w:type="dxa"/>
              <w:bottom w:w="0" w:type="dxa"/>
              <w:right w:w="108" w:type="dxa"/>
            </w:tcMar>
            <w:hideMark/>
          </w:tcPr>
          <w:p>
            <w:pPr>
              <w:spacing w:before="60" w:after="60"/>
              <w:rPr>
                <w:noProof/>
                <w:lang w:val="de-DE"/>
              </w:rPr>
            </w:pPr>
            <w:r>
              <w:rPr>
                <w:noProof/>
                <w:lang w:val="de-DE"/>
              </w:rPr>
              <w:t>Species:</w:t>
            </w:r>
          </w:p>
        </w:tc>
        <w:tc>
          <w:tcPr>
            <w:tcW w:w="1366" w:type="pct"/>
            <w:gridSpan w:val="2"/>
            <w:tcBorders>
              <w:top w:val="single" w:sz="8" w:space="0" w:color="auto"/>
              <w:left w:val="nil"/>
              <w:bottom w:val="single" w:sz="8" w:space="0" w:color="000000"/>
              <w:right w:val="single" w:sz="8" w:space="0" w:color="auto"/>
            </w:tcBorders>
            <w:shd w:val="clear" w:color="auto" w:fill="FFFFFF"/>
            <w:tcMar>
              <w:top w:w="0" w:type="dxa"/>
              <w:left w:w="108" w:type="dxa"/>
              <w:bottom w:w="0" w:type="dxa"/>
              <w:right w:w="108" w:type="dxa"/>
            </w:tcMar>
            <w:hideMark/>
          </w:tcPr>
          <w:p>
            <w:pPr>
              <w:spacing w:before="60" w:after="60"/>
              <w:rPr>
                <w:noProof/>
                <w:lang w:val="de-DE"/>
              </w:rPr>
            </w:pPr>
            <w:r>
              <w:rPr>
                <w:noProof/>
                <w:lang w:val="de-DE"/>
              </w:rPr>
              <w:t>Bigeye tuna</w:t>
            </w:r>
          </w:p>
          <w:p>
            <w:pPr>
              <w:spacing w:before="60" w:after="60"/>
              <w:rPr>
                <w:i/>
                <w:iCs/>
                <w:noProof/>
                <w:lang w:val="de-DE"/>
              </w:rPr>
            </w:pPr>
            <w:r>
              <w:rPr>
                <w:i/>
                <w:iCs/>
                <w:noProof/>
                <w:lang w:val="de-DE"/>
              </w:rPr>
              <w:t>Thunnus obesus</w:t>
            </w:r>
          </w:p>
        </w:tc>
        <w:tc>
          <w:tcPr>
            <w:tcW w:w="575" w:type="pct"/>
            <w:tcBorders>
              <w:top w:val="single" w:sz="8" w:space="0" w:color="auto"/>
              <w:left w:val="nil"/>
              <w:bottom w:val="single" w:sz="8" w:space="0" w:color="000000"/>
              <w:right w:val="nil"/>
            </w:tcBorders>
            <w:shd w:val="clear" w:color="auto" w:fill="FFFFFF"/>
            <w:tcMar>
              <w:top w:w="0" w:type="dxa"/>
              <w:left w:w="108" w:type="dxa"/>
              <w:bottom w:w="0" w:type="dxa"/>
              <w:right w:w="108" w:type="dxa"/>
            </w:tcMar>
            <w:hideMark/>
          </w:tcPr>
          <w:p>
            <w:pPr>
              <w:spacing w:before="60" w:after="60"/>
              <w:rPr>
                <w:noProof/>
                <w:lang w:val="de-DE"/>
              </w:rPr>
            </w:pPr>
            <w:r>
              <w:rPr>
                <w:noProof/>
                <w:lang w:val="de-DE"/>
              </w:rPr>
              <w:t>Zone:</w:t>
            </w:r>
          </w:p>
        </w:tc>
        <w:tc>
          <w:tcPr>
            <w:tcW w:w="2141" w:type="pct"/>
            <w:tcBorders>
              <w:top w:val="single" w:sz="8" w:space="0" w:color="auto"/>
              <w:left w:val="nil"/>
              <w:bottom w:val="single" w:sz="8" w:space="0" w:color="000000"/>
              <w:right w:val="nil"/>
            </w:tcBorders>
            <w:shd w:val="clear" w:color="auto" w:fill="FFFFFF"/>
            <w:tcMar>
              <w:top w:w="0" w:type="dxa"/>
              <w:left w:w="108" w:type="dxa"/>
              <w:bottom w:w="0" w:type="dxa"/>
              <w:right w:w="108" w:type="dxa"/>
            </w:tcMar>
            <w:hideMark/>
          </w:tcPr>
          <w:p>
            <w:pPr>
              <w:spacing w:before="60" w:after="60"/>
              <w:rPr>
                <w:noProof/>
                <w:lang w:val="de-DE"/>
              </w:rPr>
            </w:pPr>
            <w:r>
              <w:rPr>
                <w:noProof/>
                <w:lang w:val="de-DE"/>
              </w:rPr>
              <w:t>IATTC Convention Area</w:t>
            </w:r>
          </w:p>
          <w:p>
            <w:pPr>
              <w:spacing w:before="60" w:after="60"/>
              <w:rPr>
                <w:noProof/>
                <w:lang w:val="de-DE"/>
              </w:rPr>
            </w:pPr>
            <w:r>
              <w:rPr>
                <w:noProof/>
                <w:lang w:val="de-DE"/>
              </w:rPr>
              <w:t>(BET/IATTC)</w:t>
            </w:r>
          </w:p>
        </w:tc>
      </w:tr>
      <w:tr>
        <w:trPr>
          <w:trHeight w:val="227"/>
        </w:trPr>
        <w:tc>
          <w:tcPr>
            <w:tcW w:w="918" w:type="pct"/>
            <w:tcMar>
              <w:top w:w="0" w:type="dxa"/>
              <w:left w:w="108" w:type="dxa"/>
              <w:bottom w:w="0" w:type="dxa"/>
              <w:right w:w="108" w:type="dxa"/>
            </w:tcMar>
            <w:hideMark/>
          </w:tcPr>
          <w:p>
            <w:pPr>
              <w:spacing w:before="60" w:after="60"/>
              <w:rPr>
                <w:noProof/>
                <w:lang w:val="de-DE"/>
              </w:rPr>
            </w:pPr>
            <w:r>
              <w:rPr>
                <w:noProof/>
                <w:lang w:val="de-DE"/>
              </w:rPr>
              <w:t>Union</w:t>
            </w:r>
          </w:p>
        </w:tc>
        <w:tc>
          <w:tcPr>
            <w:tcW w:w="1007" w:type="pct"/>
            <w:tcMar>
              <w:top w:w="0" w:type="dxa"/>
              <w:left w:w="108" w:type="dxa"/>
              <w:bottom w:w="0" w:type="dxa"/>
              <w:right w:w="108" w:type="dxa"/>
            </w:tcMar>
            <w:hideMark/>
          </w:tcPr>
          <w:p>
            <w:pPr>
              <w:spacing w:before="60" w:after="60"/>
              <w:rPr>
                <w:noProof/>
                <w:lang w:val="de-DE"/>
              </w:rPr>
            </w:pPr>
            <w:r>
              <w:rPr>
                <w:rFonts w:asciiTheme="majorBidi" w:hAnsiTheme="majorBidi" w:cstheme="majorBidi"/>
                <w:noProof/>
                <w:color w:val="000000"/>
                <w:lang w:val="de-DE" w:eastAsia="en-GB"/>
              </w:rPr>
              <w:t>pm</w:t>
            </w:r>
          </w:p>
        </w:tc>
        <w:tc>
          <w:tcPr>
            <w:tcW w:w="359" w:type="pct"/>
            <w:tcMar>
              <w:top w:w="0" w:type="dxa"/>
              <w:left w:w="108" w:type="dxa"/>
              <w:bottom w:w="0" w:type="dxa"/>
              <w:right w:w="108" w:type="dxa"/>
            </w:tcMar>
            <w:hideMark/>
          </w:tcPr>
          <w:p>
            <w:pPr>
              <w:spacing w:before="60" w:after="60"/>
              <w:rPr>
                <w:b/>
                <w:bCs/>
                <w:noProof/>
                <w:vertAlign w:val="superscript"/>
                <w:lang w:val="de-DE"/>
              </w:rPr>
            </w:pPr>
            <w:r>
              <w:rPr>
                <w:b/>
                <w:bCs/>
                <w:noProof/>
                <w:vertAlign w:val="superscript"/>
                <w:lang w:val="de-DE"/>
              </w:rPr>
              <w:t>(1)</w:t>
            </w:r>
          </w:p>
        </w:tc>
        <w:tc>
          <w:tcPr>
            <w:tcW w:w="2716" w:type="pct"/>
            <w:gridSpan w:val="2"/>
            <w:vMerge w:val="restart"/>
            <w:tcMar>
              <w:top w:w="0" w:type="dxa"/>
              <w:left w:w="108" w:type="dxa"/>
              <w:bottom w:w="0" w:type="dxa"/>
              <w:right w:w="108" w:type="dxa"/>
            </w:tcMar>
            <w:hideMark/>
          </w:tcPr>
          <w:p>
            <w:pPr>
              <w:spacing w:before="60" w:after="60"/>
              <w:rPr>
                <w:noProof/>
                <w:lang w:val="de-DE"/>
              </w:rPr>
            </w:pPr>
            <w:r>
              <w:rPr>
                <w:noProof/>
                <w:lang w:val="de-DE"/>
              </w:rPr>
              <w:t>Precautionary TAC</w:t>
            </w:r>
          </w:p>
        </w:tc>
      </w:tr>
      <w:tr>
        <w:trPr>
          <w:trHeight w:val="227"/>
        </w:trPr>
        <w:tc>
          <w:tcPr>
            <w:tcW w:w="918" w:type="pct"/>
            <w:tcMar>
              <w:top w:w="0" w:type="dxa"/>
              <w:left w:w="108" w:type="dxa"/>
              <w:bottom w:w="0" w:type="dxa"/>
              <w:right w:w="108" w:type="dxa"/>
            </w:tcMar>
            <w:hideMark/>
          </w:tcPr>
          <w:p>
            <w:pPr>
              <w:spacing w:before="60" w:after="60"/>
              <w:rPr>
                <w:noProof/>
                <w:lang w:val="de-DE"/>
              </w:rPr>
            </w:pPr>
            <w:r>
              <w:rPr>
                <w:noProof/>
                <w:lang w:val="de-DE"/>
              </w:rPr>
              <w:t>TAC</w:t>
            </w:r>
          </w:p>
        </w:tc>
        <w:tc>
          <w:tcPr>
            <w:tcW w:w="1007" w:type="pct"/>
            <w:tcMar>
              <w:top w:w="0" w:type="dxa"/>
              <w:left w:w="108" w:type="dxa"/>
              <w:bottom w:w="0" w:type="dxa"/>
              <w:right w:w="108" w:type="dxa"/>
            </w:tcMar>
            <w:hideMark/>
          </w:tcPr>
          <w:p>
            <w:pPr>
              <w:spacing w:before="60" w:after="60"/>
              <w:rPr>
                <w:noProof/>
                <w:lang w:val="de-DE"/>
              </w:rPr>
            </w:pPr>
            <w:r>
              <w:rPr>
                <w:noProof/>
                <w:lang w:val="de-DE"/>
              </w:rPr>
              <w:t>Not relevant</w:t>
            </w:r>
          </w:p>
        </w:tc>
        <w:tc>
          <w:tcPr>
            <w:tcW w:w="359" w:type="pct"/>
            <w:tcMar>
              <w:top w:w="0" w:type="dxa"/>
              <w:left w:w="108" w:type="dxa"/>
              <w:bottom w:w="0" w:type="dxa"/>
              <w:right w:w="108" w:type="dxa"/>
            </w:tcMar>
          </w:tcPr>
          <w:p>
            <w:pPr>
              <w:spacing w:before="60" w:after="60"/>
              <w:rPr>
                <w:noProof/>
                <w:lang w:val="de-DE"/>
              </w:rPr>
            </w:pPr>
          </w:p>
        </w:tc>
        <w:tc>
          <w:tcPr>
            <w:tcW w:w="0" w:type="auto"/>
            <w:gridSpan w:val="2"/>
            <w:vMerge/>
            <w:vAlign w:val="center"/>
            <w:hideMark/>
          </w:tcPr>
          <w:p>
            <w:pPr>
              <w:spacing w:before="0" w:after="0"/>
              <w:rPr>
                <w:noProof/>
                <w:szCs w:val="24"/>
                <w:lang w:val="de-DE"/>
              </w:rPr>
            </w:pPr>
          </w:p>
        </w:tc>
      </w:tr>
      <w:tr>
        <w:trPr>
          <w:trHeight w:val="227"/>
        </w:trPr>
        <w:tc>
          <w:tcPr>
            <w:tcW w:w="918" w:type="pct"/>
            <w:tcBorders>
              <w:top w:val="nil"/>
              <w:left w:val="nil"/>
              <w:bottom w:val="single" w:sz="8" w:space="0" w:color="auto"/>
              <w:right w:val="nil"/>
            </w:tcBorders>
            <w:tcMar>
              <w:top w:w="0" w:type="dxa"/>
              <w:left w:w="108" w:type="dxa"/>
              <w:bottom w:w="0" w:type="dxa"/>
              <w:right w:w="108" w:type="dxa"/>
            </w:tcMar>
            <w:hideMark/>
          </w:tcPr>
          <w:p>
            <w:pPr>
              <w:spacing w:before="60" w:after="60"/>
              <w:jc w:val="right"/>
              <w:rPr>
                <w:b/>
                <w:bCs/>
                <w:noProof/>
                <w:vertAlign w:val="superscript"/>
                <w:lang w:val="de-DE"/>
              </w:rPr>
            </w:pPr>
            <w:r>
              <w:rPr>
                <w:b/>
                <w:bCs/>
                <w:noProof/>
                <w:vertAlign w:val="superscript"/>
                <w:lang w:val="de-DE"/>
              </w:rPr>
              <w:t>(1)</w:t>
            </w:r>
          </w:p>
        </w:tc>
        <w:tc>
          <w:tcPr>
            <w:tcW w:w="4082" w:type="pct"/>
            <w:gridSpan w:val="4"/>
            <w:tcBorders>
              <w:top w:val="nil"/>
              <w:left w:val="nil"/>
              <w:bottom w:val="single" w:sz="8" w:space="0" w:color="auto"/>
              <w:right w:val="nil"/>
            </w:tcBorders>
            <w:tcMar>
              <w:top w:w="0" w:type="dxa"/>
              <w:left w:w="108" w:type="dxa"/>
              <w:bottom w:w="0" w:type="dxa"/>
              <w:right w:w="108" w:type="dxa"/>
            </w:tcMar>
            <w:hideMark/>
          </w:tcPr>
          <w:p>
            <w:pPr>
              <w:spacing w:before="60" w:after="60"/>
              <w:rPr>
                <w:noProof/>
                <w:lang w:val="de-DE"/>
              </w:rPr>
            </w:pPr>
            <w:r>
              <w:rPr>
                <w:noProof/>
                <w:lang w:val="de-DE"/>
              </w:rPr>
              <w:t>This quota may only be fished by vessels using longlines.</w:t>
            </w:r>
          </w:p>
        </w:tc>
      </w:tr>
    </w:tbl>
    <w:p>
      <w:pPr>
        <w:rPr>
          <w:noProof/>
        </w:rPr>
      </w:pPr>
    </w:p>
    <w:sectPr>
      <w:pgSz w:w="11907" w:h="16840" w:code="9"/>
      <w:pgMar w:top="1134" w:right="1134" w:bottom="1134" w:left="1134" w:header="567" w:footer="56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Yu Gothic"/>
    <w:charset w:val="80"/>
    <w:family w:val="swiss"/>
    <w:pitch w:val="variable"/>
  </w:font>
  <w:font w:name="WenQuanYi Micro Hei">
    <w:charset w:val="80"/>
    <w:family w:val="auto"/>
    <w:pitch w:val="variable"/>
  </w:font>
  <w:font w:name="Lohit Hindi">
    <w:altName w:val="MS Gothic"/>
    <w:charset w:val="80"/>
    <w:family w:val="auto"/>
    <w:pitch w:val="variable"/>
  </w:font>
  <w:font w:name="EUAlbertina">
    <w:altName w:val="EU Albertina"/>
    <w:charset w:val="00"/>
    <w:family w:val="roman"/>
    <w:pitch w:val="default"/>
    <w:sig w:usb0="00000003" w:usb1="08070000" w:usb2="00000010" w:usb3="00000000" w:csb0="0002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1</w:t>
    </w:r>
    <w:r>
      <w:fldChar w:fldCharType="end"/>
    </w:r>
    <w:r>
      <w:tab/>
    </w:r>
    <w:r>
      <w:tab/>
    </w:r>
    <w:r>
      <w:rPr>
        <w:rFonts w:ascii="Arial" w:hAnsi="Arial" w:cs="Arial"/>
        <w:b/>
        <w:sz w:val="48"/>
      </w:rPr>
      <w:t>EN</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34921DBA"/>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0D1E7AC2"/>
    <w:lvl w:ilvl="0">
      <w:start w:val="1"/>
      <w:numFmt w:val="decimal"/>
      <w:pStyle w:val="ListNumber3"/>
      <w:lvlText w:val="%1."/>
      <w:lvlJc w:val="left"/>
      <w:pPr>
        <w:tabs>
          <w:tab w:val="num" w:pos="926"/>
        </w:tabs>
        <w:ind w:left="926" w:hanging="360"/>
      </w:pPr>
    </w:lvl>
  </w:abstractNum>
  <w:abstractNum w:abstractNumId="2">
    <w:nsid w:val="FFFFFF7F"/>
    <w:multiLevelType w:val="singleLevel"/>
    <w:tmpl w:val="B3D6BA24"/>
    <w:lvl w:ilvl="0">
      <w:start w:val="1"/>
      <w:numFmt w:val="decimal"/>
      <w:pStyle w:val="ListNumber2"/>
      <w:lvlText w:val="%1."/>
      <w:lvlJc w:val="left"/>
      <w:pPr>
        <w:tabs>
          <w:tab w:val="num" w:pos="643"/>
        </w:tabs>
        <w:ind w:left="643" w:hanging="360"/>
      </w:pPr>
    </w:lvl>
  </w:abstractNum>
  <w:abstractNum w:abstractNumId="3">
    <w:nsid w:val="FFFFFF88"/>
    <w:multiLevelType w:val="singleLevel"/>
    <w:tmpl w:val="7F1A6600"/>
    <w:lvl w:ilvl="0">
      <w:start w:val="1"/>
      <w:numFmt w:val="decimal"/>
      <w:pStyle w:val="ListNumber"/>
      <w:lvlText w:val="%1."/>
      <w:lvlJc w:val="left"/>
      <w:pPr>
        <w:tabs>
          <w:tab w:val="num" w:pos="360"/>
        </w:tabs>
        <w:ind w:left="360" w:hanging="360"/>
      </w:pPr>
    </w:lvl>
  </w:abstractNum>
  <w:abstractNum w:abstractNumId="4">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5">
    <w:nsid w:val="0E020591"/>
    <w:multiLevelType w:val="singleLevel"/>
    <w:tmpl w:val="65A27EB6"/>
    <w:name w:val="Dash Equal 0"/>
    <w:lvl w:ilvl="0">
      <w:start w:val="1"/>
      <w:numFmt w:val="bullet"/>
      <w:lvlRestart w:val="0"/>
      <w:pStyle w:val="DashEqual"/>
      <w:lvlText w:val="="/>
      <w:lvlJc w:val="left"/>
      <w:pPr>
        <w:tabs>
          <w:tab w:val="num" w:pos="567"/>
        </w:tabs>
        <w:ind w:left="567" w:hanging="567"/>
      </w:pPr>
    </w:lvl>
  </w:abstractNum>
  <w:abstractNum w:abstractNumId="6">
    <w:nsid w:val="0E200A09"/>
    <w:multiLevelType w:val="multilevel"/>
    <w:tmpl w:val="C8DEA596"/>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0F212747"/>
    <w:multiLevelType w:val="multilevel"/>
    <w:tmpl w:val="41247EF8"/>
    <w:lvl w:ilvl="0">
      <w:start w:val="4"/>
      <w:numFmt w:val="decimal"/>
      <w:lvlRestart w:val="0"/>
      <w:pStyle w:val="ListBullet"/>
      <w:lvlText w:val="%1."/>
      <w:lvlJc w:val="left"/>
      <w:pPr>
        <w:tabs>
          <w:tab w:val="num" w:pos="850"/>
        </w:tabs>
        <w:ind w:left="850" w:hanging="850"/>
      </w:pPr>
      <w:rPr>
        <w:rFonts w:cs="Times New Roman" w:hint="default"/>
      </w:rPr>
    </w:lvl>
    <w:lvl w:ilvl="1">
      <w:start w:val="1"/>
      <w:numFmt w:val="decimal"/>
      <w:pStyle w:val="ListBullet2"/>
      <w:lvlText w:val="%1.%2."/>
      <w:lvlJc w:val="left"/>
      <w:pPr>
        <w:tabs>
          <w:tab w:val="num" w:pos="850"/>
        </w:tabs>
        <w:ind w:left="850" w:hanging="850"/>
      </w:pPr>
      <w:rPr>
        <w:rFonts w:cs="Times New Roman" w:hint="default"/>
      </w:rPr>
    </w:lvl>
    <w:lvl w:ilvl="2">
      <w:start w:val="1"/>
      <w:numFmt w:val="decimal"/>
      <w:pStyle w:val="ListBullet3"/>
      <w:lvlText w:val="%1.%2.%3."/>
      <w:lvlJc w:val="left"/>
      <w:pPr>
        <w:tabs>
          <w:tab w:val="num" w:pos="850"/>
        </w:tabs>
        <w:ind w:left="850" w:hanging="850"/>
      </w:pPr>
      <w:rPr>
        <w:rFonts w:cs="Times New Roman" w:hint="default"/>
      </w:rPr>
    </w:lvl>
    <w:lvl w:ilvl="3">
      <w:start w:val="1"/>
      <w:numFmt w:val="decimal"/>
      <w:pStyle w:val="ListBullet4"/>
      <w:lvlText w:val="%1.%2.%3.%4."/>
      <w:lvlJc w:val="left"/>
      <w:pPr>
        <w:tabs>
          <w:tab w:val="num" w:pos="850"/>
        </w:tabs>
        <w:ind w:left="850" w:hanging="85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9">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1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nsid w:val="25085576"/>
    <w:multiLevelType w:val="singleLevel"/>
    <w:tmpl w:val="FFD2A502"/>
    <w:name w:val="Dash Equal 3"/>
    <w:lvl w:ilvl="0">
      <w:start w:val="1"/>
      <w:numFmt w:val="bullet"/>
      <w:lvlRestart w:val="0"/>
      <w:pStyle w:val="DashEqual3"/>
      <w:lvlText w:val="="/>
      <w:lvlJc w:val="left"/>
      <w:pPr>
        <w:tabs>
          <w:tab w:val="num" w:pos="2268"/>
        </w:tabs>
        <w:ind w:left="2268" w:hanging="567"/>
      </w:pPr>
    </w:lvl>
  </w:abstractNum>
  <w:abstractNum w:abstractNumId="12">
    <w:nsid w:val="253C316A"/>
    <w:multiLevelType w:val="multilevel"/>
    <w:tmpl w:val="A26EDDF0"/>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BD82C0C"/>
    <w:multiLevelType w:val="singleLevel"/>
    <w:tmpl w:val="7C183DDA"/>
    <w:name w:val="Dash Equal 2"/>
    <w:lvl w:ilvl="0">
      <w:start w:val="1"/>
      <w:numFmt w:val="bullet"/>
      <w:lvlRestart w:val="0"/>
      <w:pStyle w:val="DashEqual2"/>
      <w:lvlText w:val="="/>
      <w:lvlJc w:val="left"/>
      <w:pPr>
        <w:tabs>
          <w:tab w:val="num" w:pos="1701"/>
        </w:tabs>
        <w:ind w:left="1701" w:hanging="567"/>
      </w:pPr>
    </w:lvl>
  </w:abstractNum>
  <w:abstractNum w:abstractNumId="14">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5">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6">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17">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18">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3845653E"/>
    <w:multiLevelType w:val="singleLevel"/>
    <w:tmpl w:val="234EAC60"/>
    <w:name w:val="Dash Equal 1"/>
    <w:lvl w:ilvl="0">
      <w:start w:val="1"/>
      <w:numFmt w:val="bullet"/>
      <w:lvlRestart w:val="0"/>
      <w:pStyle w:val="DashEqual1"/>
      <w:lvlText w:val="="/>
      <w:lvlJc w:val="left"/>
      <w:pPr>
        <w:tabs>
          <w:tab w:val="num" w:pos="1134"/>
        </w:tabs>
        <w:ind w:left="1134" w:hanging="567"/>
      </w:pPr>
    </w:lvl>
  </w:abstractNum>
  <w:abstractNum w:abstractNumId="20">
    <w:nsid w:val="385710C1"/>
    <w:multiLevelType w:val="singleLevel"/>
    <w:tmpl w:val="FF3EB506"/>
    <w:name w:val="Dash 4"/>
    <w:lvl w:ilvl="0">
      <w:start w:val="1"/>
      <w:numFmt w:val="bullet"/>
      <w:lvlRestart w:val="0"/>
      <w:pStyle w:val="Dash4"/>
      <w:lvlText w:val="–"/>
      <w:lvlJc w:val="left"/>
      <w:pPr>
        <w:tabs>
          <w:tab w:val="num" w:pos="2835"/>
        </w:tabs>
        <w:ind w:left="2835" w:hanging="567"/>
      </w:pPr>
    </w:lvl>
  </w:abstractNum>
  <w:abstractNum w:abstractNumId="21">
    <w:nsid w:val="38F424D0"/>
    <w:multiLevelType w:val="multilevel"/>
    <w:tmpl w:val="48741C5E"/>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22">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23">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24">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25">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26">
    <w:nsid w:val="406F317F"/>
    <w:multiLevelType w:val="hybridMultilevel"/>
    <w:tmpl w:val="95AEE0C0"/>
    <w:lvl w:ilvl="0" w:tplc="E0AE324E">
      <w:start w:val="1"/>
      <w:numFmt w:val="decimal"/>
      <w:pStyle w:val="CMMLevel1"/>
      <w:lvlText w:val="%1."/>
      <w:lvlJc w:val="left"/>
      <w:pPr>
        <w:ind w:left="101" w:hanging="485"/>
      </w:pPr>
      <w:rPr>
        <w:rFonts w:ascii="Cambria" w:eastAsia="Cambria" w:hAnsi="Cambria" w:hint="default"/>
        <w:b w:val="0"/>
        <w:bCs/>
        <w:spacing w:val="-3"/>
        <w:w w:val="98"/>
        <w:sz w:val="22"/>
        <w:szCs w:val="22"/>
      </w:rPr>
    </w:lvl>
    <w:lvl w:ilvl="1" w:tplc="42CE450A">
      <w:start w:val="1"/>
      <w:numFmt w:val="lowerLetter"/>
      <w:lvlText w:val="(%2)"/>
      <w:lvlJc w:val="left"/>
      <w:pPr>
        <w:ind w:left="1291" w:hanging="327"/>
      </w:pPr>
      <w:rPr>
        <w:rFonts w:ascii="Cambria" w:eastAsia="Cambria" w:hAnsi="Cambria" w:hint="default"/>
        <w:w w:val="98"/>
        <w:sz w:val="22"/>
        <w:szCs w:val="22"/>
      </w:rPr>
    </w:lvl>
    <w:lvl w:ilvl="2" w:tplc="0C2C5C94">
      <w:start w:val="1"/>
      <w:numFmt w:val="lowerRoman"/>
      <w:lvlText w:val="%3."/>
      <w:lvlJc w:val="left"/>
      <w:pPr>
        <w:ind w:left="2000" w:hanging="359"/>
      </w:pPr>
      <w:rPr>
        <w:rFonts w:ascii="Cambria" w:eastAsia="Cambria" w:hAnsi="Cambria" w:hint="default"/>
        <w:spacing w:val="-3"/>
        <w:w w:val="98"/>
        <w:sz w:val="22"/>
        <w:szCs w:val="22"/>
      </w:rPr>
    </w:lvl>
    <w:lvl w:ilvl="3" w:tplc="22C416D6">
      <w:start w:val="1"/>
      <w:numFmt w:val="bullet"/>
      <w:lvlText w:val="•"/>
      <w:lvlJc w:val="left"/>
      <w:pPr>
        <w:ind w:left="1291" w:hanging="359"/>
      </w:pPr>
      <w:rPr>
        <w:rFonts w:hint="default"/>
      </w:rPr>
    </w:lvl>
    <w:lvl w:ilvl="4" w:tplc="5436EEBC">
      <w:start w:val="1"/>
      <w:numFmt w:val="bullet"/>
      <w:lvlText w:val="•"/>
      <w:lvlJc w:val="left"/>
      <w:pPr>
        <w:ind w:left="1291" w:hanging="359"/>
      </w:pPr>
      <w:rPr>
        <w:rFonts w:hint="default"/>
      </w:rPr>
    </w:lvl>
    <w:lvl w:ilvl="5" w:tplc="5380CE7E">
      <w:start w:val="1"/>
      <w:numFmt w:val="bullet"/>
      <w:lvlText w:val="•"/>
      <w:lvlJc w:val="left"/>
      <w:pPr>
        <w:ind w:left="1291" w:hanging="359"/>
      </w:pPr>
      <w:rPr>
        <w:rFonts w:hint="default"/>
      </w:rPr>
    </w:lvl>
    <w:lvl w:ilvl="6" w:tplc="4246E67A">
      <w:start w:val="1"/>
      <w:numFmt w:val="bullet"/>
      <w:lvlText w:val="•"/>
      <w:lvlJc w:val="left"/>
      <w:pPr>
        <w:ind w:left="1311" w:hanging="359"/>
      </w:pPr>
      <w:rPr>
        <w:rFonts w:hint="default"/>
      </w:rPr>
    </w:lvl>
    <w:lvl w:ilvl="7" w:tplc="5B647F4C">
      <w:start w:val="1"/>
      <w:numFmt w:val="bullet"/>
      <w:lvlText w:val="•"/>
      <w:lvlJc w:val="left"/>
      <w:pPr>
        <w:ind w:left="1311" w:hanging="359"/>
      </w:pPr>
      <w:rPr>
        <w:rFonts w:hint="default"/>
      </w:rPr>
    </w:lvl>
    <w:lvl w:ilvl="8" w:tplc="1B7CD95A">
      <w:start w:val="1"/>
      <w:numFmt w:val="bullet"/>
      <w:lvlText w:val="•"/>
      <w:lvlJc w:val="left"/>
      <w:pPr>
        <w:ind w:left="2000" w:hanging="359"/>
      </w:pPr>
      <w:rPr>
        <w:rFonts w:hint="default"/>
      </w:rPr>
    </w:lvl>
  </w:abstractNum>
  <w:abstractNum w:abstractNumId="2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8">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9">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30">
    <w:nsid w:val="43F67AF0"/>
    <w:multiLevelType w:val="singleLevel"/>
    <w:tmpl w:val="7DB04F0A"/>
    <w:name w:val="Dash 2"/>
    <w:lvl w:ilvl="0">
      <w:start w:val="1"/>
      <w:numFmt w:val="bullet"/>
      <w:lvlRestart w:val="0"/>
      <w:pStyle w:val="Dash2"/>
      <w:lvlText w:val="–"/>
      <w:lvlJc w:val="left"/>
      <w:pPr>
        <w:tabs>
          <w:tab w:val="num" w:pos="1701"/>
        </w:tabs>
        <w:ind w:left="1701" w:hanging="567"/>
      </w:pPr>
    </w:lvl>
  </w:abstractNum>
  <w:abstractNum w:abstractNumId="31">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32">
    <w:nsid w:val="47AB25E5"/>
    <w:multiLevelType w:val="singleLevel"/>
    <w:tmpl w:val="75164398"/>
    <w:name w:val="Dash 1"/>
    <w:lvl w:ilvl="0">
      <w:start w:val="1"/>
      <w:numFmt w:val="bullet"/>
      <w:lvlRestart w:val="0"/>
      <w:pStyle w:val="Dash1"/>
      <w:lvlText w:val="–"/>
      <w:lvlJc w:val="left"/>
      <w:pPr>
        <w:tabs>
          <w:tab w:val="num" w:pos="1134"/>
        </w:tabs>
        <w:ind w:left="1134" w:hanging="567"/>
      </w:pPr>
    </w:lvl>
  </w:abstractNum>
  <w:abstractNum w:abstractNumId="33">
    <w:nsid w:val="47C10D90"/>
    <w:multiLevelType w:val="singleLevel"/>
    <w:tmpl w:val="07C45670"/>
    <w:name w:val="Dash 3"/>
    <w:lvl w:ilvl="0">
      <w:start w:val="1"/>
      <w:numFmt w:val="bullet"/>
      <w:lvlRestart w:val="0"/>
      <w:pStyle w:val="Dash3"/>
      <w:lvlText w:val="–"/>
      <w:lvlJc w:val="left"/>
      <w:pPr>
        <w:tabs>
          <w:tab w:val="num" w:pos="2268"/>
        </w:tabs>
        <w:ind w:left="2268" w:hanging="567"/>
      </w:pPr>
    </w:lvl>
  </w:abstractNum>
  <w:abstractNum w:abstractNumId="34">
    <w:nsid w:val="4B013CF3"/>
    <w:multiLevelType w:val="singleLevel"/>
    <w:tmpl w:val="5D7CB33C"/>
    <w:lvl w:ilvl="0">
      <w:start w:val="1"/>
      <w:numFmt w:val="bullet"/>
      <w:pStyle w:val="Tiret00"/>
      <w:lvlText w:val="–"/>
      <w:lvlJc w:val="left"/>
      <w:pPr>
        <w:tabs>
          <w:tab w:val="num" w:pos="1417"/>
        </w:tabs>
        <w:ind w:left="1417" w:hanging="567"/>
      </w:pPr>
    </w:lvl>
  </w:abstractNum>
  <w:abstractNum w:abstractNumId="35">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36">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37">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8">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9">
    <w:nsid w:val="6278684C"/>
    <w:multiLevelType w:val="multilevel"/>
    <w:tmpl w:val="33AE034E"/>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42">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43">
    <w:nsid w:val="68AA1742"/>
    <w:multiLevelType w:val="singleLevel"/>
    <w:tmpl w:val="4F329520"/>
    <w:name w:val="Dash 0"/>
    <w:lvl w:ilvl="0">
      <w:start w:val="1"/>
      <w:numFmt w:val="bullet"/>
      <w:lvlRestart w:val="0"/>
      <w:pStyle w:val="Dash"/>
      <w:lvlText w:val="–"/>
      <w:lvlJc w:val="left"/>
      <w:pPr>
        <w:tabs>
          <w:tab w:val="num" w:pos="567"/>
        </w:tabs>
        <w:ind w:left="567" w:hanging="567"/>
      </w:pPr>
    </w:lvl>
  </w:abstractNum>
  <w:abstractNum w:abstractNumId="44">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45">
    <w:nsid w:val="7380518A"/>
    <w:multiLevelType w:val="singleLevel"/>
    <w:tmpl w:val="43DEF6E2"/>
    <w:name w:val="Dash Equal 4"/>
    <w:lvl w:ilvl="0">
      <w:start w:val="1"/>
      <w:numFmt w:val="bullet"/>
      <w:lvlRestart w:val="0"/>
      <w:pStyle w:val="DashEqual4"/>
      <w:lvlText w:val="="/>
      <w:lvlJc w:val="left"/>
      <w:pPr>
        <w:tabs>
          <w:tab w:val="num" w:pos="2835"/>
        </w:tabs>
        <w:ind w:left="2835" w:hanging="567"/>
      </w:pPr>
    </w:lvl>
  </w:abstractNum>
  <w:abstractNum w:abstractNumId="46">
    <w:nsid w:val="73EA208D"/>
    <w:multiLevelType w:val="singleLevel"/>
    <w:tmpl w:val="0A7218F6"/>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47">
    <w:nsid w:val="77280071"/>
    <w:multiLevelType w:val="multilevel"/>
    <w:tmpl w:val="39C25228"/>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8">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49">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43"/>
  </w:num>
  <w:num w:numId="2">
    <w:abstractNumId w:val="32"/>
  </w:num>
  <w:num w:numId="3">
    <w:abstractNumId w:val="30"/>
  </w:num>
  <w:num w:numId="4">
    <w:abstractNumId w:val="33"/>
  </w:num>
  <w:num w:numId="5">
    <w:abstractNumId w:val="20"/>
  </w:num>
  <w:num w:numId="6">
    <w:abstractNumId w:val="5"/>
  </w:num>
  <w:num w:numId="7">
    <w:abstractNumId w:val="19"/>
  </w:num>
  <w:num w:numId="8">
    <w:abstractNumId w:val="13"/>
  </w:num>
  <w:num w:numId="9">
    <w:abstractNumId w:val="11"/>
  </w:num>
  <w:num w:numId="10">
    <w:abstractNumId w:val="45"/>
  </w:num>
  <w:num w:numId="11">
    <w:abstractNumId w:val="46"/>
  </w:num>
  <w:num w:numId="12">
    <w:abstractNumId w:val="21"/>
  </w:num>
  <w:num w:numId="13">
    <w:abstractNumId w:val="39"/>
  </w:num>
  <w:num w:numId="14">
    <w:abstractNumId w:val="6"/>
  </w:num>
  <w:num w:numId="15">
    <w:abstractNumId w:val="47"/>
  </w:num>
  <w:num w:numId="16">
    <w:abstractNumId w:val="12"/>
  </w:num>
  <w:num w:numId="17">
    <w:abstractNumId w:val="3"/>
  </w:num>
  <w:num w:numId="18">
    <w:abstractNumId w:val="2"/>
  </w:num>
  <w:num w:numId="19">
    <w:abstractNumId w:val="1"/>
  </w:num>
  <w:num w:numId="20">
    <w:abstractNumId w:val="0"/>
  </w:num>
  <w:num w:numId="21">
    <w:abstractNumId w:val="7"/>
  </w:num>
  <w:num w:numId="22">
    <w:abstractNumId w:val="17"/>
  </w:num>
  <w:num w:numId="23">
    <w:abstractNumId w:val="24"/>
  </w:num>
  <w:num w:numId="24">
    <w:abstractNumId w:val="48"/>
  </w:num>
  <w:num w:numId="25">
    <w:abstractNumId w:val="9"/>
  </w:num>
  <w:num w:numId="26">
    <w:abstractNumId w:val="29"/>
  </w:num>
  <w:num w:numId="27">
    <w:abstractNumId w:val="22"/>
  </w:num>
  <w:num w:numId="28">
    <w:abstractNumId w:val="25"/>
  </w:num>
  <w:num w:numId="29">
    <w:abstractNumId w:val="44"/>
  </w:num>
  <w:num w:numId="30">
    <w:abstractNumId w:val="16"/>
  </w:num>
  <w:num w:numId="31">
    <w:abstractNumId w:val="4"/>
  </w:num>
  <w:num w:numId="32">
    <w:abstractNumId w:val="23"/>
  </w:num>
  <w:num w:numId="33">
    <w:abstractNumId w:val="41"/>
  </w:num>
  <w:num w:numId="34">
    <w:abstractNumId w:val="18"/>
  </w:num>
  <w:num w:numId="35">
    <w:abstractNumId w:val="26"/>
  </w:num>
  <w:num w:numId="36">
    <w:abstractNumId w:val="34"/>
  </w:num>
  <w:num w:numId="37">
    <w:abstractNumId w:val="38"/>
  </w:num>
  <w:num w:numId="38">
    <w:abstractNumId w:val="27"/>
  </w:num>
  <w:num w:numId="39">
    <w:abstractNumId w:val="42"/>
  </w:num>
  <w:num w:numId="40">
    <w:abstractNumId w:val="15"/>
  </w:num>
  <w:num w:numId="41">
    <w:abstractNumId w:val="28"/>
  </w:num>
  <w:num w:numId="42">
    <w:abstractNumId w:val="10"/>
  </w:num>
  <w:num w:numId="43">
    <w:abstractNumId w:val="40"/>
  </w:num>
  <w:num w:numId="44">
    <w:abstractNumId w:val="8"/>
  </w:num>
  <w:num w:numId="45">
    <w:abstractNumId w:val="31"/>
  </w:num>
  <w:num w:numId="46">
    <w:abstractNumId w:val="36"/>
  </w:num>
  <w:num w:numId="47">
    <w:abstractNumId w:val="37"/>
  </w:num>
  <w:num w:numId="48">
    <w:abstractNumId w:val="14"/>
  </w:num>
  <w:num w:numId="49">
    <w:abstractNumId w:val="35"/>
  </w:num>
  <w:num w:numId="50">
    <w:abstractNumId w:val="4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displayBackgroundShape/>
  <w:hideSpellingErrors/>
  <w:hideGrammaticalErrors/>
  <w:attachedTemplate r:id="rId1"/>
  <w:revisionView w:markup="0"/>
  <w:defaultTabStop w:val="720"/>
  <w:hyphenationZone w:val="425"/>
  <w:characterSpacingControl w:val="doNotCompress"/>
  <w:hdrShapeDefaults>
    <o:shapedefaults v:ext="edit" spidmax="4997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10-20 14:18:57"/>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11"/>
    <w:docVar w:name="DQCResult_StructureCheck" w:val="0;0"/>
    <w:docVar w:name="DQCResult_SuperfluousWhitespace" w:val="0;24"/>
    <w:docVar w:name="DQCResult_UnknownFonts" w:val="0;0"/>
    <w:docVar w:name="DQCResult_UnknownStyles" w:val="0;0"/>
    <w:docVar w:name="DQCStatus" w:val="Green"/>
    <w:docVar w:name="DQCVersion" w:val="3"/>
    <w:docVar w:name="DQCWithWarnings" w:val="0"/>
    <w:docVar w:name="LW_ACCOMPAGNANT" w:val="to the Proposal for a "/>
    <w:docVar w:name="LW_ACCOMPAGNANT.CP" w:val="to the Proposal for a "/>
    <w:docVar w:name="LW_ANNEX_NBR_FIRST" w:val="1"/>
    <w:docVar w:name="LW_ANNEX_NBR_LAST" w:val="1"/>
    <w:docVar w:name="LW_ANNEX_UNIQUE" w:val="0"/>
    <w:docVar w:name="LW_CORRIGENDUM" w:val="&lt;UNUSED&gt;"/>
    <w:docVar w:name="LW_COVERPAGE_EXISTS" w:val="True"/>
    <w:docVar w:name="LW_COVERPAGE_GUID" w:val="7797D97E-D9B7-42B8-8EA1-CCE551C822B5"/>
    <w:docVar w:name="LW_COVERPAGE_TYPE" w:val="1"/>
    <w:docVar w:name="LW_CROSSREFERENCE" w:val="&lt;UNUSED&gt;"/>
    <w:docVar w:name="LW_DocType" w:val="ANNEX"/>
    <w:docVar w:name="LW_EMISSION" w:val="27.10.2020"/>
    <w:docVar w:name="LW_EMISSION_ISODATE" w:val="2020-10-27"/>
    <w:docVar w:name="LW_EMISSION_LOCATION" w:val="BRX"/>
    <w:docVar w:name="LW_EMISSION_PREFIX" w:val="Brussels, "/>
    <w:docVar w:name="LW_EMISSION_SUFFIX" w:val=" "/>
    <w:docVar w:name="LW_ID_DOCSTRUCTURE" w:val="COM/ANNEX"/>
    <w:docVar w:name="LW_ID_DOCTYPE" w:val="SG-017"/>
    <w:docVar w:name="LW_LANGUE" w:val="EN"/>
    <w:docVar w:name="LW_LEVEL_OF_SENSITIVITY" w:val="Standard treatment"/>
    <w:docVar w:name="LW_NOM.INST" w:val="EUROPEAN COMMISSION"/>
    <w:docVar w:name="LW_NOM.INST_JOINTDOC" w:val="&lt;EMPTY&gt;"/>
    <w:docVar w:name="LW_OBJETACTEPRINCIPAL" w:val="fixing for 2021 the fishing opportunities for certain fish stocks and groups of  fish stocks, applicable in Union waters and, for Union fishing vessels, in certain non-Union waters"/>
    <w:docVar w:name="LW_OBJETACTEPRINCIPAL.CP" w:val="fixing for 2021 the fishing opportunities for certain fish stocks and groups of  fish stocks, applicable in Union waters and, for Union fishing vessels, in certain non-Union waters"/>
    <w:docVar w:name="LW_PART_NBR" w:val="1"/>
    <w:docVar w:name="LW_PART_NBR_TOTAL" w:val="1"/>
    <w:docVar w:name="LW_REF.INST.NEW" w:val="COM"/>
    <w:docVar w:name="LW_REF.INST.NEW_ADOPTED" w:val="final"/>
    <w:docVar w:name="LW_REF.INST.NEW_TEXT" w:val="(2020) 66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 w:val="ANNEX"/>
    <w:docVar w:name="LW_TYPE.DOC.CP" w:val="ANNEX"/>
    <w:docVar w:name="LW_TYPEACTEPRINCIPAL" w:val="COUNCIL REGULATION"/>
    <w:docVar w:name="LW_TYPEACTEPRINCIPAL.CP" w:val="COUNCIL REGULATION"/>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997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caption"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43"/>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3"/>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3"/>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3"/>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unhideWhenUsed/>
    <w:rPr>
      <w:color w:val="800080"/>
      <w:u w:val="single"/>
    </w:rPr>
  </w:style>
  <w:style w:type="paragraph" w:customStyle="1" w:styleId="xl118">
    <w:name w:val="xl118"/>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19">
    <w:name w:val="xl119"/>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20">
    <w:name w:val="xl12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21">
    <w:name w:val="xl12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22">
    <w:name w:val="xl122"/>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23">
    <w:name w:val="xl123"/>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24">
    <w:name w:val="xl124"/>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125">
    <w:name w:val="xl125"/>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6">
    <w:name w:val="xl126"/>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127">
    <w:name w:val="xl127"/>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8">
    <w:name w:val="xl128"/>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129">
    <w:name w:val="xl129"/>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130">
    <w:name w:val="xl13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131">
    <w:name w:val="xl131"/>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2">
    <w:name w:val="xl13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33">
    <w:name w:val="xl133"/>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34">
    <w:name w:val="xl134"/>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35">
    <w:name w:val="xl135"/>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36">
    <w:name w:val="xl136"/>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137">
    <w:name w:val="xl137"/>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8">
    <w:name w:val="xl138"/>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39">
    <w:name w:val="xl139"/>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40">
    <w:name w:val="xl14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41">
    <w:name w:val="xl14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42">
    <w:name w:val="xl142"/>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3">
    <w:name w:val="xl143"/>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4">
    <w:name w:val="xl144"/>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45">
    <w:name w:val="xl145"/>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146">
    <w:name w:val="xl14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47">
    <w:name w:val="xl147"/>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48">
    <w:name w:val="xl148"/>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49">
    <w:name w:val="xl149"/>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50">
    <w:name w:val="xl150"/>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51">
    <w:name w:val="xl151"/>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52">
    <w:name w:val="xl152"/>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53">
    <w:name w:val="xl153"/>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4">
    <w:name w:val="xl154"/>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5">
    <w:name w:val="xl155"/>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156">
    <w:name w:val="xl15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57">
    <w:name w:val="xl15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4"/>
      <w:szCs w:val="14"/>
      <w:lang w:eastAsia="en-GB"/>
    </w:rPr>
  </w:style>
  <w:style w:type="paragraph" w:customStyle="1" w:styleId="xl158">
    <w:name w:val="xl1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59">
    <w:name w:val="xl15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60">
    <w:name w:val="xl16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1">
    <w:name w:val="xl16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162">
    <w:name w:val="xl16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3">
    <w:name w:val="xl16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64">
    <w:name w:val="xl16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165">
    <w:name w:val="xl16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166">
    <w:name w:val="xl16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67">
    <w:name w:val="xl16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68">
    <w:name w:val="xl16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69">
    <w:name w:val="xl16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70">
    <w:name w:val="xl17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1">
    <w:name w:val="xl17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72">
    <w:name w:val="xl17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73">
    <w:name w:val="xl17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74">
    <w:name w:val="xl17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75">
    <w:name w:val="xl17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76">
    <w:name w:val="xl17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7">
    <w:name w:val="xl17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78">
    <w:name w:val="xl17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79">
    <w:name w:val="xl17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0">
    <w:name w:val="xl18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1">
    <w:name w:val="xl18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82">
    <w:name w:val="xl18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3">
    <w:name w:val="xl18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84">
    <w:name w:val="xl18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85">
    <w:name w:val="xl18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186">
    <w:name w:val="xl18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87">
    <w:name w:val="xl18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88">
    <w:name w:val="xl18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9">
    <w:name w:val="xl18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0">
    <w:name w:val="xl19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1">
    <w:name w:val="xl19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92">
    <w:name w:val="xl19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3">
    <w:name w:val="xl19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94">
    <w:name w:val="xl19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95">
    <w:name w:val="xl1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6">
    <w:name w:val="xl19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7">
    <w:name w:val="xl19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98">
    <w:name w:val="xl19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199">
    <w:name w:val="xl19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00">
    <w:name w:val="xl20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1">
    <w:name w:val="xl20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2">
    <w:name w:val="xl20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3">
    <w:name w:val="xl20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4">
    <w:name w:val="xl20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5">
    <w:name w:val="xl205"/>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6">
    <w:name w:val="xl206"/>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07">
    <w:name w:val="xl207"/>
    <w:basedOn w:val="Normal"/>
    <w:uiPriority w:val="99"/>
    <w:pPr>
      <w:pBdr>
        <w:top w:val="single" w:sz="4" w:space="0" w:color="auto"/>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08">
    <w:name w:val="xl208"/>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9">
    <w:name w:val="xl209"/>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10">
    <w:name w:val="xl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1">
    <w:name w:val="xl211"/>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12">
    <w:name w:val="xl212"/>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13">
    <w:name w:val="xl213"/>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14">
    <w:name w:val="xl214"/>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15">
    <w:name w:val="xl21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6">
    <w:name w:val="xl21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17">
    <w:name w:val="xl217"/>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8">
    <w:name w:val="xl218"/>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19">
    <w:name w:val="xl21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0">
    <w:name w:val="xl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21">
    <w:name w:val="xl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2">
    <w:name w:val="xl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3">
    <w:name w:val="xl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24">
    <w:name w:val="xl224"/>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25">
    <w:name w:val="xl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26">
    <w:name w:val="xl22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27">
    <w:name w:val="xl22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8">
    <w:name w:val="xl22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9">
    <w:name w:val="xl229"/>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0">
    <w:name w:val="xl2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31">
    <w:name w:val="xl231"/>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32">
    <w:name w:val="xl232"/>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33">
    <w:name w:val="xl233"/>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4">
    <w:name w:val="xl234"/>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5">
    <w:name w:val="xl23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6">
    <w:name w:val="xl236"/>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37">
    <w:name w:val="xl237"/>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8">
    <w:name w:val="xl238"/>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9">
    <w:name w:val="xl239"/>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0">
    <w:name w:val="xl240"/>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41">
    <w:name w:val="xl241"/>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42">
    <w:name w:val="xl242"/>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3">
    <w:name w:val="xl243"/>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4">
    <w:name w:val="xl244"/>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5">
    <w:name w:val="xl24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6">
    <w:name w:val="xl246"/>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7">
    <w:name w:val="xl247"/>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8">
    <w:name w:val="xl248"/>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9">
    <w:name w:val="xl2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50">
    <w:name w:val="xl2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1">
    <w:name w:val="xl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2">
    <w:name w:val="xl252"/>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3">
    <w:name w:val="xl253"/>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54">
    <w:name w:val="xl254"/>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55">
    <w:name w:val="xl255"/>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56">
    <w:name w:val="xl25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57">
    <w:name w:val="xl25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8">
    <w:name w:val="xl2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59">
    <w:name w:val="xl259"/>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0">
    <w:name w:val="xl260"/>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1">
    <w:name w:val="xl261"/>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
    <w:name w:val="xl26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
    <w:name w:val="xl263"/>
    <w:basedOn w:val="Normal"/>
    <w:uiPriority w:val="99"/>
    <w:pPr>
      <w:spacing w:before="100" w:beforeAutospacing="1" w:after="100" w:afterAutospacing="1"/>
      <w:jc w:val="left"/>
    </w:pPr>
    <w:rPr>
      <w:rFonts w:eastAsia="Times New Roman"/>
      <w:sz w:val="18"/>
      <w:szCs w:val="18"/>
      <w:lang w:eastAsia="en-GB"/>
    </w:rPr>
  </w:style>
  <w:style w:type="paragraph" w:customStyle="1" w:styleId="xl264">
    <w:name w:val="xl264"/>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5">
    <w:name w:val="xl265"/>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6">
    <w:name w:val="xl266"/>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7">
    <w:name w:val="xl267"/>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8">
    <w:name w:val="xl268"/>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9">
    <w:name w:val="xl269"/>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0">
    <w:name w:val="xl270"/>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1">
    <w:name w:val="xl271"/>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2">
    <w:name w:val="xl2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73">
    <w:name w:val="xl273"/>
    <w:basedOn w:val="Normal"/>
    <w:uiPriority w:val="99"/>
    <w:pPr>
      <w:spacing w:before="100" w:beforeAutospacing="1" w:after="100" w:afterAutospacing="1"/>
      <w:jc w:val="right"/>
    </w:pPr>
    <w:rPr>
      <w:rFonts w:eastAsia="Times New Roman"/>
      <w:sz w:val="18"/>
      <w:szCs w:val="18"/>
      <w:lang w:eastAsia="en-GB"/>
    </w:rPr>
  </w:style>
  <w:style w:type="paragraph" w:customStyle="1" w:styleId="xl274">
    <w:name w:val="xl27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75">
    <w:name w:val="xl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76">
    <w:name w:val="xl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7">
    <w:name w:val="xl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78">
    <w:name w:val="xl27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79">
    <w:name w:val="xl279"/>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0">
    <w:name w:val="xl280"/>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81">
    <w:name w:val="xl281"/>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2">
    <w:name w:val="xl282"/>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3">
    <w:name w:val="xl283"/>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4">
    <w:name w:val="xl284"/>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5">
    <w:name w:val="xl285"/>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86">
    <w:name w:val="xl286"/>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7">
    <w:name w:val="xl287"/>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8">
    <w:name w:val="xl288"/>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89">
    <w:name w:val="xl289"/>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90">
    <w:name w:val="xl290"/>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91">
    <w:name w:val="xl291"/>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92">
    <w:name w:val="xl292"/>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93">
    <w:name w:val="xl29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94">
    <w:name w:val="xl294"/>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5">
    <w:name w:val="xl2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96">
    <w:name w:val="xl296"/>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7">
    <w:name w:val="xl297"/>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98">
    <w:name w:val="xl29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99">
    <w:name w:val="xl299"/>
    <w:basedOn w:val="Normal"/>
    <w:uiPriority w:val="99"/>
    <w:pPr>
      <w:spacing w:before="100" w:beforeAutospacing="1" w:after="100" w:afterAutospacing="1"/>
      <w:jc w:val="left"/>
      <w:textAlignment w:val="top"/>
    </w:pPr>
    <w:rPr>
      <w:rFonts w:eastAsia="Times New Roman"/>
      <w:color w:val="000000"/>
      <w:sz w:val="16"/>
      <w:szCs w:val="16"/>
      <w:lang w:eastAsia="en-GB"/>
    </w:rPr>
  </w:style>
  <w:style w:type="paragraph" w:styleId="BalloonText">
    <w:name w:val="Balloon Text"/>
    <w:basedOn w:val="Normal"/>
    <w:link w:val="BalloonTextChar"/>
    <w:uiPriority w:val="99"/>
    <w:pPr>
      <w:spacing w:before="0" w:after="0"/>
      <w:jc w:val="left"/>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en-GB" w:eastAsia="en-GB"/>
    </w:rPr>
  </w:style>
  <w:style w:type="paragraph" w:customStyle="1" w:styleId="FooterCouncil">
    <w:name w:val="Footer Council"/>
    <w:basedOn w:val="Normal"/>
    <w:link w:val="FooterCouncilChar"/>
    <w:uiPriority w:val="99"/>
    <w:pPr>
      <w:spacing w:before="0" w:after="0"/>
      <w:jc w:val="left"/>
    </w:pPr>
    <w:rPr>
      <w:rFonts w:eastAsia="Times New Roman"/>
      <w:sz w:val="2"/>
      <w:szCs w:val="24"/>
    </w:rPr>
  </w:style>
  <w:style w:type="paragraph" w:customStyle="1" w:styleId="FooterText">
    <w:name w:val="Footer Text"/>
    <w:basedOn w:val="Normal"/>
    <w:uiPriority w:val="99"/>
    <w:pPr>
      <w:spacing w:before="0" w:after="0"/>
      <w:jc w:val="left"/>
    </w:pPr>
    <w:rPr>
      <w:rFonts w:eastAsia="Times New Roman"/>
      <w:szCs w:val="24"/>
    </w:rPr>
  </w:style>
  <w:style w:type="character" w:customStyle="1" w:styleId="FooterCouncilChar">
    <w:name w:val="Footer Council Char"/>
    <w:link w:val="FooterCouncil"/>
    <w:rPr>
      <w:rFonts w:ascii="Times New Roman" w:eastAsia="Times New Roman" w:hAnsi="Times New Roman" w:cs="Times New Roman"/>
      <w:sz w:val="2"/>
      <w:szCs w:val="24"/>
      <w:lang w:val="en-GB"/>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uiPriority w:val="99"/>
    <w:pPr>
      <w:spacing w:before="0" w:after="0"/>
      <w:jc w:val="left"/>
    </w:pPr>
    <w:rPr>
      <w:rFonts w:eastAsia="Times New Roman"/>
      <w:sz w:val="20"/>
      <w:szCs w:val="20"/>
      <w:lang w:eastAsia="en-GB"/>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rFonts w:ascii="Times New Roman" w:eastAsia="Times New Roman" w:hAnsi="Times New Roman" w:cs="Times New Roman"/>
      <w:b/>
      <w:bCs/>
      <w:sz w:val="20"/>
      <w:szCs w:val="20"/>
      <w:lang w:val="en-GB" w:eastAsia="en-GB"/>
    </w:rPr>
  </w:style>
  <w:style w:type="paragraph" w:customStyle="1" w:styleId="HeaderCouncil">
    <w:name w:val="Header Council"/>
    <w:basedOn w:val="Normal"/>
    <w:link w:val="HeaderCouncilChar"/>
    <w:uiPriority w:val="99"/>
    <w:pPr>
      <w:spacing w:before="0" w:after="0"/>
      <w:jc w:val="left"/>
    </w:pPr>
    <w:rPr>
      <w:rFonts w:eastAsia="Times New Roman"/>
      <w:sz w:val="2"/>
      <w:szCs w:val="24"/>
    </w:rPr>
  </w:style>
  <w:style w:type="paragraph" w:customStyle="1" w:styleId="TechnicalBlock">
    <w:name w:val="Technical Block"/>
    <w:basedOn w:val="Normal"/>
    <w:next w:val="Normal"/>
    <w:link w:val="TechnicalBlockChar"/>
    <w:uiPriority w:val="99"/>
    <w:pPr>
      <w:spacing w:before="0" w:after="240"/>
      <w:jc w:val="center"/>
    </w:pPr>
    <w:rPr>
      <w:rFonts w:eastAsia="Times New Roman"/>
      <w:szCs w:val="24"/>
    </w:rPr>
  </w:style>
  <w:style w:type="paragraph" w:customStyle="1" w:styleId="Annexetitreacte">
    <w:name w:val="Annexe titre (acte)"/>
    <w:basedOn w:val="Normal"/>
    <w:next w:val="Normal"/>
    <w:uiPriority w:val="99"/>
    <w:pPr>
      <w:spacing w:line="360" w:lineRule="auto"/>
      <w:jc w:val="center"/>
    </w:pPr>
    <w:rPr>
      <w:rFonts w:eastAsia="Times New Roman"/>
      <w:b/>
      <w:szCs w:val="24"/>
      <w:u w:val="single"/>
    </w:rPr>
  </w:style>
  <w:style w:type="paragraph" w:customStyle="1" w:styleId="Annexetitreglobale">
    <w:name w:val="Annexe titre (globale)"/>
    <w:basedOn w:val="Normal"/>
    <w:next w:val="Normal"/>
    <w:uiPriority w:val="99"/>
    <w:pPr>
      <w:spacing w:line="360" w:lineRule="auto"/>
      <w:jc w:val="center"/>
    </w:pPr>
    <w:rPr>
      <w:rFonts w:eastAsia="Times New Roman"/>
      <w:b/>
      <w:szCs w:val="24"/>
      <w:u w:val="single"/>
    </w:rPr>
  </w:style>
  <w:style w:type="paragraph" w:customStyle="1" w:styleId="Lignefinal">
    <w:name w:val="Ligne final"/>
    <w:basedOn w:val="Normal"/>
    <w:next w:val="Normal"/>
    <w:link w:val="LignefinalChar"/>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uiPriority w:val="99"/>
    <w:pPr>
      <w:spacing w:before="0" w:after="0" w:line="360" w:lineRule="auto"/>
      <w:ind w:left="5103"/>
      <w:jc w:val="left"/>
    </w:pPr>
    <w:rPr>
      <w:rFonts w:eastAsia="Times New Roman"/>
      <w:szCs w:val="24"/>
    </w:rPr>
  </w:style>
  <w:style w:type="paragraph" w:customStyle="1" w:styleId="EntLogo">
    <w:name w:val="EntLogo"/>
    <w:basedOn w:val="Normal"/>
    <w:uiPriority w:val="99"/>
    <w:pPr>
      <w:tabs>
        <w:tab w:val="right" w:pos="9639"/>
      </w:tabs>
      <w:spacing w:before="0" w:after="0" w:line="360" w:lineRule="auto"/>
      <w:jc w:val="left"/>
    </w:pPr>
    <w:rPr>
      <w:rFonts w:eastAsia="Times New Roman"/>
      <w:b/>
      <w:szCs w:val="24"/>
    </w:rPr>
  </w:style>
  <w:style w:type="paragraph" w:customStyle="1" w:styleId="EntInstit">
    <w:name w:val="EntInstit"/>
    <w:basedOn w:val="Normal"/>
    <w:uiPriority w:val="99"/>
    <w:pPr>
      <w:spacing w:before="0" w:after="0"/>
      <w:jc w:val="right"/>
    </w:pPr>
    <w:rPr>
      <w:rFonts w:eastAsia="Times New Roman"/>
      <w:b/>
      <w:szCs w:val="24"/>
    </w:rPr>
  </w:style>
  <w:style w:type="paragraph" w:customStyle="1" w:styleId="EntRefer">
    <w:name w:val="EntRefer"/>
    <w:basedOn w:val="Normal"/>
    <w:uiPriority w:val="99"/>
    <w:pPr>
      <w:spacing w:before="0" w:after="0"/>
      <w:jc w:val="left"/>
    </w:pPr>
    <w:rPr>
      <w:rFonts w:eastAsia="Times New Roman"/>
      <w:b/>
      <w:szCs w:val="24"/>
    </w:rPr>
  </w:style>
  <w:style w:type="paragraph" w:customStyle="1" w:styleId="EntEmet">
    <w:name w:val="EntEmet"/>
    <w:basedOn w:val="Normal"/>
    <w:uiPriority w:val="99"/>
    <w:pPr>
      <w:spacing w:before="40" w:after="0"/>
      <w:jc w:val="left"/>
    </w:pPr>
    <w:rPr>
      <w:rFonts w:eastAsia="Times New Roman"/>
      <w:szCs w:val="24"/>
    </w:rPr>
  </w:style>
  <w:style w:type="paragraph" w:customStyle="1" w:styleId="EntText">
    <w:name w:val="EntText"/>
    <w:basedOn w:val="Normal"/>
    <w:uiPriority w:val="99"/>
    <w:pPr>
      <w:spacing w:line="360" w:lineRule="auto"/>
      <w:jc w:val="left"/>
    </w:pPr>
    <w:rPr>
      <w:rFonts w:eastAsia="Times New Roman"/>
      <w:szCs w:val="24"/>
    </w:rPr>
  </w:style>
  <w:style w:type="paragraph" w:customStyle="1" w:styleId="EntEU">
    <w:name w:val="EntEU"/>
    <w:basedOn w:val="Normal"/>
    <w:uiPriority w:val="99"/>
    <w:pPr>
      <w:spacing w:before="240" w:after="240"/>
      <w:jc w:val="center"/>
    </w:pPr>
    <w:rPr>
      <w:rFonts w:eastAsia="Times New Roman"/>
      <w:b/>
      <w:sz w:val="36"/>
      <w:szCs w:val="24"/>
    </w:rPr>
  </w:style>
  <w:style w:type="paragraph" w:customStyle="1" w:styleId="EntASSOC">
    <w:name w:val="EntASSOC"/>
    <w:basedOn w:val="Normal"/>
    <w:uiPriority w:val="99"/>
    <w:pPr>
      <w:spacing w:before="0" w:after="0"/>
      <w:jc w:val="center"/>
    </w:pPr>
    <w:rPr>
      <w:rFonts w:eastAsia="Times New Roman"/>
      <w:b/>
      <w:szCs w:val="24"/>
    </w:rPr>
  </w:style>
  <w:style w:type="paragraph" w:customStyle="1" w:styleId="EntACP">
    <w:name w:val="EntACP"/>
    <w:basedOn w:val="Normal"/>
    <w:uiPriority w:val="99"/>
    <w:pPr>
      <w:spacing w:before="0" w:after="180"/>
      <w:jc w:val="center"/>
    </w:pPr>
    <w:rPr>
      <w:rFonts w:eastAsia="Times New Roman"/>
      <w:b/>
      <w:spacing w:val="40"/>
      <w:sz w:val="28"/>
      <w:szCs w:val="24"/>
    </w:rPr>
  </w:style>
  <w:style w:type="paragraph" w:customStyle="1" w:styleId="EntInstitACP">
    <w:name w:val="EntInstitACP"/>
    <w:basedOn w:val="Normal"/>
    <w:uiPriority w:val="99"/>
    <w:pPr>
      <w:spacing w:before="0" w:after="0"/>
      <w:jc w:val="center"/>
    </w:pPr>
    <w:rPr>
      <w:rFonts w:eastAsia="Times New Roman"/>
      <w:b/>
      <w:szCs w:val="24"/>
    </w:rPr>
  </w:style>
  <w:style w:type="paragraph" w:customStyle="1" w:styleId="Genredudocument">
    <w:name w:val="Genre du document"/>
    <w:basedOn w:val="EntRefer"/>
    <w:next w:val="EntRefer"/>
    <w:uiPriority w:val="99"/>
    <w:pPr>
      <w:spacing w:before="240"/>
    </w:pPr>
  </w:style>
  <w:style w:type="paragraph" w:customStyle="1" w:styleId="Accordtitre">
    <w:name w:val="Accord titre"/>
    <w:basedOn w:val="Normal"/>
    <w:uiPriority w:val="99"/>
    <w:pPr>
      <w:spacing w:before="0" w:after="0" w:line="360" w:lineRule="auto"/>
      <w:jc w:val="center"/>
    </w:pPr>
    <w:rPr>
      <w:rFonts w:eastAsia="Times New Roman"/>
      <w:szCs w:val="24"/>
    </w:rPr>
  </w:style>
  <w:style w:type="paragraph" w:customStyle="1" w:styleId="FooterAccord">
    <w:name w:val="Footer Accord"/>
    <w:basedOn w:val="Normal"/>
    <w:uiPriority w:val="99"/>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uiPriority w:val="99"/>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uiPriority w:val="99"/>
    <w:pPr>
      <w:keepNext/>
      <w:spacing w:before="600" w:line="360" w:lineRule="auto"/>
      <w:jc w:val="center"/>
    </w:pPr>
    <w:rPr>
      <w:rFonts w:eastAsia="Times New Roman"/>
      <w:i/>
      <w:szCs w:val="24"/>
    </w:rPr>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4"/>
    </w:rPr>
  </w:style>
  <w:style w:type="character" w:customStyle="1" w:styleId="LignefinalChar">
    <w:name w:val="Ligne final Char"/>
    <w:link w:val="Lignefinal"/>
    <w:rPr>
      <w:rFonts w:ascii="Times New Roman" w:eastAsia="Times New Roman" w:hAnsi="Times New Roman" w:cs="Times New Roman"/>
      <w:b/>
      <w:sz w:val="24"/>
      <w:szCs w:val="24"/>
      <w:lang w:val="en-GB"/>
    </w:rPr>
  </w:style>
  <w:style w:type="character" w:customStyle="1" w:styleId="HeaderCouncilLargeChar">
    <w:name w:val="Header Council Large Char"/>
    <w:link w:val="HeaderCouncilLarge"/>
    <w:rPr>
      <w:rFonts w:ascii="Times New Roman" w:eastAsia="Times New Roman" w:hAnsi="Times New Roman" w:cs="Times New Roman"/>
      <w:sz w:val="2"/>
      <w:szCs w:val="24"/>
      <w:lang w:val="en-GB"/>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outlineLvl w:val="4"/>
    </w:pPr>
    <w:rPr>
      <w:rFonts w:eastAsia="Times New Roman"/>
      <w:szCs w:val="24"/>
    </w:rPr>
  </w:style>
  <w:style w:type="paragraph" w:customStyle="1" w:styleId="Text6">
    <w:name w:val="Text 6"/>
    <w:basedOn w:val="Normal"/>
    <w:uiPriority w:val="99"/>
    <w:pPr>
      <w:spacing w:line="360" w:lineRule="auto"/>
      <w:ind w:left="3402"/>
      <w:jc w:val="left"/>
      <w:outlineLvl w:val="5"/>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outlineLvl w:val="0"/>
    </w:pPr>
    <w:rPr>
      <w:rFonts w:eastAsia="Times New Roman"/>
      <w:szCs w:val="24"/>
    </w:rPr>
  </w:style>
  <w:style w:type="paragraph" w:customStyle="1" w:styleId="PointManual2">
    <w:name w:val="Point Manual (2)"/>
    <w:basedOn w:val="Normal"/>
    <w:uiPriority w:val="99"/>
    <w:pPr>
      <w:spacing w:line="360" w:lineRule="auto"/>
      <w:ind w:left="1701" w:hanging="567"/>
      <w:jc w:val="left"/>
      <w:outlineLvl w:val="1"/>
    </w:pPr>
    <w:rPr>
      <w:rFonts w:eastAsia="Times New Roman"/>
      <w:szCs w:val="24"/>
    </w:rPr>
  </w:style>
  <w:style w:type="paragraph" w:customStyle="1" w:styleId="PointManual3">
    <w:name w:val="Point Manual (3)"/>
    <w:basedOn w:val="Normal"/>
    <w:uiPriority w:val="99"/>
    <w:pPr>
      <w:spacing w:line="360" w:lineRule="auto"/>
      <w:ind w:left="2268" w:hanging="567"/>
      <w:jc w:val="left"/>
      <w:outlineLvl w:val="2"/>
    </w:pPr>
    <w:rPr>
      <w:rFonts w:eastAsia="Times New Roman"/>
      <w:szCs w:val="24"/>
    </w:rPr>
  </w:style>
  <w:style w:type="paragraph" w:customStyle="1" w:styleId="PointManual4">
    <w:name w:val="Point Manual (4)"/>
    <w:basedOn w:val="Normal"/>
    <w:uiPriority w:val="99"/>
    <w:pPr>
      <w:spacing w:line="360" w:lineRule="auto"/>
      <w:ind w:left="2835" w:hanging="567"/>
      <w:jc w:val="left"/>
      <w:outlineLvl w:val="3"/>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outlineLvl w:val="0"/>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outlineLvl w:val="1"/>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outlineLvl w:val="2"/>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outlineLvl w:val="3"/>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outlineLvl w:val="0"/>
    </w:pPr>
    <w:rPr>
      <w:rFonts w:eastAsia="Times New Roman"/>
      <w:szCs w:val="24"/>
    </w:rPr>
  </w:style>
  <w:style w:type="paragraph" w:customStyle="1" w:styleId="Pointabc2">
    <w:name w:val="Point abc (2)"/>
    <w:basedOn w:val="Normal"/>
    <w:uiPriority w:val="99"/>
    <w:pPr>
      <w:numPr>
        <w:ilvl w:val="5"/>
        <w:numId w:val="12"/>
      </w:numPr>
      <w:spacing w:line="360" w:lineRule="auto"/>
      <w:jc w:val="left"/>
      <w:outlineLvl w:val="1"/>
    </w:pPr>
    <w:rPr>
      <w:rFonts w:eastAsia="Times New Roman"/>
      <w:szCs w:val="24"/>
    </w:rPr>
  </w:style>
  <w:style w:type="paragraph" w:customStyle="1" w:styleId="Pointabc3">
    <w:name w:val="Point abc (3)"/>
    <w:basedOn w:val="Normal"/>
    <w:uiPriority w:val="99"/>
    <w:pPr>
      <w:numPr>
        <w:ilvl w:val="7"/>
        <w:numId w:val="12"/>
      </w:numPr>
      <w:spacing w:line="360" w:lineRule="auto"/>
      <w:jc w:val="left"/>
      <w:outlineLvl w:val="2"/>
    </w:pPr>
    <w:rPr>
      <w:rFonts w:eastAsia="Times New Roman"/>
      <w:szCs w:val="24"/>
    </w:rPr>
  </w:style>
  <w:style w:type="paragraph" w:customStyle="1" w:styleId="Pointabc4">
    <w:name w:val="Point abc (4)"/>
    <w:basedOn w:val="Normal"/>
    <w:uiPriority w:val="99"/>
    <w:pPr>
      <w:numPr>
        <w:ilvl w:val="8"/>
        <w:numId w:val="12"/>
      </w:numPr>
      <w:spacing w:line="360" w:lineRule="auto"/>
      <w:jc w:val="left"/>
      <w:outlineLvl w:val="3"/>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outlineLvl w:val="0"/>
    </w:pPr>
    <w:rPr>
      <w:rFonts w:eastAsia="Times New Roman"/>
      <w:szCs w:val="24"/>
    </w:rPr>
  </w:style>
  <w:style w:type="paragraph" w:customStyle="1" w:styleId="Point1232">
    <w:name w:val="Point 123 (2)"/>
    <w:basedOn w:val="Normal"/>
    <w:uiPriority w:val="99"/>
    <w:pPr>
      <w:numPr>
        <w:ilvl w:val="4"/>
        <w:numId w:val="12"/>
      </w:numPr>
      <w:spacing w:line="360" w:lineRule="auto"/>
      <w:jc w:val="left"/>
      <w:outlineLvl w:val="1"/>
    </w:pPr>
    <w:rPr>
      <w:rFonts w:eastAsia="Times New Roman"/>
      <w:szCs w:val="24"/>
    </w:rPr>
  </w:style>
  <w:style w:type="paragraph" w:customStyle="1" w:styleId="Point1233">
    <w:name w:val="Point 123 (3)"/>
    <w:basedOn w:val="Normal"/>
    <w:uiPriority w:val="99"/>
    <w:pPr>
      <w:numPr>
        <w:ilvl w:val="6"/>
        <w:numId w:val="12"/>
      </w:numPr>
      <w:spacing w:line="360" w:lineRule="auto"/>
      <w:jc w:val="left"/>
      <w:outlineLvl w:val="2"/>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outlineLvl w:val="0"/>
    </w:pPr>
    <w:rPr>
      <w:rFonts w:eastAsia="Times New Roman"/>
      <w:szCs w:val="24"/>
    </w:rPr>
  </w:style>
  <w:style w:type="paragraph" w:customStyle="1" w:styleId="Pointivx2">
    <w:name w:val="Point ivx (2)"/>
    <w:basedOn w:val="Normal"/>
    <w:uiPriority w:val="99"/>
    <w:pPr>
      <w:numPr>
        <w:ilvl w:val="2"/>
        <w:numId w:val="13"/>
      </w:numPr>
      <w:spacing w:line="360" w:lineRule="auto"/>
      <w:jc w:val="left"/>
      <w:outlineLvl w:val="1"/>
    </w:pPr>
    <w:rPr>
      <w:rFonts w:eastAsia="Times New Roman"/>
      <w:szCs w:val="24"/>
    </w:rPr>
  </w:style>
  <w:style w:type="paragraph" w:customStyle="1" w:styleId="Pointivx3">
    <w:name w:val="Point ivx (3)"/>
    <w:basedOn w:val="Normal"/>
    <w:uiPriority w:val="99"/>
    <w:pPr>
      <w:numPr>
        <w:ilvl w:val="3"/>
        <w:numId w:val="13"/>
      </w:numPr>
      <w:spacing w:line="360" w:lineRule="auto"/>
      <w:jc w:val="left"/>
      <w:outlineLvl w:val="2"/>
    </w:pPr>
    <w:rPr>
      <w:rFonts w:eastAsia="Times New Roman"/>
      <w:szCs w:val="24"/>
    </w:rPr>
  </w:style>
  <w:style w:type="paragraph" w:customStyle="1" w:styleId="Pointivx4">
    <w:name w:val="Point ivx (4)"/>
    <w:basedOn w:val="Normal"/>
    <w:uiPriority w:val="99"/>
    <w:pPr>
      <w:numPr>
        <w:ilvl w:val="4"/>
        <w:numId w:val="13"/>
      </w:numPr>
      <w:spacing w:line="360" w:lineRule="auto"/>
      <w:jc w:val="left"/>
      <w:outlineLvl w:val="3"/>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outlineLvl w:val="0"/>
    </w:pPr>
    <w:rPr>
      <w:rFonts w:eastAsia="Times New Roman"/>
      <w:szCs w:val="24"/>
    </w:rPr>
  </w:style>
  <w:style w:type="paragraph" w:customStyle="1" w:styleId="Dash2">
    <w:name w:val="Dash 2"/>
    <w:basedOn w:val="Normal"/>
    <w:uiPriority w:val="99"/>
    <w:pPr>
      <w:numPr>
        <w:numId w:val="3"/>
      </w:numPr>
      <w:spacing w:line="360" w:lineRule="auto"/>
      <w:jc w:val="left"/>
      <w:outlineLvl w:val="1"/>
    </w:pPr>
    <w:rPr>
      <w:rFonts w:eastAsia="Times New Roman"/>
      <w:szCs w:val="24"/>
    </w:rPr>
  </w:style>
  <w:style w:type="paragraph" w:customStyle="1" w:styleId="Dash3">
    <w:name w:val="Dash 3"/>
    <w:basedOn w:val="Normal"/>
    <w:uiPriority w:val="99"/>
    <w:pPr>
      <w:numPr>
        <w:numId w:val="4"/>
      </w:numPr>
      <w:spacing w:line="360" w:lineRule="auto"/>
      <w:jc w:val="left"/>
      <w:outlineLvl w:val="2"/>
    </w:pPr>
    <w:rPr>
      <w:rFonts w:eastAsia="Times New Roman"/>
      <w:szCs w:val="24"/>
    </w:rPr>
  </w:style>
  <w:style w:type="paragraph" w:customStyle="1" w:styleId="Dash4">
    <w:name w:val="Dash 4"/>
    <w:basedOn w:val="Normal"/>
    <w:uiPriority w:val="99"/>
    <w:pPr>
      <w:numPr>
        <w:numId w:val="5"/>
      </w:numPr>
      <w:spacing w:line="360" w:lineRule="auto"/>
      <w:jc w:val="left"/>
      <w:outlineLvl w:val="3"/>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jc w:val="left"/>
    </w:pPr>
    <w:rPr>
      <w:rFonts w:eastAsia="Times New Roman"/>
      <w:szCs w:val="24"/>
    </w:rPr>
  </w:style>
  <w:style w:type="paragraph" w:customStyle="1" w:styleId="NotDeclassified">
    <w:name w:val="Not Declassified"/>
    <w:basedOn w:val="Normal"/>
    <w:uiPriority w:val="99"/>
    <w:qFormat/>
    <w:pPr>
      <w:spacing w:line="360" w:lineRule="auto"/>
      <w:jc w:val="left"/>
    </w:pPr>
    <w:rPr>
      <w:rFonts w:eastAsia="Times New Roman"/>
      <w:b/>
      <w:bCs/>
      <w:szCs w:val="24"/>
      <w:bdr w:val="single" w:sz="4" w:space="0" w:color="auto"/>
      <w:shd w:val="solid" w:color="CCCCCC" w:fill="CCCCCC"/>
      <w:lang w:val="de-LU"/>
    </w:rPr>
  </w:style>
  <w:style w:type="character" w:customStyle="1" w:styleId="TechnicalBlockChar">
    <w:name w:val="Technical Block Char"/>
    <w:link w:val="TechnicalBlock"/>
    <w:rPr>
      <w:rFonts w:ascii="Times New Roman" w:eastAsia="Times New Roman" w:hAnsi="Times New Roman" w:cs="Times New Roman"/>
      <w:sz w:val="24"/>
      <w:szCs w:val="24"/>
      <w:lang w:val="en-GB"/>
    </w:rPr>
  </w:style>
  <w:style w:type="numbering" w:customStyle="1" w:styleId="NoList1">
    <w:name w:val="No List1"/>
    <w:next w:val="NoList"/>
    <w:uiPriority w:val="99"/>
    <w:semiHidden/>
    <w:unhideWhenUsed/>
  </w:style>
  <w:style w:type="paragraph" w:styleId="ListBullet">
    <w:name w:val="List Bullet"/>
    <w:basedOn w:val="Normal"/>
    <w:uiPriority w:val="99"/>
    <w:unhideWhenUsed/>
    <w:pPr>
      <w:numPr>
        <w:numId w:val="21"/>
      </w:numPr>
      <w:tabs>
        <w:tab w:val="clear" w:pos="850"/>
        <w:tab w:val="num" w:pos="360"/>
      </w:tabs>
      <w:ind w:left="360" w:hanging="360"/>
      <w:contextualSpacing/>
    </w:pPr>
    <w:rPr>
      <w:rFonts w:eastAsia="Calibri"/>
      <w:lang w:eastAsia="en-GB"/>
    </w:rPr>
  </w:style>
  <w:style w:type="paragraph" w:styleId="ListBullet2">
    <w:name w:val="List Bullet 2"/>
    <w:basedOn w:val="Normal"/>
    <w:uiPriority w:val="99"/>
    <w:unhideWhenUsed/>
    <w:pPr>
      <w:numPr>
        <w:ilvl w:val="1"/>
        <w:numId w:val="21"/>
      </w:numPr>
      <w:tabs>
        <w:tab w:val="clear" w:pos="850"/>
        <w:tab w:val="num" w:pos="360"/>
      </w:tabs>
      <w:ind w:left="0" w:firstLine="0"/>
      <w:contextualSpacing/>
    </w:pPr>
    <w:rPr>
      <w:rFonts w:eastAsia="Calibri"/>
      <w:lang w:eastAsia="en-GB"/>
    </w:rPr>
  </w:style>
  <w:style w:type="paragraph" w:styleId="ListBullet3">
    <w:name w:val="List Bullet 3"/>
    <w:basedOn w:val="Normal"/>
    <w:uiPriority w:val="99"/>
    <w:unhideWhenUsed/>
    <w:pPr>
      <w:numPr>
        <w:ilvl w:val="2"/>
        <w:numId w:val="21"/>
      </w:numPr>
      <w:tabs>
        <w:tab w:val="clear" w:pos="850"/>
        <w:tab w:val="num" w:pos="926"/>
      </w:tabs>
      <w:ind w:left="926" w:hanging="360"/>
      <w:contextualSpacing/>
    </w:pPr>
    <w:rPr>
      <w:rFonts w:eastAsia="Calibri"/>
      <w:lang w:eastAsia="en-GB"/>
    </w:rPr>
  </w:style>
  <w:style w:type="paragraph" w:styleId="ListBullet4">
    <w:name w:val="List Bullet 4"/>
    <w:basedOn w:val="Normal"/>
    <w:uiPriority w:val="99"/>
    <w:unhideWhenUsed/>
    <w:pPr>
      <w:numPr>
        <w:ilvl w:val="3"/>
        <w:numId w:val="21"/>
      </w:numPr>
      <w:tabs>
        <w:tab w:val="clear" w:pos="850"/>
        <w:tab w:val="num" w:pos="360"/>
      </w:tabs>
      <w:ind w:left="0" w:firstLine="0"/>
      <w:contextualSpacing/>
    </w:pPr>
    <w:rPr>
      <w:rFonts w:eastAsia="Calibri"/>
      <w:lang w:eastAsia="en-GB"/>
    </w:rPr>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en-GB"/>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lang w:eastAsia="en-GB"/>
    </w:rPr>
  </w:style>
  <w:style w:type="paragraph" w:styleId="ListNumber">
    <w:name w:val="List Number"/>
    <w:basedOn w:val="Normal"/>
    <w:uiPriority w:val="99"/>
    <w:unhideWhenUsed/>
    <w:pPr>
      <w:numPr>
        <w:numId w:val="17"/>
      </w:numPr>
      <w:contextualSpacing/>
    </w:pPr>
    <w:rPr>
      <w:rFonts w:eastAsia="Calibri"/>
      <w:lang w:eastAsia="en-GB"/>
    </w:rPr>
  </w:style>
  <w:style w:type="paragraph" w:styleId="ListNumber2">
    <w:name w:val="List Number 2"/>
    <w:basedOn w:val="Normal"/>
    <w:uiPriority w:val="99"/>
    <w:unhideWhenUsed/>
    <w:pPr>
      <w:numPr>
        <w:numId w:val="18"/>
      </w:numPr>
      <w:contextualSpacing/>
    </w:pPr>
    <w:rPr>
      <w:rFonts w:eastAsia="Calibri"/>
      <w:lang w:eastAsia="en-GB"/>
    </w:rPr>
  </w:style>
  <w:style w:type="paragraph" w:styleId="ListNumber3">
    <w:name w:val="List Number 3"/>
    <w:basedOn w:val="Normal"/>
    <w:uiPriority w:val="99"/>
    <w:unhideWhenUsed/>
    <w:pPr>
      <w:numPr>
        <w:numId w:val="19"/>
      </w:numPr>
      <w:contextualSpacing/>
    </w:pPr>
    <w:rPr>
      <w:rFonts w:eastAsia="Calibri"/>
      <w:lang w:eastAsia="en-GB"/>
    </w:rPr>
  </w:style>
  <w:style w:type="paragraph" w:styleId="ListNumber4">
    <w:name w:val="List Number 4"/>
    <w:basedOn w:val="Normal"/>
    <w:uiPriority w:val="99"/>
    <w:unhideWhenUsed/>
    <w:pPr>
      <w:numPr>
        <w:numId w:val="20"/>
      </w:numPr>
      <w:contextualSpacing/>
    </w:pPr>
    <w:rPr>
      <w:rFonts w:eastAsia="Calibri"/>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lang w:eastAsia="en-GB"/>
    </w:rPr>
  </w:style>
  <w:style w:type="paragraph" w:styleId="Revision">
    <w:name w:val="Revision"/>
    <w:hidden/>
    <w:uiPriority w:val="99"/>
    <w:rPr>
      <w:rFonts w:ascii="Times New Roman" w:eastAsia="Calibri" w:hAnsi="Times New Roman" w:cs="Times New Roman"/>
      <w:sz w:val="24"/>
      <w:lang w:val="en-GB"/>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lang w:eastAsia="en-GB"/>
    </w:rPr>
  </w:style>
  <w:style w:type="paragraph" w:customStyle="1" w:styleId="Notmsl">
    <w:name w:val="Notmsl"/>
    <w:basedOn w:val="DatedadoptionPagedecouverture"/>
    <w:uiPriority w:val="99"/>
    <w:rPr>
      <w:rFonts w:eastAsia="Calibri"/>
      <w:noProof/>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EndnoteReference">
    <w:name w:val="endnote reference"/>
    <w:uiPriority w:val="99"/>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lang w:val="en-GB"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lang w:eastAsia="zh-CN"/>
    </w:rPr>
  </w:style>
  <w:style w:type="character" w:customStyle="1" w:styleId="CommentSubjectChar1">
    <w:name w:val="Comment Subject Char1"/>
    <w:rPr>
      <w:rFonts w:ascii="Times New Roman" w:eastAsia="Times New Roman" w:hAnsi="Times New Roman" w:cs="Times New Roman"/>
      <w:b/>
      <w:bCs/>
      <w:sz w:val="20"/>
      <w:szCs w:val="20"/>
      <w:lang w:val="en-GB" w:eastAsia="zh-CN"/>
    </w:rPr>
  </w:style>
  <w:style w:type="character" w:customStyle="1" w:styleId="BalloonTextChar1">
    <w:name w:val="Balloon Text Char1"/>
    <w:rPr>
      <w:rFonts w:ascii="Tahoma" w:eastAsia="Times New Roman" w:hAnsi="Tahoma" w:cs="Tahoma"/>
      <w:sz w:val="16"/>
      <w:szCs w:val="16"/>
      <w:lang w:val="en-GB" w:eastAsia="zh-CN"/>
    </w:rPr>
  </w:style>
  <w:style w:type="paragraph" w:customStyle="1" w:styleId="WW-Default">
    <w:name w:val="WW-Default"/>
    <w:uiPriority w:val="99"/>
    <w:pPr>
      <w:suppressAutoHyphens/>
      <w:autoSpaceDE w:val="0"/>
    </w:pPr>
    <w:rPr>
      <w:rFonts w:ascii="EUAlbertina" w:eastAsia="Calibri" w:hAnsi="EUAlbertina" w:cs="EUAlbertina"/>
      <w:color w:val="000000"/>
      <w:sz w:val="24"/>
      <w:szCs w:val="24"/>
      <w:lang w:val="en-GB"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u w:val="single"/>
      <w:lang w:eastAsia="zh-CN"/>
    </w:rPr>
  </w:style>
  <w:style w:type="paragraph" w:customStyle="1" w:styleId="TableContents">
    <w:name w:val="Table Contents"/>
    <w:basedOn w:val="Normal"/>
    <w:uiPriority w:val="99"/>
    <w:pPr>
      <w:suppressLineNumbers/>
      <w:suppressAutoHyphens/>
    </w:pPr>
    <w:rPr>
      <w:rFonts w:eastAsia="Calibri"/>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pPr>
    <w:rPr>
      <w:rFonts w:ascii="EUAlbertina" w:eastAsia="Calibri" w:hAnsi="EUAlbertina" w:cs="EUAlbertina"/>
      <w:color w:val="000000"/>
      <w:sz w:val="24"/>
      <w:szCs w:val="24"/>
      <w:lang w:val="en-GB"/>
    </w:rPr>
  </w:style>
  <w:style w:type="paragraph" w:customStyle="1" w:styleId="font5">
    <w:name w:val="font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
    <w:name w:val="xl64"/>
    <w:basedOn w:val="Normal"/>
    <w:uiPriority w:val="99"/>
    <w:pPr>
      <w:spacing w:before="100" w:beforeAutospacing="1" w:after="100" w:afterAutospacing="1"/>
      <w:jc w:val="left"/>
    </w:pPr>
    <w:rPr>
      <w:rFonts w:eastAsia="Times New Roman"/>
      <w:sz w:val="18"/>
      <w:szCs w:val="18"/>
      <w:lang w:eastAsia="en-GB"/>
    </w:rPr>
  </w:style>
  <w:style w:type="paragraph" w:customStyle="1" w:styleId="xl65">
    <w:name w:val="xl65"/>
    <w:basedOn w:val="Normal"/>
    <w:uiPriority w:val="99"/>
    <w:pPr>
      <w:spacing w:before="100" w:beforeAutospacing="1" w:after="100" w:afterAutospacing="1"/>
      <w:jc w:val="left"/>
    </w:pPr>
    <w:rPr>
      <w:rFonts w:eastAsia="Times New Roman"/>
      <w:sz w:val="18"/>
      <w:szCs w:val="18"/>
      <w:lang w:eastAsia="en-GB"/>
    </w:rPr>
  </w:style>
  <w:style w:type="paragraph" w:customStyle="1" w:styleId="xl66">
    <w:name w:val="xl66"/>
    <w:basedOn w:val="Normal"/>
    <w:uiPriority w:val="99"/>
    <w:pPr>
      <w:spacing w:before="100" w:beforeAutospacing="1" w:after="100" w:afterAutospacing="1"/>
      <w:jc w:val="left"/>
    </w:pPr>
    <w:rPr>
      <w:rFonts w:eastAsia="Times New Roman"/>
      <w:sz w:val="18"/>
      <w:szCs w:val="18"/>
      <w:lang w:eastAsia="en-GB"/>
    </w:rPr>
  </w:style>
  <w:style w:type="paragraph" w:customStyle="1" w:styleId="xl67">
    <w:name w:val="xl67"/>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8">
    <w:name w:val="xl68"/>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9">
    <w:name w:val="xl69"/>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70">
    <w:name w:val="xl70"/>
    <w:basedOn w:val="Normal"/>
    <w:uiPriority w:val="99"/>
    <w:pPr>
      <w:pBdr>
        <w:top w:val="single" w:sz="8" w:space="0" w:color="auto"/>
        <w:left w:val="single" w:sz="8" w:space="0" w:color="auto"/>
      </w:pBdr>
      <w:spacing w:before="100" w:beforeAutospacing="1" w:after="100" w:afterAutospacing="1"/>
      <w:jc w:val="left"/>
    </w:pPr>
    <w:rPr>
      <w:rFonts w:eastAsia="Times New Roman"/>
      <w:sz w:val="18"/>
      <w:szCs w:val="18"/>
      <w:lang w:eastAsia="en-GB"/>
    </w:rPr>
  </w:style>
  <w:style w:type="paragraph" w:customStyle="1" w:styleId="xl71">
    <w:name w:val="xl7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2">
    <w:name w:val="xl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3">
    <w:name w:val="xl7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4">
    <w:name w:val="xl74"/>
    <w:basedOn w:val="Normal"/>
    <w:uiPriority w:val="99"/>
    <w:pPr>
      <w:pBdr>
        <w:left w:val="single" w:sz="8" w:space="0" w:color="auto"/>
        <w:bottom w:val="single" w:sz="8" w:space="0" w:color="auto"/>
      </w:pBdr>
      <w:spacing w:before="100" w:beforeAutospacing="1" w:after="100" w:afterAutospacing="1"/>
      <w:jc w:val="left"/>
    </w:pPr>
    <w:rPr>
      <w:rFonts w:eastAsia="Times New Roman"/>
      <w:sz w:val="18"/>
      <w:szCs w:val="18"/>
      <w:lang w:eastAsia="en-GB"/>
    </w:rPr>
  </w:style>
  <w:style w:type="paragraph" w:customStyle="1" w:styleId="xl75">
    <w:name w:val="xl75"/>
    <w:basedOn w:val="Normal"/>
    <w:uiPriority w:val="99"/>
    <w:pPr>
      <w:pBdr>
        <w:top w:val="single" w:sz="8" w:space="0" w:color="000000"/>
      </w:pBdr>
      <w:spacing w:before="100" w:beforeAutospacing="1" w:after="100" w:afterAutospacing="1"/>
      <w:jc w:val="right"/>
      <w:textAlignment w:val="center"/>
    </w:pPr>
    <w:rPr>
      <w:rFonts w:eastAsia="Times New Roman"/>
      <w:sz w:val="18"/>
      <w:szCs w:val="18"/>
      <w:lang w:eastAsia="en-GB"/>
    </w:rPr>
  </w:style>
  <w:style w:type="paragraph" w:customStyle="1" w:styleId="xl76">
    <w:name w:val="xl76"/>
    <w:basedOn w:val="Normal"/>
    <w:uiPriority w:val="99"/>
    <w:pPr>
      <w:spacing w:before="100" w:beforeAutospacing="1" w:after="100" w:afterAutospacing="1"/>
      <w:jc w:val="left"/>
      <w:textAlignment w:val="center"/>
    </w:pPr>
    <w:rPr>
      <w:rFonts w:eastAsia="Times New Roman"/>
      <w:sz w:val="18"/>
      <w:szCs w:val="18"/>
      <w:lang w:eastAsia="en-GB"/>
    </w:rPr>
  </w:style>
  <w:style w:type="paragraph" w:customStyle="1" w:styleId="xl77">
    <w:name w:val="xl77"/>
    <w:basedOn w:val="Normal"/>
    <w:uiPriority w:val="99"/>
    <w:pPr>
      <w:spacing w:before="100" w:beforeAutospacing="1" w:after="100" w:afterAutospacing="1"/>
      <w:jc w:val="right"/>
      <w:textAlignment w:val="center"/>
    </w:pPr>
    <w:rPr>
      <w:rFonts w:eastAsia="Times New Roman"/>
      <w:sz w:val="18"/>
      <w:szCs w:val="18"/>
      <w:lang w:eastAsia="en-GB"/>
    </w:rPr>
  </w:style>
  <w:style w:type="paragraph" w:customStyle="1" w:styleId="xl78">
    <w:name w:val="xl7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79">
    <w:name w:val="xl79"/>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0">
    <w:name w:val="xl8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81">
    <w:name w:val="xl8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2">
    <w:name w:val="xl8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3">
    <w:name w:val="xl83"/>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4">
    <w:name w:val="xl84"/>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5">
    <w:name w:val="xl8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6">
    <w:name w:val="xl86"/>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7">
    <w:name w:val="xl8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88">
    <w:name w:val="xl8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89">
    <w:name w:val="xl89"/>
    <w:basedOn w:val="Normal"/>
    <w:uiPriority w:val="99"/>
    <w:pPr>
      <w:pBdr>
        <w:bottom w:val="single" w:sz="8" w:space="0" w:color="auto"/>
      </w:pBdr>
      <w:spacing w:before="100" w:beforeAutospacing="1" w:after="100" w:afterAutospacing="1"/>
      <w:jc w:val="right"/>
      <w:textAlignment w:val="center"/>
    </w:pPr>
    <w:rPr>
      <w:rFonts w:eastAsia="Times New Roman"/>
      <w:sz w:val="18"/>
      <w:szCs w:val="18"/>
      <w:lang w:eastAsia="en-GB"/>
    </w:rPr>
  </w:style>
  <w:style w:type="paragraph" w:customStyle="1" w:styleId="xl90">
    <w:name w:val="xl90"/>
    <w:basedOn w:val="Normal"/>
    <w:uiPriority w:val="99"/>
    <w:pPr>
      <w:pBdr>
        <w:bottom w:val="single" w:sz="8" w:space="0" w:color="auto"/>
      </w:pBdr>
      <w:spacing w:before="100" w:beforeAutospacing="1" w:after="100" w:afterAutospacing="1"/>
      <w:jc w:val="right"/>
      <w:textAlignment w:val="top"/>
    </w:pPr>
    <w:rPr>
      <w:rFonts w:eastAsia="Times New Roman"/>
      <w:color w:val="FF0000"/>
      <w:sz w:val="18"/>
      <w:szCs w:val="18"/>
      <w:lang w:eastAsia="en-GB"/>
    </w:rPr>
  </w:style>
  <w:style w:type="paragraph" w:customStyle="1" w:styleId="xl91">
    <w:name w:val="xl91"/>
    <w:basedOn w:val="Normal"/>
    <w:uiPriority w:val="99"/>
    <w:pPr>
      <w:spacing w:before="100" w:beforeAutospacing="1" w:after="100" w:afterAutospacing="1"/>
      <w:jc w:val="left"/>
    </w:pPr>
    <w:rPr>
      <w:rFonts w:eastAsia="Times New Roman"/>
      <w:sz w:val="18"/>
      <w:szCs w:val="18"/>
      <w:lang w:eastAsia="en-GB"/>
    </w:rPr>
  </w:style>
  <w:style w:type="paragraph" w:customStyle="1" w:styleId="xl92">
    <w:name w:val="xl92"/>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93">
    <w:name w:val="xl9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character" w:customStyle="1" w:styleId="HeaderCouncilChar">
    <w:name w:val="Header Council Char"/>
    <w:link w:val="HeaderCouncil"/>
    <w:rPr>
      <w:rFonts w:ascii="Times New Roman" w:eastAsia="Times New Roman" w:hAnsi="Times New Roman" w:cs="Times New Roman"/>
      <w:sz w:val="2"/>
      <w:szCs w:val="24"/>
      <w:lang w:val="en-GB"/>
    </w:rPr>
  </w:style>
  <w:style w:type="paragraph" w:customStyle="1" w:styleId="xl300">
    <w:name w:val="xl30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301">
    <w:name w:val="xl30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302">
    <w:name w:val="xl302"/>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303">
    <w:name w:val="xl303"/>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4">
    <w:name w:val="xl304"/>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305">
    <w:name w:val="xl305"/>
    <w:basedOn w:val="Normal"/>
    <w:uiPriority w:val="99"/>
    <w:pPr>
      <w:shd w:val="clear" w:color="000000" w:fill="FFFFFF"/>
      <w:spacing w:before="100" w:beforeAutospacing="1" w:after="100" w:afterAutospacing="1"/>
      <w:jc w:val="left"/>
      <w:textAlignment w:val="top"/>
    </w:pPr>
    <w:rPr>
      <w:rFonts w:eastAsia="Times New Roman"/>
      <w:sz w:val="18"/>
      <w:szCs w:val="18"/>
      <w:lang w:eastAsia="en-GB"/>
    </w:rPr>
  </w:style>
  <w:style w:type="paragraph" w:customStyle="1" w:styleId="xl306">
    <w:name w:val="xl306"/>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7">
    <w:name w:val="xl307"/>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308">
    <w:name w:val="xl308"/>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09">
    <w:name w:val="xl309"/>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10">
    <w:name w:val="xl310"/>
    <w:basedOn w:val="Normal"/>
    <w:uiPriority w:val="99"/>
    <w:pPr>
      <w:pBdr>
        <w:top w:val="single" w:sz="8" w:space="0" w:color="000000"/>
      </w:pBd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11">
    <w:name w:val="xl311"/>
    <w:basedOn w:val="Normal"/>
    <w:uiPriority w:val="99"/>
    <w:pPr>
      <w:pBdr>
        <w:top w:val="single" w:sz="8" w:space="0" w:color="000000"/>
        <w:left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2">
    <w:name w:val="xl312"/>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3">
    <w:name w:val="xl313"/>
    <w:basedOn w:val="Normal"/>
    <w:uiPriority w:val="99"/>
    <w:pPr>
      <w:shd w:val="clear" w:color="000000" w:fill="A6A6A6"/>
      <w:spacing w:before="100" w:beforeAutospacing="1" w:after="100" w:afterAutospacing="1"/>
      <w:jc w:val="left"/>
      <w:textAlignment w:val="top"/>
    </w:pPr>
    <w:rPr>
      <w:rFonts w:eastAsia="Times New Roman"/>
      <w:i/>
      <w:iCs/>
      <w:sz w:val="18"/>
      <w:szCs w:val="18"/>
      <w:lang w:eastAsia="en-GB"/>
    </w:rPr>
  </w:style>
  <w:style w:type="paragraph" w:customStyle="1" w:styleId="xl314">
    <w:name w:val="xl314"/>
    <w:basedOn w:val="Normal"/>
    <w:uiPriority w:val="99"/>
    <w:pPr>
      <w:pBdr>
        <w:bottom w:val="single" w:sz="8" w:space="0" w:color="000000"/>
      </w:pBdr>
      <w:shd w:val="clear" w:color="000000" w:fill="A6A6A6"/>
      <w:spacing w:before="100" w:beforeAutospacing="1" w:after="100" w:afterAutospacing="1"/>
      <w:jc w:val="right"/>
      <w:textAlignment w:val="top"/>
    </w:pPr>
    <w:rPr>
      <w:rFonts w:eastAsia="Times New Roman"/>
      <w:i/>
      <w:iCs/>
      <w:color w:val="000000"/>
      <w:sz w:val="18"/>
      <w:szCs w:val="18"/>
      <w:lang w:eastAsia="en-GB"/>
    </w:rPr>
  </w:style>
  <w:style w:type="paragraph" w:customStyle="1" w:styleId="xl315">
    <w:name w:val="xl315"/>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i/>
      <w:iCs/>
      <w:color w:val="000000"/>
      <w:sz w:val="18"/>
      <w:szCs w:val="18"/>
      <w:lang w:eastAsia="en-GB"/>
    </w:rPr>
  </w:style>
  <w:style w:type="paragraph" w:customStyle="1" w:styleId="xl316">
    <w:name w:val="xl316"/>
    <w:basedOn w:val="Normal"/>
    <w:uiPriority w:val="99"/>
    <w:pPr>
      <w:pBdr>
        <w:left w:val="single" w:sz="8" w:space="0" w:color="000000"/>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7">
    <w:name w:val="xl317"/>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8">
    <w:name w:val="xl318"/>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9">
    <w:name w:val="xl319"/>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0">
    <w:name w:val="xl320"/>
    <w:basedOn w:val="Normal"/>
    <w:uiPriority w:val="99"/>
    <w:pP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21">
    <w:name w:val="xl321"/>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2">
    <w:name w:val="xl32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323">
    <w:name w:val="xl32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324">
    <w:name w:val="xl324"/>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font6">
    <w:name w:val="font6"/>
    <w:basedOn w:val="Normal"/>
    <w:uiPriority w:val="99"/>
    <w:pPr>
      <w:spacing w:before="100" w:beforeAutospacing="1" w:after="100" w:afterAutospacing="1"/>
      <w:jc w:val="left"/>
    </w:pPr>
    <w:rPr>
      <w:rFonts w:ascii="Tahoma" w:eastAsia="Times New Roman" w:hAnsi="Tahoma" w:cs="Tahoma"/>
      <w:b/>
      <w:bCs/>
      <w:color w:val="000000"/>
      <w:sz w:val="16"/>
      <w:szCs w:val="16"/>
      <w:lang w:eastAsia="en-GB"/>
    </w:rPr>
  </w:style>
  <w:style w:type="paragraph" w:customStyle="1" w:styleId="font7">
    <w:name w:val="font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8">
    <w:name w:val="font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9">
    <w:name w:val="font9"/>
    <w:basedOn w:val="Normal"/>
    <w:uiPriority w:val="99"/>
    <w:pPr>
      <w:spacing w:before="100" w:beforeAutospacing="1" w:after="100" w:afterAutospacing="1"/>
      <w:jc w:val="left"/>
    </w:pPr>
    <w:rPr>
      <w:rFonts w:eastAsia="Times New Roman"/>
      <w:sz w:val="18"/>
      <w:szCs w:val="18"/>
      <w:lang w:eastAsia="en-GB"/>
    </w:rPr>
  </w:style>
  <w:style w:type="paragraph" w:customStyle="1" w:styleId="xl26182">
    <w:name w:val="xl26182"/>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3">
    <w:name w:val="xl26183"/>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184">
    <w:name w:val="xl2618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185">
    <w:name w:val="xl26185"/>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186">
    <w:name w:val="xl26186"/>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7">
    <w:name w:val="xl26187"/>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188">
    <w:name w:val="xl26188"/>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189">
    <w:name w:val="xl26189"/>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0">
    <w:name w:val="xl26190"/>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26191">
    <w:name w:val="xl26191"/>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2">
    <w:name w:val="xl26192"/>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6193">
    <w:name w:val="xl26193"/>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26194">
    <w:name w:val="xl2619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195">
    <w:name w:val="xl26195"/>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96">
    <w:name w:val="xl2619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197">
    <w:name w:val="xl26197"/>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198">
    <w:name w:val="xl26198"/>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199">
    <w:name w:val="xl2619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00">
    <w:name w:val="xl26200"/>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26201">
    <w:name w:val="xl26201"/>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2">
    <w:name w:val="xl2620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03">
    <w:name w:val="xl26203"/>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4">
    <w:name w:val="xl2620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05">
    <w:name w:val="xl2620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206">
    <w:name w:val="xl26206"/>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7">
    <w:name w:val="xl26207"/>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8">
    <w:name w:val="xl26208"/>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09">
    <w:name w:val="xl26209"/>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26210">
    <w:name w:val="xl26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11">
    <w:name w:val="xl26211"/>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12">
    <w:name w:val="xl26212"/>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3">
    <w:name w:val="xl26213"/>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14">
    <w:name w:val="xl26214"/>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15">
    <w:name w:val="xl26215"/>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16">
    <w:name w:val="xl26216"/>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7">
    <w:name w:val="xl26217"/>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8">
    <w:name w:val="xl26218"/>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9">
    <w:name w:val="xl26219"/>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26220">
    <w:name w:val="xl26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1">
    <w:name w:val="xl26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222">
    <w:name w:val="xl26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26223">
    <w:name w:val="xl26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4">
    <w:name w:val="xl2622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26225">
    <w:name w:val="xl26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26226">
    <w:name w:val="xl2622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27">
    <w:name w:val="xl2622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28">
    <w:name w:val="xl2622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29">
    <w:name w:val="xl2622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30">
    <w:name w:val="xl2623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1">
    <w:name w:val="xl2623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32">
    <w:name w:val="xl2623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33">
    <w:name w:val="xl2623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234">
    <w:name w:val="xl2623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35">
    <w:name w:val="xl2623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36">
    <w:name w:val="xl2623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7">
    <w:name w:val="xl2623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38">
    <w:name w:val="xl2623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39">
    <w:name w:val="xl2623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0">
    <w:name w:val="xl2624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1">
    <w:name w:val="xl2624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42">
    <w:name w:val="xl2624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3">
    <w:name w:val="xl2624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44">
    <w:name w:val="xl2624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45">
    <w:name w:val="xl2624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26246">
    <w:name w:val="xl2624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47">
    <w:name w:val="xl2624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48">
    <w:name w:val="xl2624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9">
    <w:name w:val="xl2624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0">
    <w:name w:val="xl2625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1">
    <w:name w:val="xl26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252">
    <w:name w:val="xl2625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3">
    <w:name w:val="xl2625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54">
    <w:name w:val="xl2625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55">
    <w:name w:val="xl2625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6">
    <w:name w:val="xl2625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7">
    <w:name w:val="xl2625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58">
    <w:name w:val="xl2625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59">
    <w:name w:val="xl2625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0">
    <w:name w:val="xl2626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1">
    <w:name w:val="xl2626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2">
    <w:name w:val="xl2626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3">
    <w:name w:val="xl2626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4">
    <w:name w:val="xl2626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5">
    <w:name w:val="xl26265"/>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66">
    <w:name w:val="xl2626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67">
    <w:name w:val="xl26267"/>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68">
    <w:name w:val="xl26268"/>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9">
    <w:name w:val="xl26269"/>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6270">
    <w:name w:val="xl26270"/>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271">
    <w:name w:val="xl26271"/>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2">
    <w:name w:val="xl26272"/>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73">
    <w:name w:val="xl26273"/>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4">
    <w:name w:val="xl26274"/>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6275">
    <w:name w:val="xl26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76">
    <w:name w:val="xl26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6277">
    <w:name w:val="xl26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8">
    <w:name w:val="xl2627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9">
    <w:name w:val="xl262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0">
    <w:name w:val="xl26280"/>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1">
    <w:name w:val="xl2628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282">
    <w:name w:val="xl262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83">
    <w:name w:val="xl262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4">
    <w:name w:val="xl262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5">
    <w:name w:val="xl2628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6">
    <w:name w:val="xl262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7">
    <w:name w:val="xl26287"/>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8">
    <w:name w:val="xl26288"/>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6289">
    <w:name w:val="xl26289"/>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0">
    <w:name w:val="xl26290"/>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1">
    <w:name w:val="xl26291"/>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92">
    <w:name w:val="xl26292"/>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6293">
    <w:name w:val="xl26293"/>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4">
    <w:name w:val="xl26294"/>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5">
    <w:name w:val="xl2629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96">
    <w:name w:val="xl26296"/>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6297">
    <w:name w:val="xl26297"/>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98">
    <w:name w:val="xl26298"/>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99">
    <w:name w:val="xl26299"/>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0">
    <w:name w:val="xl26300"/>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1">
    <w:name w:val="xl26301"/>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02">
    <w:name w:val="xl26302"/>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3">
    <w:name w:val="xl26303"/>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4">
    <w:name w:val="xl26304"/>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5">
    <w:name w:val="xl2630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06">
    <w:name w:val="xl2630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07">
    <w:name w:val="xl26307"/>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8">
    <w:name w:val="xl2630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9">
    <w:name w:val="xl2630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10">
    <w:name w:val="xl26310"/>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6311">
    <w:name w:val="xl26311"/>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312">
    <w:name w:val="xl2631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3">
    <w:name w:val="xl2631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4">
    <w:name w:val="xl2631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6315">
    <w:name w:val="xl26315"/>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6">
    <w:name w:val="xl26316"/>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17">
    <w:name w:val="xl2631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8">
    <w:name w:val="xl2631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19">
    <w:name w:val="xl26319"/>
    <w:basedOn w:val="Normal"/>
    <w:uiPriority w:val="99"/>
    <w:pPr>
      <w:spacing w:before="100" w:beforeAutospacing="1" w:after="100" w:afterAutospacing="1"/>
      <w:jc w:val="left"/>
    </w:pPr>
    <w:rPr>
      <w:rFonts w:eastAsia="Times New Roman"/>
      <w:sz w:val="18"/>
      <w:szCs w:val="18"/>
      <w:lang w:eastAsia="en-GB"/>
    </w:rPr>
  </w:style>
  <w:style w:type="paragraph" w:customStyle="1" w:styleId="xl26320">
    <w:name w:val="xl2632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321">
    <w:name w:val="xl26321"/>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322">
    <w:name w:val="xl26322"/>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3">
    <w:name w:val="xl26323"/>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4">
    <w:name w:val="xl26324"/>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325">
    <w:name w:val="xl26325"/>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6">
    <w:name w:val="xl26326"/>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7">
    <w:name w:val="xl26327"/>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8">
    <w:name w:val="xl26328"/>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6329">
    <w:name w:val="xl26329"/>
    <w:basedOn w:val="Normal"/>
    <w:uiPriority w:val="99"/>
    <w:pPr>
      <w:spacing w:before="100" w:beforeAutospacing="1" w:after="100" w:afterAutospacing="1"/>
      <w:jc w:val="right"/>
    </w:pPr>
    <w:rPr>
      <w:rFonts w:eastAsia="Times New Roman"/>
      <w:sz w:val="18"/>
      <w:szCs w:val="18"/>
      <w:lang w:eastAsia="en-GB"/>
    </w:rPr>
  </w:style>
  <w:style w:type="paragraph" w:customStyle="1" w:styleId="xl26330">
    <w:name w:val="xl263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6331">
    <w:name w:val="xl2633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6332">
    <w:name w:val="xl2633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33">
    <w:name w:val="xl2633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34">
    <w:name w:val="xl26334"/>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35">
    <w:name w:val="xl26335"/>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6336">
    <w:name w:val="xl26336"/>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37">
    <w:name w:val="xl26337"/>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8">
    <w:name w:val="xl26338"/>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9">
    <w:name w:val="xl26339"/>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40">
    <w:name w:val="xl26340"/>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41">
    <w:name w:val="xl26341"/>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42">
    <w:name w:val="xl26342"/>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43">
    <w:name w:val="xl26343"/>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4">
    <w:name w:val="xl26344"/>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5">
    <w:name w:val="xl26345"/>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6346">
    <w:name w:val="xl26346"/>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47">
    <w:name w:val="xl26347"/>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348">
    <w:name w:val="xl2634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49">
    <w:name w:val="xl26349"/>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0">
    <w:name w:val="xl2635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1">
    <w:name w:val="xl26351"/>
    <w:basedOn w:val="Normal"/>
    <w:uiPriority w:val="99"/>
    <w:pPr>
      <w:pBdr>
        <w:bottom w:val="single" w:sz="8" w:space="0" w:color="auto"/>
      </w:pBdr>
      <w:spacing w:before="100" w:beforeAutospacing="1" w:after="100" w:afterAutospacing="1"/>
      <w:jc w:val="left"/>
      <w:textAlignment w:val="top"/>
    </w:pPr>
    <w:rPr>
      <w:rFonts w:eastAsia="Times New Roman"/>
      <w:color w:val="000000"/>
      <w:sz w:val="16"/>
      <w:szCs w:val="16"/>
      <w:lang w:eastAsia="en-GB"/>
    </w:rPr>
  </w:style>
  <w:style w:type="paragraph" w:customStyle="1" w:styleId="xl26352">
    <w:name w:val="xl26352"/>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3">
    <w:name w:val="xl2635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4">
    <w:name w:val="xl26354"/>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26355">
    <w:name w:val="xl26355"/>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6">
    <w:name w:val="xl26356"/>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26357">
    <w:name w:val="xl26357"/>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58">
    <w:name w:val="xl26358"/>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9">
    <w:name w:val="xl26359"/>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0">
    <w:name w:val="xl26360"/>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1">
    <w:name w:val="xl2636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362">
    <w:name w:val="xl26362"/>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63">
    <w:name w:val="xl26363"/>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64">
    <w:name w:val="xl2636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65">
    <w:name w:val="xl2636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6">
    <w:name w:val="xl2636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7">
    <w:name w:val="xl26367"/>
    <w:basedOn w:val="Normal"/>
    <w:uiPriority w:val="99"/>
    <w:pPr>
      <w:pBdr>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68">
    <w:name w:val="xl26368"/>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9">
    <w:name w:val="xl26369"/>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0">
    <w:name w:val="xl26370"/>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71">
    <w:name w:val="xl26371"/>
    <w:basedOn w:val="Normal"/>
    <w:uiPriority w:val="99"/>
    <w:pPr>
      <w:pBdr>
        <w:top w:val="single" w:sz="8" w:space="0" w:color="auto"/>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72">
    <w:name w:val="xl26372"/>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3">
    <w:name w:val="xl26373"/>
    <w:basedOn w:val="Normal"/>
    <w:uiPriority w:val="99"/>
    <w:pPr>
      <w:pBdr>
        <w:top w:val="single" w:sz="8" w:space="0" w:color="auto"/>
        <w:right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74">
    <w:name w:val="xl26374"/>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75">
    <w:name w:val="xl263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sz w:val="14"/>
      <w:szCs w:val="14"/>
      <w:lang w:eastAsia="en-GB"/>
    </w:rPr>
  </w:style>
  <w:style w:type="paragraph" w:customStyle="1" w:styleId="xl26376">
    <w:name w:val="xl263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7">
    <w:name w:val="xl263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8">
    <w:name w:val="xl26378"/>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379">
    <w:name w:val="xl263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380">
    <w:name w:val="xl26380"/>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1">
    <w:name w:val="xl26381"/>
    <w:basedOn w:val="Normal"/>
    <w:uiPriority w:val="99"/>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82">
    <w:name w:val="xl26382"/>
    <w:basedOn w:val="Normal"/>
    <w:uiPriority w:val="99"/>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3">
    <w:name w:val="xl26383"/>
    <w:basedOn w:val="Normal"/>
    <w:uiPriority w:val="99"/>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4">
    <w:name w:val="xl26384"/>
    <w:basedOn w:val="Normal"/>
    <w:uiPriority w:val="99"/>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26385">
    <w:name w:val="xl26385"/>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6">
    <w:name w:val="xl26386"/>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87">
    <w:name w:val="xl26387"/>
    <w:basedOn w:val="Normal"/>
    <w:uiPriority w:val="99"/>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88">
    <w:name w:val="xl26388"/>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9">
    <w:name w:val="xl2638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0">
    <w:name w:val="xl26390"/>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1">
    <w:name w:val="xl26391"/>
    <w:basedOn w:val="Normal"/>
    <w:uiPriority w:val="99"/>
    <w:pPr>
      <w:pBdr>
        <w:bottom w:val="single" w:sz="4" w:space="0" w:color="auto"/>
      </w:pBdr>
      <w:spacing w:before="100" w:beforeAutospacing="1" w:after="100" w:afterAutospacing="1"/>
      <w:jc w:val="left"/>
      <w:textAlignment w:val="top"/>
    </w:pPr>
    <w:rPr>
      <w:rFonts w:eastAsia="Times New Roman"/>
      <w:sz w:val="18"/>
      <w:szCs w:val="18"/>
      <w:lang w:eastAsia="en-GB"/>
    </w:rPr>
  </w:style>
  <w:style w:type="character" w:customStyle="1" w:styleId="Heading5Char">
    <w:name w:val="Heading 5 Char"/>
    <w:basedOn w:val="DefaultParagraphFont"/>
    <w:link w:val="Heading5"/>
    <w:rPr>
      <w:rFonts w:ascii="Arial" w:eastAsia="Times New Roman" w:hAnsi="Arial" w:cs="Times New Roman"/>
      <w:szCs w:val="20"/>
      <w:lang w:val="en-GB" w:eastAsia="fr-BE"/>
    </w:rPr>
  </w:style>
  <w:style w:type="character" w:customStyle="1" w:styleId="Heading6Char">
    <w:name w:val="Heading 6 Char"/>
    <w:basedOn w:val="DefaultParagraphFont"/>
    <w:link w:val="Heading6"/>
    <w:rPr>
      <w:rFonts w:ascii="Arial" w:eastAsia="Times New Roman" w:hAnsi="Arial" w:cs="Times New Roman"/>
      <w:i/>
      <w:szCs w:val="20"/>
      <w:lang w:val="en-GB"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en-GB"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en-GB"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en-GB" w:eastAsia="fr-BE"/>
    </w:rPr>
  </w:style>
  <w:style w:type="character" w:customStyle="1" w:styleId="NotDeclassifiedCharacter">
    <w:name w:val="Not Declassified Character"/>
    <w:basedOn w:val="DefaultParagraphFont"/>
    <w:rPr>
      <w:rFonts w:ascii="Times New Roman" w:hAnsi="Times New Roman" w:cs="Times New Roman"/>
      <w:b/>
      <w:sz w:val="24"/>
      <w:bdr w:val="single" w:sz="4" w:space="0" w:color="000000"/>
      <w:shd w:val="clear" w:color="auto" w:fill="CCCCCC"/>
    </w:rPr>
  </w:style>
  <w:style w:type="character" w:customStyle="1" w:styleId="ApplicationdirecteChar">
    <w:name w:val="Application directe Char"/>
    <w:rPr>
      <w:rFonts w:ascii="Times New Roman" w:hAnsi="Times New Roman" w:cs="Times New Roman"/>
      <w:sz w:val="24"/>
      <w:lang w:val="en-GB"/>
    </w:rPr>
  </w:style>
  <w:style w:type="paragraph" w:customStyle="1" w:styleId="pj">
    <w:name w:val="p.j."/>
    <w:basedOn w:val="Normal"/>
    <w:link w:val="pjChar"/>
    <w:pPr>
      <w:spacing w:before="1200"/>
      <w:ind w:left="1440" w:hanging="1440"/>
      <w:jc w:val="left"/>
    </w:pPr>
    <w:rPr>
      <w:rFonts w:eastAsia="Calibri"/>
      <w:lang w:eastAsia="en-GB"/>
    </w:rPr>
  </w:style>
  <w:style w:type="character" w:customStyle="1" w:styleId="pjChar">
    <w:name w:val="p.j. Char"/>
    <w:link w:val="pj"/>
    <w:rPr>
      <w:rFonts w:ascii="Times New Roman" w:eastAsia="Calibri" w:hAnsi="Times New Roman" w:cs="Times New Roman"/>
      <w:sz w:val="24"/>
      <w:lang w:val="en-GB" w:eastAsia="en-GB"/>
    </w:rPr>
  </w:style>
  <w:style w:type="paragraph" w:customStyle="1" w:styleId="ListNumber2Level2">
    <w:name w:val="List Number 2 (Level 2)"/>
    <w:basedOn w:val="Text2"/>
    <w:uiPriority w:val="99"/>
    <w:pPr>
      <w:tabs>
        <w:tab w:val="num" w:pos="2619"/>
      </w:tabs>
      <w:spacing w:before="0" w:after="240"/>
      <w:ind w:left="2619" w:hanging="708"/>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4"/>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26"/>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5"/>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en-GB"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2"/>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3"/>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en-GB"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en-GB"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en-GB"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en-GB"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2"/>
      </w:numPr>
      <w:spacing w:before="0" w:after="24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en-GB"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en-GB" w:eastAsia="fr-BE"/>
    </w:rPr>
  </w:style>
  <w:style w:type="paragraph" w:customStyle="1" w:styleId="ListDash1">
    <w:name w:val="List Dash 1"/>
    <w:basedOn w:val="Text1"/>
    <w:uiPriority w:val="99"/>
    <w:pPr>
      <w:numPr>
        <w:numId w:val="33"/>
      </w:numPr>
      <w:spacing w:before="0" w:after="24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lang w:val="fi-FI"/>
    </w:rPr>
  </w:style>
  <w:style w:type="character" w:customStyle="1" w:styleId="TitrearticleChar">
    <w:name w:val="Titre article Char"/>
    <w:rPr>
      <w:rFonts w:ascii="Times New Roman" w:hAnsi="Times New Roman" w:cs="Times New Roman"/>
      <w:i/>
      <w:sz w:val="24"/>
      <w:lang w:val="en-GB"/>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4"/>
      </w:numPr>
      <w:spacing w:before="0" w:after="240"/>
    </w:pPr>
    <w:rPr>
      <w:rFonts w:eastAsia="Times New Roman"/>
      <w:szCs w:val="20"/>
    </w:rPr>
  </w:style>
  <w:style w:type="paragraph" w:customStyle="1" w:styleId="ListNumber1Level2">
    <w:name w:val="List Number 1 (Level 2)"/>
    <w:basedOn w:val="Text1"/>
    <w:uiPriority w:val="99"/>
    <w:pPr>
      <w:numPr>
        <w:ilvl w:val="1"/>
        <w:numId w:val="34"/>
      </w:numPr>
      <w:spacing w:before="0" w:after="240"/>
    </w:pPr>
    <w:rPr>
      <w:rFonts w:eastAsia="Times New Roman"/>
      <w:szCs w:val="20"/>
    </w:rPr>
  </w:style>
  <w:style w:type="paragraph" w:customStyle="1" w:styleId="ListNumber1Level3">
    <w:name w:val="List Number 1 (Level 3)"/>
    <w:basedOn w:val="Text1"/>
    <w:uiPriority w:val="99"/>
    <w:pPr>
      <w:numPr>
        <w:ilvl w:val="2"/>
        <w:numId w:val="34"/>
      </w:numPr>
      <w:spacing w:before="0" w:after="240"/>
    </w:pPr>
    <w:rPr>
      <w:rFonts w:eastAsia="Times New Roman"/>
      <w:szCs w:val="20"/>
    </w:rPr>
  </w:style>
  <w:style w:type="paragraph" w:customStyle="1" w:styleId="ListNumber1Level4">
    <w:name w:val="List Number 1 (Level 4)"/>
    <w:basedOn w:val="Text1"/>
    <w:uiPriority w:val="99"/>
    <w:pPr>
      <w:numPr>
        <w:ilvl w:val="3"/>
        <w:numId w:val="34"/>
      </w:numPr>
      <w:spacing w:before="0" w:after="240"/>
    </w:pPr>
    <w:rPr>
      <w:rFonts w:eastAsia="Times New Roman"/>
      <w:szCs w:val="20"/>
    </w:rPr>
  </w:style>
  <w:style w:type="numbering" w:customStyle="1" w:styleId="NoList11">
    <w:name w:val="No List11"/>
    <w:next w:val="NoList"/>
    <w:uiPriority w:val="99"/>
    <w:semiHidden/>
    <w:unhideWhenUsed/>
  </w:style>
  <w:style w:type="numbering" w:customStyle="1" w:styleId="NoList2">
    <w:name w:val="No List2"/>
    <w:next w:val="NoList"/>
    <w:uiPriority w:val="99"/>
    <w:semiHidden/>
    <w:unhideWhenUsed/>
  </w:style>
  <w:style w:type="numbering" w:customStyle="1" w:styleId="NoList111">
    <w:name w:val="No List111"/>
    <w:next w:val="NoList"/>
    <w:uiPriority w:val="99"/>
    <w:semiHidden/>
    <w:unhideWhenUsed/>
  </w:style>
  <w:style w:type="paragraph" w:customStyle="1" w:styleId="xl444">
    <w:name w:val="xl444"/>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5">
    <w:name w:val="xl445"/>
    <w:basedOn w:val="Normal"/>
    <w:uiPriority w:val="99"/>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46">
    <w:name w:val="xl44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47">
    <w:name w:val="xl44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448">
    <w:name w:val="xl448"/>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9">
    <w:name w:val="xl449"/>
    <w:basedOn w:val="Normal"/>
    <w:uiPriority w:val="99"/>
    <w:pPr>
      <w:pBdr>
        <w:bottom w:val="single" w:sz="8" w:space="0" w:color="000000"/>
      </w:pBdr>
      <w:spacing w:before="100" w:beforeAutospacing="1" w:after="100" w:afterAutospacing="1"/>
      <w:jc w:val="right"/>
    </w:pPr>
    <w:rPr>
      <w:rFonts w:eastAsia="Times New Roman"/>
      <w:i/>
      <w:iCs/>
      <w:color w:val="000000"/>
      <w:sz w:val="18"/>
      <w:szCs w:val="18"/>
      <w:lang w:eastAsia="en-GB"/>
    </w:rPr>
  </w:style>
  <w:style w:type="paragraph" w:customStyle="1" w:styleId="xl450">
    <w:name w:val="xl450"/>
    <w:basedOn w:val="Normal"/>
    <w:uiPriority w:val="99"/>
    <w:pPr>
      <w:pBdr>
        <w:bottom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451">
    <w:name w:val="xl451"/>
    <w:basedOn w:val="Normal"/>
    <w:uiPriority w:val="99"/>
    <w:pPr>
      <w:pBdr>
        <w:top w:val="single" w:sz="8" w:space="0" w:color="000000"/>
      </w:pBdr>
      <w:spacing w:before="100" w:beforeAutospacing="1" w:after="100" w:afterAutospacing="1"/>
      <w:jc w:val="left"/>
    </w:pPr>
    <w:rPr>
      <w:rFonts w:eastAsia="Times New Roman"/>
      <w:sz w:val="18"/>
      <w:szCs w:val="18"/>
      <w:lang w:eastAsia="en-GB"/>
    </w:rPr>
  </w:style>
  <w:style w:type="paragraph" w:customStyle="1" w:styleId="xl452">
    <w:name w:val="xl452"/>
    <w:basedOn w:val="Normal"/>
    <w:uiPriority w:val="99"/>
    <w:pPr>
      <w:pBdr>
        <w:top w:val="single" w:sz="8" w:space="0" w:color="000000"/>
      </w:pBdr>
      <w:spacing w:before="100" w:beforeAutospacing="1" w:after="100" w:afterAutospacing="1"/>
      <w:jc w:val="right"/>
    </w:pPr>
    <w:rPr>
      <w:rFonts w:eastAsia="Times New Roman"/>
      <w:sz w:val="18"/>
      <w:szCs w:val="18"/>
      <w:lang w:eastAsia="en-GB"/>
    </w:rPr>
  </w:style>
  <w:style w:type="paragraph" w:customStyle="1" w:styleId="xl453">
    <w:name w:val="xl453"/>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454">
    <w:name w:val="xl454"/>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455">
    <w:name w:val="xl455"/>
    <w:basedOn w:val="Normal"/>
    <w:uiPriority w:val="99"/>
    <w:pPr>
      <w:pBdr>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456">
    <w:name w:val="xl456"/>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457">
    <w:name w:val="xl457"/>
    <w:basedOn w:val="Normal"/>
    <w:uiPriority w:val="99"/>
    <w:pPr>
      <w:pBdr>
        <w:bottom w:val="single" w:sz="8" w:space="0" w:color="auto"/>
        <w:righ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58">
    <w:name w:val="xl458"/>
    <w:basedOn w:val="Normal"/>
    <w:uiPriority w:val="99"/>
    <w:pPr>
      <w:spacing w:before="100" w:beforeAutospacing="1" w:after="100" w:afterAutospacing="1"/>
      <w:jc w:val="right"/>
    </w:pPr>
    <w:rPr>
      <w:rFonts w:eastAsia="Times New Roman"/>
      <w:sz w:val="18"/>
      <w:szCs w:val="18"/>
      <w:lang w:eastAsia="en-GB"/>
    </w:rPr>
  </w:style>
  <w:style w:type="paragraph" w:customStyle="1" w:styleId="xl459">
    <w:name w:val="xl459"/>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60">
    <w:name w:val="xl460"/>
    <w:basedOn w:val="Normal"/>
    <w:uiPriority w:val="99"/>
    <w:pPr>
      <w:spacing w:before="100" w:beforeAutospacing="1" w:after="100" w:afterAutospacing="1"/>
      <w:jc w:val="left"/>
    </w:pPr>
    <w:rPr>
      <w:rFonts w:eastAsia="Times New Roman"/>
      <w:sz w:val="18"/>
      <w:szCs w:val="18"/>
      <w:lang w:eastAsia="en-GB"/>
    </w:rPr>
  </w:style>
  <w:style w:type="paragraph" w:customStyle="1" w:styleId="xl461">
    <w:name w:val="xl461"/>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462">
    <w:name w:val="xl462"/>
    <w:basedOn w:val="Normal"/>
    <w:uiPriority w:val="99"/>
    <w:pPr>
      <w:spacing w:before="100" w:beforeAutospacing="1" w:after="100" w:afterAutospacing="1"/>
      <w:jc w:val="right"/>
    </w:pPr>
    <w:rPr>
      <w:rFonts w:ascii="Calibri" w:eastAsia="Times New Roman" w:hAnsi="Calibri"/>
      <w:sz w:val="18"/>
      <w:szCs w:val="18"/>
      <w:lang w:eastAsia="en-GB"/>
    </w:rPr>
  </w:style>
  <w:style w:type="paragraph" w:customStyle="1" w:styleId="xl463">
    <w:name w:val="xl463"/>
    <w:basedOn w:val="Normal"/>
    <w:uiPriority w:val="99"/>
    <w:pPr>
      <w:pBdr>
        <w:top w:val="single" w:sz="8" w:space="0" w:color="000000"/>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4">
    <w:name w:val="xl464"/>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65">
    <w:name w:val="xl465"/>
    <w:basedOn w:val="Normal"/>
    <w:uiPriority w:val="99"/>
    <w:pPr>
      <w:pBdr>
        <w:left w:val="single" w:sz="8" w:space="0" w:color="000000"/>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6">
    <w:name w:val="xl46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67">
    <w:name w:val="xl467"/>
    <w:basedOn w:val="Normal"/>
    <w:uiPriority w:val="99"/>
    <w:pPr>
      <w:spacing w:before="100" w:beforeAutospacing="1" w:after="100" w:afterAutospacing="1"/>
      <w:jc w:val="left"/>
    </w:pPr>
    <w:rPr>
      <w:rFonts w:eastAsia="Times New Roman"/>
      <w:sz w:val="18"/>
      <w:szCs w:val="18"/>
      <w:lang w:eastAsia="en-GB"/>
    </w:rPr>
  </w:style>
  <w:style w:type="paragraph" w:customStyle="1" w:styleId="xl468">
    <w:name w:val="xl468"/>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69">
    <w:name w:val="xl469"/>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70">
    <w:name w:val="xl470"/>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71">
    <w:name w:val="xl471"/>
    <w:basedOn w:val="Normal"/>
    <w:uiPriority w:val="99"/>
    <w:pPr>
      <w:spacing w:before="100" w:beforeAutospacing="1" w:after="100" w:afterAutospacing="1"/>
      <w:jc w:val="right"/>
    </w:pPr>
    <w:rPr>
      <w:rFonts w:ascii="Calibri" w:eastAsia="Times New Roman" w:hAnsi="Calibri"/>
      <w:color w:val="000000"/>
      <w:sz w:val="16"/>
      <w:szCs w:val="16"/>
      <w:lang w:eastAsia="en-GB"/>
    </w:rPr>
  </w:style>
  <w:style w:type="paragraph" w:customStyle="1" w:styleId="xl472">
    <w:name w:val="xl47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73">
    <w:name w:val="xl473"/>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74">
    <w:name w:val="xl474"/>
    <w:basedOn w:val="Normal"/>
    <w:uiPriority w:val="99"/>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475">
    <w:name w:val="xl475"/>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76">
    <w:name w:val="xl476"/>
    <w:basedOn w:val="Normal"/>
    <w:uiPriority w:val="99"/>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477">
    <w:name w:val="xl477"/>
    <w:basedOn w:val="Normal"/>
    <w:uiPriority w:val="99"/>
    <w:pPr>
      <w:pBdr>
        <w:top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478">
    <w:name w:val="xl478"/>
    <w:basedOn w:val="Normal"/>
    <w:uiPriority w:val="99"/>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79">
    <w:name w:val="xl479"/>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0">
    <w:name w:val="xl480"/>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1">
    <w:name w:val="xl481"/>
    <w:basedOn w:val="Normal"/>
    <w:uiPriority w:val="99"/>
    <w:pPr>
      <w:spacing w:before="100" w:beforeAutospacing="1" w:after="100" w:afterAutospacing="1"/>
      <w:jc w:val="left"/>
    </w:pPr>
    <w:rPr>
      <w:rFonts w:eastAsia="Times New Roman"/>
      <w:b/>
      <w:bCs/>
      <w:sz w:val="18"/>
      <w:szCs w:val="18"/>
      <w:lang w:eastAsia="en-GB"/>
    </w:rPr>
  </w:style>
  <w:style w:type="paragraph" w:customStyle="1" w:styleId="xl482">
    <w:name w:val="xl4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83">
    <w:name w:val="xl4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4"/>
      <w:szCs w:val="14"/>
      <w:lang w:eastAsia="en-GB"/>
    </w:rPr>
  </w:style>
  <w:style w:type="paragraph" w:customStyle="1" w:styleId="xl484">
    <w:name w:val="xl4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5">
    <w:name w:val="xl48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6">
    <w:name w:val="xl4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7">
    <w:name w:val="xl48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14"/>
      <w:szCs w:val="14"/>
      <w:lang w:eastAsia="en-GB"/>
    </w:rPr>
  </w:style>
  <w:style w:type="paragraph" w:customStyle="1" w:styleId="xl488">
    <w:name w:val="xl48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9">
    <w:name w:val="xl48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90">
    <w:name w:val="xl49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4"/>
      <w:szCs w:val="14"/>
      <w:lang w:eastAsia="en-GB"/>
    </w:rPr>
  </w:style>
  <w:style w:type="paragraph" w:customStyle="1" w:styleId="xl491">
    <w:name w:val="xl49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4"/>
      <w:szCs w:val="14"/>
      <w:lang w:eastAsia="en-GB"/>
    </w:rPr>
  </w:style>
  <w:style w:type="paragraph" w:customStyle="1" w:styleId="xl492">
    <w:name w:val="xl492"/>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3">
    <w:name w:val="xl493"/>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494">
    <w:name w:val="xl494"/>
    <w:basedOn w:val="Normal"/>
    <w:uiPriority w:val="99"/>
    <w:pPr>
      <w:pBdr>
        <w:top w:val="single" w:sz="8" w:space="0" w:color="000000"/>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95">
    <w:name w:val="xl495"/>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6">
    <w:name w:val="xl49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497">
    <w:name w:val="xl497"/>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498">
    <w:name w:val="xl498"/>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99">
    <w:name w:val="xl499"/>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500">
    <w:name w:val="xl500"/>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01">
    <w:name w:val="xl501"/>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02">
    <w:name w:val="xl502"/>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03">
    <w:name w:val="xl503"/>
    <w:basedOn w:val="Normal"/>
    <w:uiPriority w:val="99"/>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04">
    <w:name w:val="xl504"/>
    <w:basedOn w:val="Normal"/>
    <w:uiPriority w:val="99"/>
    <w:pPr>
      <w:pBdr>
        <w:bottom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05">
    <w:name w:val="xl505"/>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06">
    <w:name w:val="xl506"/>
    <w:basedOn w:val="Normal"/>
    <w:uiPriority w:val="99"/>
    <w:pPr>
      <w:spacing w:before="100" w:beforeAutospacing="1" w:after="100" w:afterAutospacing="1"/>
      <w:jc w:val="right"/>
    </w:pPr>
    <w:rPr>
      <w:rFonts w:eastAsia="Times New Roman"/>
      <w:i/>
      <w:iCs/>
      <w:color w:val="000000"/>
      <w:sz w:val="18"/>
      <w:szCs w:val="18"/>
      <w:lang w:eastAsia="en-GB"/>
    </w:rPr>
  </w:style>
  <w:style w:type="paragraph" w:customStyle="1" w:styleId="xl507">
    <w:name w:val="xl507"/>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08">
    <w:name w:val="xl508"/>
    <w:basedOn w:val="Normal"/>
    <w:uiPriority w:val="99"/>
    <w:pPr>
      <w:pBdr>
        <w:bottom w:val="single" w:sz="8" w:space="0" w:color="auto"/>
      </w:pBdr>
      <w:spacing w:before="100" w:beforeAutospacing="1" w:after="100" w:afterAutospacing="1"/>
      <w:jc w:val="right"/>
    </w:pPr>
    <w:rPr>
      <w:rFonts w:eastAsia="Times New Roman"/>
      <w:i/>
      <w:iCs/>
      <w:color w:val="000000"/>
      <w:sz w:val="18"/>
      <w:szCs w:val="18"/>
      <w:lang w:eastAsia="en-GB"/>
    </w:rPr>
  </w:style>
  <w:style w:type="paragraph" w:customStyle="1" w:styleId="xl509">
    <w:name w:val="xl50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0">
    <w:name w:val="xl510"/>
    <w:basedOn w:val="Normal"/>
    <w:uiPriority w:val="99"/>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1">
    <w:name w:val="xl511"/>
    <w:basedOn w:val="Normal"/>
    <w:uiPriority w:val="99"/>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2">
    <w:name w:val="xl512"/>
    <w:basedOn w:val="Normal"/>
    <w:uiPriority w:val="99"/>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3">
    <w:name w:val="xl513"/>
    <w:basedOn w:val="Normal"/>
    <w:uiPriority w:val="99"/>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4">
    <w:name w:val="xl514"/>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5">
    <w:name w:val="xl515"/>
    <w:basedOn w:val="Normal"/>
    <w:uiPriority w:val="99"/>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6">
    <w:name w:val="xl516"/>
    <w:basedOn w:val="Normal"/>
    <w:uiPriority w:val="99"/>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7">
    <w:name w:val="xl5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18">
    <w:name w:val="xl518"/>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
    <w:name w:val="xl519"/>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
    <w:name w:val="xl520"/>
    <w:basedOn w:val="Normal"/>
    <w:uiPriority w:val="99"/>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1">
    <w:name w:val="xl521"/>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2">
    <w:name w:val="xl52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3">
    <w:name w:val="xl523"/>
    <w:basedOn w:val="Normal"/>
    <w:uiPriority w:val="99"/>
    <w:pPr>
      <w:spacing w:before="100" w:beforeAutospacing="1" w:after="100" w:afterAutospacing="1"/>
      <w:jc w:val="right"/>
    </w:pPr>
    <w:rPr>
      <w:rFonts w:eastAsia="Times New Roman"/>
      <w:sz w:val="18"/>
      <w:szCs w:val="18"/>
      <w:lang w:eastAsia="en-GB"/>
    </w:rPr>
  </w:style>
  <w:style w:type="paragraph" w:customStyle="1" w:styleId="xl524">
    <w:name w:val="xl524"/>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5">
    <w:name w:val="xl52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26">
    <w:name w:val="xl526"/>
    <w:basedOn w:val="Normal"/>
    <w:uiPriority w:val="99"/>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7">
    <w:name w:val="xl52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28">
    <w:name w:val="xl528"/>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9">
    <w:name w:val="xl529"/>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30">
    <w:name w:val="xl530"/>
    <w:basedOn w:val="Normal"/>
    <w:uiPriority w:val="99"/>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31">
    <w:name w:val="xl531"/>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32">
    <w:name w:val="xl53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33">
    <w:name w:val="xl533"/>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34">
    <w:name w:val="xl53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35">
    <w:name w:val="xl535"/>
    <w:basedOn w:val="Normal"/>
    <w:uiPriority w:val="99"/>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36">
    <w:name w:val="xl536"/>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37">
    <w:name w:val="xl537"/>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38">
    <w:name w:val="xl538"/>
    <w:basedOn w:val="Normal"/>
    <w:uiPriority w:val="99"/>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39">
    <w:name w:val="xl539"/>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40">
    <w:name w:val="xl540"/>
    <w:basedOn w:val="Normal"/>
    <w:uiPriority w:val="99"/>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41">
    <w:name w:val="xl54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42">
    <w:name w:val="xl54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43">
    <w:name w:val="xl54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4">
    <w:name w:val="xl54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5">
    <w:name w:val="xl54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46">
    <w:name w:val="xl546"/>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47">
    <w:name w:val="xl54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48">
    <w:name w:val="xl54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49">
    <w:name w:val="xl5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0">
    <w:name w:val="xl5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1">
    <w:name w:val="xl551"/>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2">
    <w:name w:val="xl55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53">
    <w:name w:val="xl553"/>
    <w:basedOn w:val="Normal"/>
    <w:uiPriority w:val="99"/>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54">
    <w:name w:val="xl554"/>
    <w:basedOn w:val="Normal"/>
    <w:uiPriority w:val="99"/>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55">
    <w:name w:val="xl555"/>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6">
    <w:name w:val="xl556"/>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7">
    <w:name w:val="xl557"/>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8">
    <w:name w:val="xl558"/>
    <w:basedOn w:val="Normal"/>
    <w:uiPriority w:val="99"/>
    <w:pPr>
      <w:spacing w:before="100" w:beforeAutospacing="1" w:after="100" w:afterAutospacing="1"/>
      <w:jc w:val="left"/>
    </w:pPr>
    <w:rPr>
      <w:rFonts w:ascii="Calibri" w:eastAsia="Times New Roman" w:hAnsi="Calibri"/>
      <w:b/>
      <w:bCs/>
      <w:sz w:val="12"/>
      <w:szCs w:val="12"/>
      <w:lang w:eastAsia="en-GB"/>
    </w:rPr>
  </w:style>
  <w:style w:type="paragraph" w:customStyle="1" w:styleId="xl559">
    <w:name w:val="xl559"/>
    <w:basedOn w:val="Normal"/>
    <w:uiPriority w:val="99"/>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0">
    <w:name w:val="xl560"/>
    <w:basedOn w:val="Normal"/>
    <w:uiPriority w:val="99"/>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1">
    <w:name w:val="xl561"/>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2">
    <w:name w:val="xl562"/>
    <w:basedOn w:val="Normal"/>
    <w:uiPriority w:val="99"/>
    <w:pPr>
      <w:spacing w:before="100" w:beforeAutospacing="1" w:after="100" w:afterAutospacing="1"/>
      <w:jc w:val="center"/>
    </w:pPr>
    <w:rPr>
      <w:rFonts w:eastAsia="Times New Roman"/>
      <w:color w:val="000000"/>
      <w:sz w:val="12"/>
      <w:szCs w:val="12"/>
      <w:lang w:eastAsia="en-GB"/>
    </w:rPr>
  </w:style>
  <w:style w:type="paragraph" w:customStyle="1" w:styleId="xl563">
    <w:name w:val="xl563"/>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64">
    <w:name w:val="xl564"/>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5">
    <w:name w:val="xl565"/>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6">
    <w:name w:val="xl566"/>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7">
    <w:name w:val="xl567"/>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8">
    <w:name w:val="xl568"/>
    <w:basedOn w:val="Normal"/>
    <w:uiPriority w:val="99"/>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69">
    <w:name w:val="xl569"/>
    <w:basedOn w:val="Normal"/>
    <w:uiPriority w:val="99"/>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70">
    <w:name w:val="xl570"/>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71">
    <w:name w:val="xl57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72">
    <w:name w:val="xl57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73">
    <w:name w:val="xl573"/>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4">
    <w:name w:val="xl574"/>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5">
    <w:name w:val="xl575"/>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576">
    <w:name w:val="xl57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77">
    <w:name w:val="xl577"/>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78">
    <w:name w:val="xl578"/>
    <w:basedOn w:val="Normal"/>
    <w:uiPriority w:val="99"/>
    <w:pPr>
      <w:spacing w:before="100" w:beforeAutospacing="1" w:after="100" w:afterAutospacing="1"/>
      <w:jc w:val="right"/>
    </w:pPr>
    <w:rPr>
      <w:rFonts w:eastAsia="Times New Roman"/>
      <w:sz w:val="18"/>
      <w:szCs w:val="18"/>
      <w:lang w:eastAsia="en-GB"/>
    </w:rPr>
  </w:style>
  <w:style w:type="paragraph" w:customStyle="1" w:styleId="xl579">
    <w:name w:val="xl57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80">
    <w:name w:val="xl58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81">
    <w:name w:val="xl581"/>
    <w:basedOn w:val="Normal"/>
    <w:uiPriority w:val="99"/>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82">
    <w:name w:val="xl582"/>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83">
    <w:name w:val="xl583"/>
    <w:basedOn w:val="Normal"/>
    <w:uiPriority w:val="99"/>
    <w:pPr>
      <w:spacing w:before="100" w:beforeAutospacing="1" w:after="100" w:afterAutospacing="1"/>
      <w:jc w:val="right"/>
    </w:pPr>
    <w:rPr>
      <w:rFonts w:eastAsia="Times New Roman"/>
      <w:sz w:val="18"/>
      <w:szCs w:val="18"/>
      <w:lang w:eastAsia="en-GB"/>
    </w:rPr>
  </w:style>
  <w:style w:type="paragraph" w:customStyle="1" w:styleId="xl584">
    <w:name w:val="xl58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85">
    <w:name w:val="xl585"/>
    <w:basedOn w:val="Normal"/>
    <w:uiPriority w:val="99"/>
    <w:pPr>
      <w:spacing w:before="100" w:beforeAutospacing="1" w:after="100" w:afterAutospacing="1"/>
      <w:jc w:val="left"/>
    </w:pPr>
    <w:rPr>
      <w:rFonts w:eastAsia="Times New Roman"/>
      <w:sz w:val="18"/>
      <w:szCs w:val="18"/>
      <w:lang w:eastAsia="en-GB"/>
    </w:rPr>
  </w:style>
  <w:style w:type="paragraph" w:customStyle="1" w:styleId="xl586">
    <w:name w:val="xl58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87">
    <w:name w:val="xl587"/>
    <w:basedOn w:val="Normal"/>
    <w:uiPriority w:val="99"/>
    <w:pPr>
      <w:spacing w:before="100" w:beforeAutospacing="1" w:after="100" w:afterAutospacing="1"/>
      <w:jc w:val="left"/>
    </w:pPr>
    <w:rPr>
      <w:rFonts w:eastAsia="Times New Roman"/>
      <w:i/>
      <w:iCs/>
      <w:color w:val="000000"/>
      <w:sz w:val="18"/>
      <w:szCs w:val="18"/>
      <w:lang w:eastAsia="en-GB"/>
    </w:rPr>
  </w:style>
  <w:style w:type="paragraph" w:customStyle="1" w:styleId="xl588">
    <w:name w:val="xl588"/>
    <w:basedOn w:val="Normal"/>
    <w:uiPriority w:val="99"/>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89">
    <w:name w:val="xl589"/>
    <w:basedOn w:val="Normal"/>
    <w:uiPriority w:val="99"/>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0">
    <w:name w:val="xl590"/>
    <w:basedOn w:val="Normal"/>
    <w:uiPriority w:val="99"/>
    <w:pPr>
      <w:spacing w:before="100" w:beforeAutospacing="1" w:after="100" w:afterAutospacing="1"/>
      <w:jc w:val="right"/>
    </w:pPr>
    <w:rPr>
      <w:rFonts w:eastAsia="Times New Roman"/>
      <w:color w:val="000000"/>
      <w:sz w:val="12"/>
      <w:szCs w:val="12"/>
      <w:lang w:eastAsia="en-GB"/>
    </w:rPr>
  </w:style>
  <w:style w:type="paragraph" w:customStyle="1" w:styleId="xl591">
    <w:name w:val="xl591"/>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2">
    <w:name w:val="xl592"/>
    <w:basedOn w:val="Normal"/>
    <w:uiPriority w:val="99"/>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3">
    <w:name w:val="xl593"/>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4">
    <w:name w:val="xl59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95">
    <w:name w:val="xl595"/>
    <w:basedOn w:val="Normal"/>
    <w:uiPriority w:val="99"/>
    <w:pPr>
      <w:spacing w:before="100" w:beforeAutospacing="1" w:after="100" w:afterAutospacing="1"/>
      <w:jc w:val="right"/>
    </w:pPr>
    <w:rPr>
      <w:rFonts w:eastAsia="Times New Roman"/>
      <w:sz w:val="18"/>
      <w:szCs w:val="18"/>
      <w:lang w:eastAsia="en-GB"/>
    </w:rPr>
  </w:style>
  <w:style w:type="paragraph" w:customStyle="1" w:styleId="xl596">
    <w:name w:val="xl59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97">
    <w:name w:val="xl59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98">
    <w:name w:val="xl59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9">
    <w:name w:val="xl5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600">
    <w:name w:val="xl600"/>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1">
    <w:name w:val="xl601"/>
    <w:basedOn w:val="Normal"/>
    <w:uiPriority w:val="99"/>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602">
    <w:name w:val="xl602"/>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3">
    <w:name w:val="xl603"/>
    <w:basedOn w:val="Normal"/>
    <w:uiPriority w:val="99"/>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4">
    <w:name w:val="xl604"/>
    <w:basedOn w:val="Normal"/>
    <w:uiPriority w:val="99"/>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5">
    <w:name w:val="xl605"/>
    <w:basedOn w:val="Normal"/>
    <w:uiPriority w:val="99"/>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6">
    <w:name w:val="xl606"/>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607">
    <w:name w:val="xl607"/>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8">
    <w:name w:val="xl608"/>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9">
    <w:name w:val="xl609"/>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0">
    <w:name w:val="xl610"/>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1">
    <w:name w:val="xl611"/>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612">
    <w:name w:val="xl612"/>
    <w:basedOn w:val="Normal"/>
    <w:uiPriority w:val="99"/>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613">
    <w:name w:val="xl613"/>
    <w:basedOn w:val="Normal"/>
    <w:uiPriority w:val="99"/>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614">
    <w:name w:val="xl61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15">
    <w:name w:val="xl615"/>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6">
    <w:name w:val="xl61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7">
    <w:name w:val="xl6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18">
    <w:name w:val="xl618"/>
    <w:basedOn w:val="Normal"/>
    <w:uiPriority w:val="99"/>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619">
    <w:name w:val="xl61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0">
    <w:name w:val="xl620"/>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1">
    <w:name w:val="xl62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22">
    <w:name w:val="xl622"/>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23">
    <w:name w:val="xl623"/>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4">
    <w:name w:val="xl624"/>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5">
    <w:name w:val="xl625"/>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6">
    <w:name w:val="xl626"/>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7">
    <w:name w:val="xl627"/>
    <w:basedOn w:val="Normal"/>
    <w:uiPriority w:val="99"/>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628">
    <w:name w:val="xl628"/>
    <w:basedOn w:val="Normal"/>
    <w:uiPriority w:val="99"/>
    <w:pPr>
      <w:spacing w:before="100" w:beforeAutospacing="1" w:after="100" w:afterAutospacing="1"/>
      <w:jc w:val="left"/>
    </w:pPr>
    <w:rPr>
      <w:rFonts w:eastAsia="Times New Roman"/>
      <w:sz w:val="18"/>
      <w:szCs w:val="18"/>
      <w:lang w:eastAsia="en-GB"/>
    </w:rPr>
  </w:style>
  <w:style w:type="paragraph" w:customStyle="1" w:styleId="xl629">
    <w:name w:val="xl62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30">
    <w:name w:val="xl630"/>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631">
    <w:name w:val="xl631"/>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32">
    <w:name w:val="xl63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3">
    <w:name w:val="xl633"/>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4">
    <w:name w:val="xl634"/>
    <w:basedOn w:val="Normal"/>
    <w:uiPriority w:val="99"/>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5">
    <w:name w:val="xl635"/>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6">
    <w:name w:val="xl636"/>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7">
    <w:name w:val="xl637"/>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8">
    <w:name w:val="xl638"/>
    <w:basedOn w:val="Normal"/>
    <w:uiPriority w:val="99"/>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9">
    <w:name w:val="xl639"/>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40">
    <w:name w:val="xl640"/>
    <w:basedOn w:val="Normal"/>
    <w:uiPriority w:val="99"/>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41">
    <w:name w:val="xl641"/>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42">
    <w:name w:val="xl64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3">
    <w:name w:val="xl643"/>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4">
    <w:name w:val="xl644"/>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45">
    <w:name w:val="xl645"/>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46">
    <w:name w:val="xl646"/>
    <w:basedOn w:val="Normal"/>
    <w:uiPriority w:val="99"/>
    <w:pPr>
      <w:pBdr>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7">
    <w:name w:val="xl647"/>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8">
    <w:name w:val="xl648"/>
    <w:basedOn w:val="Normal"/>
    <w:uiPriority w:val="99"/>
    <w:pPr>
      <w:pBdr>
        <w:left w:val="single" w:sz="4" w:space="0" w:color="auto"/>
        <w:right w:val="single" w:sz="4" w:space="0" w:color="auto"/>
      </w:pBdr>
      <w:spacing w:before="100" w:beforeAutospacing="1" w:after="100" w:afterAutospacing="1"/>
      <w:jc w:val="right"/>
    </w:pPr>
    <w:rPr>
      <w:rFonts w:eastAsia="Times New Roman"/>
      <w:szCs w:val="24"/>
      <w:lang w:eastAsia="en-GB"/>
    </w:rPr>
  </w:style>
  <w:style w:type="paragraph" w:customStyle="1" w:styleId="xl649">
    <w:name w:val="xl64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0">
    <w:name w:val="xl650"/>
    <w:basedOn w:val="Normal"/>
    <w:uiPriority w:val="99"/>
    <w:pPr>
      <w:pBdr>
        <w:top w:val="single" w:sz="8" w:space="0" w:color="auto"/>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1">
    <w:name w:val="xl651"/>
    <w:basedOn w:val="Normal"/>
    <w:uiPriority w:val="99"/>
    <w:pPr>
      <w:pBdr>
        <w:left w:val="single" w:sz="4"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52">
    <w:name w:val="xl652"/>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3">
    <w:name w:val="xl653"/>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54">
    <w:name w:val="xl65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55">
    <w:name w:val="xl655"/>
    <w:basedOn w:val="Normal"/>
    <w:uiPriority w:val="99"/>
    <w:pPr>
      <w:pBdr>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6">
    <w:name w:val="xl656"/>
    <w:basedOn w:val="Normal"/>
    <w:uiPriority w:val="99"/>
    <w:pPr>
      <w:pBdr>
        <w:left w:val="single" w:sz="4" w:space="0" w:color="auto"/>
        <w:bottom w:val="single" w:sz="8" w:space="0" w:color="auto"/>
      </w:pBdr>
      <w:shd w:val="clear" w:color="auto" w:fill="FFFF00"/>
      <w:spacing w:before="100" w:beforeAutospacing="1" w:after="100" w:afterAutospacing="1"/>
      <w:jc w:val="left"/>
    </w:pPr>
    <w:rPr>
      <w:rFonts w:eastAsia="Times New Roman"/>
      <w:color w:val="000000"/>
      <w:sz w:val="18"/>
      <w:szCs w:val="18"/>
      <w:lang w:eastAsia="en-GB"/>
    </w:rPr>
  </w:style>
  <w:style w:type="paragraph" w:customStyle="1" w:styleId="xl657">
    <w:name w:val="xl657"/>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8">
    <w:name w:val="xl658"/>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9">
    <w:name w:val="xl659"/>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60">
    <w:name w:val="xl660"/>
    <w:basedOn w:val="Normal"/>
    <w:uiPriority w:val="99"/>
    <w:pPr>
      <w:pBdr>
        <w:top w:val="single" w:sz="8" w:space="0" w:color="000000"/>
        <w:left w:val="single" w:sz="4" w:space="0" w:color="auto"/>
      </w:pBdr>
      <w:spacing w:before="100" w:beforeAutospacing="1" w:after="100" w:afterAutospacing="1"/>
      <w:jc w:val="left"/>
    </w:pPr>
    <w:rPr>
      <w:rFonts w:eastAsia="Times New Roman"/>
      <w:sz w:val="18"/>
      <w:szCs w:val="18"/>
      <w:lang w:eastAsia="en-GB"/>
    </w:rPr>
  </w:style>
  <w:style w:type="paragraph" w:customStyle="1" w:styleId="xl661">
    <w:name w:val="xl661"/>
    <w:basedOn w:val="Normal"/>
    <w:uiPriority w:val="99"/>
    <w:pPr>
      <w:pBdr>
        <w:left w:val="single" w:sz="4" w:space="0" w:color="auto"/>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662">
    <w:name w:val="xl662"/>
    <w:basedOn w:val="Normal"/>
    <w:uiPriority w:val="99"/>
    <w:pPr>
      <w:pBdr>
        <w:top w:val="single" w:sz="8" w:space="0" w:color="000000"/>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3">
    <w:name w:val="xl663"/>
    <w:basedOn w:val="Normal"/>
    <w:uiPriority w:val="99"/>
    <w:pPr>
      <w:pBdr>
        <w:left w:val="single" w:sz="4" w:space="0" w:color="auto"/>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64">
    <w:name w:val="xl664"/>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65">
    <w:name w:val="xl665"/>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66">
    <w:name w:val="xl666"/>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67">
    <w:name w:val="xl667"/>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8">
    <w:name w:val="xl668"/>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9">
    <w:name w:val="xl66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0">
    <w:name w:val="xl670"/>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1">
    <w:name w:val="xl671"/>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72">
    <w:name w:val="xl672"/>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73">
    <w:name w:val="xl673"/>
    <w:basedOn w:val="Normal"/>
    <w:uiPriority w:val="99"/>
    <w:pPr>
      <w:pBdr>
        <w:top w:val="single" w:sz="8"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74">
    <w:name w:val="xl67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75">
    <w:name w:val="xl675"/>
    <w:basedOn w:val="Normal"/>
    <w:uiPriority w:val="99"/>
    <w:pPr>
      <w:pBdr>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DESignature">
    <w:name w:val="DE Signature"/>
    <w:basedOn w:val="Normal"/>
    <w:next w:val="Normal"/>
    <w:uiPriority w:val="99"/>
    <w:pPr>
      <w:tabs>
        <w:tab w:val="center" w:pos="5953"/>
      </w:tabs>
      <w:spacing w:before="720" w:line="360" w:lineRule="auto"/>
      <w:jc w:val="left"/>
    </w:pPr>
  </w:style>
  <w:style w:type="paragraph" w:customStyle="1" w:styleId="xl51867">
    <w:name w:val="xl5186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8">
    <w:name w:val="xl5186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9">
    <w:name w:val="xl5186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0">
    <w:name w:val="xl51870"/>
    <w:basedOn w:val="Normal"/>
    <w:pPr>
      <w:spacing w:before="100" w:beforeAutospacing="1" w:after="100" w:afterAutospacing="1"/>
      <w:jc w:val="left"/>
    </w:pPr>
    <w:rPr>
      <w:rFonts w:eastAsia="Times New Roman"/>
      <w:color w:val="000000"/>
      <w:sz w:val="18"/>
      <w:szCs w:val="18"/>
      <w:lang w:eastAsia="en-GB"/>
    </w:rPr>
  </w:style>
  <w:style w:type="paragraph" w:customStyle="1" w:styleId="xl51871">
    <w:name w:val="xl51871"/>
    <w:basedOn w:val="Normal"/>
    <w:pPr>
      <w:spacing w:before="100" w:beforeAutospacing="1" w:after="100" w:afterAutospacing="1"/>
      <w:jc w:val="left"/>
    </w:pPr>
    <w:rPr>
      <w:rFonts w:eastAsia="Times New Roman"/>
      <w:sz w:val="18"/>
      <w:szCs w:val="18"/>
      <w:lang w:eastAsia="en-GB"/>
    </w:rPr>
  </w:style>
  <w:style w:type="paragraph" w:customStyle="1" w:styleId="xl51872">
    <w:name w:val="xl51872"/>
    <w:basedOn w:val="Normal"/>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1873">
    <w:name w:val="xl51873"/>
    <w:basedOn w:val="Normal"/>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4">
    <w:name w:val="xl51874"/>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875">
    <w:name w:val="xl51875"/>
    <w:basedOn w:val="Normal"/>
    <w:pPr>
      <w:spacing w:before="100" w:beforeAutospacing="1" w:after="100" w:afterAutospacing="1"/>
      <w:jc w:val="left"/>
    </w:pPr>
    <w:rPr>
      <w:rFonts w:ascii="Calibri" w:eastAsia="Times New Roman" w:hAnsi="Calibri"/>
      <w:color w:val="000000"/>
      <w:sz w:val="18"/>
      <w:szCs w:val="18"/>
      <w:lang w:eastAsia="en-GB"/>
    </w:rPr>
  </w:style>
  <w:style w:type="paragraph" w:customStyle="1" w:styleId="xl51876">
    <w:name w:val="xl5187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7">
    <w:name w:val="xl51877"/>
    <w:basedOn w:val="Normal"/>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8">
    <w:name w:val="xl51878"/>
    <w:basedOn w:val="Normal"/>
    <w:pPr>
      <w:spacing w:before="100" w:beforeAutospacing="1" w:after="100" w:afterAutospacing="1"/>
      <w:jc w:val="left"/>
    </w:pPr>
    <w:rPr>
      <w:rFonts w:eastAsia="Times New Roman"/>
      <w:color w:val="000000"/>
      <w:sz w:val="18"/>
      <w:szCs w:val="18"/>
      <w:lang w:eastAsia="en-GB"/>
    </w:rPr>
  </w:style>
  <w:style w:type="paragraph" w:customStyle="1" w:styleId="xl51879">
    <w:name w:val="xl51879"/>
    <w:basedOn w:val="Normal"/>
    <w:pPr>
      <w:spacing w:before="100" w:beforeAutospacing="1" w:after="100" w:afterAutospacing="1"/>
      <w:jc w:val="left"/>
    </w:pPr>
    <w:rPr>
      <w:rFonts w:eastAsia="Times New Roman"/>
      <w:color w:val="000000"/>
      <w:sz w:val="18"/>
      <w:szCs w:val="18"/>
      <w:lang w:eastAsia="en-GB"/>
    </w:rPr>
  </w:style>
  <w:style w:type="paragraph" w:customStyle="1" w:styleId="xl51880">
    <w:name w:val="xl51880"/>
    <w:basedOn w:val="Normal"/>
    <w:pPr>
      <w:spacing w:before="100" w:beforeAutospacing="1" w:after="100" w:afterAutospacing="1"/>
      <w:jc w:val="left"/>
    </w:pPr>
    <w:rPr>
      <w:rFonts w:eastAsia="Times New Roman"/>
      <w:color w:val="000000"/>
      <w:sz w:val="18"/>
      <w:szCs w:val="18"/>
      <w:lang w:eastAsia="en-GB"/>
    </w:rPr>
  </w:style>
  <w:style w:type="paragraph" w:customStyle="1" w:styleId="xl51881">
    <w:name w:val="xl51881"/>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2">
    <w:name w:val="xl51882"/>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3">
    <w:name w:val="xl51883"/>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4">
    <w:name w:val="xl51884"/>
    <w:basedOn w:val="Normal"/>
    <w:pPr>
      <w:pBdr>
        <w:top w:val="single" w:sz="8" w:space="0" w:color="auto"/>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5">
    <w:name w:val="xl5188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6">
    <w:name w:val="xl5188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7">
    <w:name w:val="xl5188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8">
    <w:name w:val="xl51888"/>
    <w:basedOn w:val="Normal"/>
    <w:pPr>
      <w:pBdr>
        <w:left w:val="single" w:sz="8"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9">
    <w:name w:val="xl51889"/>
    <w:basedOn w:val="Normal"/>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1890">
    <w:name w:val="xl51890"/>
    <w:basedOn w:val="Normal"/>
    <w:pPr>
      <w:spacing w:before="100" w:beforeAutospacing="1" w:after="100" w:afterAutospacing="1"/>
      <w:jc w:val="right"/>
    </w:pPr>
    <w:rPr>
      <w:rFonts w:eastAsia="Times New Roman"/>
      <w:color w:val="000000"/>
      <w:sz w:val="18"/>
      <w:szCs w:val="18"/>
      <w:lang w:eastAsia="en-GB"/>
    </w:rPr>
  </w:style>
  <w:style w:type="paragraph" w:customStyle="1" w:styleId="xl51891">
    <w:name w:val="xl51891"/>
    <w:basedOn w:val="Normal"/>
    <w:pPr>
      <w:spacing w:before="100" w:beforeAutospacing="1" w:after="100" w:afterAutospacing="1"/>
      <w:jc w:val="right"/>
    </w:pPr>
    <w:rPr>
      <w:rFonts w:eastAsia="Times New Roman"/>
      <w:color w:val="000000"/>
      <w:sz w:val="18"/>
      <w:szCs w:val="18"/>
      <w:lang w:eastAsia="en-GB"/>
    </w:rPr>
  </w:style>
  <w:style w:type="paragraph" w:customStyle="1" w:styleId="xl51892">
    <w:name w:val="xl51892"/>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3">
    <w:name w:val="xl51893"/>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894">
    <w:name w:val="xl51894"/>
    <w:basedOn w:val="Normal"/>
    <w:pPr>
      <w:spacing w:before="100" w:beforeAutospacing="1" w:after="100" w:afterAutospacing="1"/>
      <w:jc w:val="left"/>
    </w:pPr>
    <w:rPr>
      <w:rFonts w:eastAsia="Times New Roman"/>
      <w:color w:val="000000"/>
      <w:sz w:val="18"/>
      <w:szCs w:val="18"/>
      <w:lang w:eastAsia="en-GB"/>
    </w:rPr>
  </w:style>
  <w:style w:type="paragraph" w:customStyle="1" w:styleId="xl51895">
    <w:name w:val="xl5189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96">
    <w:name w:val="xl51896"/>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7">
    <w:name w:val="xl51897"/>
    <w:basedOn w:val="Normal"/>
    <w:pPr>
      <w:spacing w:before="100" w:beforeAutospacing="1" w:after="100" w:afterAutospacing="1"/>
      <w:jc w:val="left"/>
    </w:pPr>
    <w:rPr>
      <w:rFonts w:eastAsia="Times New Roman"/>
      <w:sz w:val="18"/>
      <w:szCs w:val="18"/>
      <w:lang w:eastAsia="en-GB"/>
    </w:rPr>
  </w:style>
  <w:style w:type="paragraph" w:customStyle="1" w:styleId="xl51898">
    <w:name w:val="xl51898"/>
    <w:basedOn w:val="Normal"/>
    <w:pPr>
      <w:spacing w:before="100" w:beforeAutospacing="1" w:after="100" w:afterAutospacing="1"/>
      <w:jc w:val="right"/>
    </w:pPr>
    <w:rPr>
      <w:rFonts w:eastAsia="Times New Roman"/>
      <w:sz w:val="18"/>
      <w:szCs w:val="18"/>
      <w:lang w:eastAsia="en-GB"/>
    </w:rPr>
  </w:style>
  <w:style w:type="paragraph" w:customStyle="1" w:styleId="xl51899">
    <w:name w:val="xl5189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00">
    <w:name w:val="xl5190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01">
    <w:name w:val="xl51901"/>
    <w:basedOn w:val="Normal"/>
    <w:pPr>
      <w:spacing w:before="100" w:beforeAutospacing="1" w:after="100" w:afterAutospacing="1"/>
      <w:jc w:val="left"/>
    </w:pPr>
    <w:rPr>
      <w:rFonts w:eastAsia="Times New Roman"/>
      <w:color w:val="FF0000"/>
      <w:sz w:val="18"/>
      <w:szCs w:val="18"/>
      <w:lang w:eastAsia="en-GB"/>
    </w:rPr>
  </w:style>
  <w:style w:type="paragraph" w:customStyle="1" w:styleId="xl51902">
    <w:name w:val="xl51902"/>
    <w:basedOn w:val="Normal"/>
    <w:pPr>
      <w:spacing w:before="100" w:beforeAutospacing="1" w:after="100" w:afterAutospacing="1"/>
      <w:jc w:val="right"/>
    </w:pPr>
    <w:rPr>
      <w:rFonts w:eastAsia="Times New Roman"/>
      <w:color w:val="FF0000"/>
      <w:sz w:val="18"/>
      <w:szCs w:val="18"/>
      <w:lang w:eastAsia="en-GB"/>
    </w:rPr>
  </w:style>
  <w:style w:type="paragraph" w:customStyle="1" w:styleId="xl51903">
    <w:name w:val="xl51903"/>
    <w:basedOn w:val="Normal"/>
    <w:pPr>
      <w:spacing w:before="100" w:beforeAutospacing="1" w:after="100" w:afterAutospacing="1"/>
      <w:jc w:val="left"/>
    </w:pPr>
    <w:rPr>
      <w:rFonts w:eastAsia="Times New Roman"/>
      <w:b/>
      <w:bCs/>
      <w:color w:val="FF0000"/>
      <w:sz w:val="18"/>
      <w:szCs w:val="18"/>
      <w:lang w:eastAsia="en-GB"/>
    </w:rPr>
  </w:style>
  <w:style w:type="paragraph" w:customStyle="1" w:styleId="xl51904">
    <w:name w:val="xl51904"/>
    <w:basedOn w:val="Normal"/>
    <w:pPr>
      <w:spacing w:before="100" w:beforeAutospacing="1" w:after="100" w:afterAutospacing="1"/>
      <w:jc w:val="left"/>
    </w:pPr>
    <w:rPr>
      <w:rFonts w:eastAsia="Times New Roman"/>
      <w:b/>
      <w:bCs/>
      <w:color w:val="000000"/>
      <w:sz w:val="18"/>
      <w:szCs w:val="18"/>
      <w:lang w:eastAsia="en-GB"/>
    </w:rPr>
  </w:style>
  <w:style w:type="paragraph" w:customStyle="1" w:styleId="xl51905">
    <w:name w:val="xl51905"/>
    <w:basedOn w:val="Normal"/>
    <w:pPr>
      <w:spacing w:before="100" w:beforeAutospacing="1" w:after="100" w:afterAutospacing="1"/>
      <w:jc w:val="left"/>
    </w:pPr>
    <w:rPr>
      <w:rFonts w:eastAsia="Times New Roman"/>
      <w:b/>
      <w:bCs/>
      <w:sz w:val="18"/>
      <w:szCs w:val="18"/>
      <w:lang w:eastAsia="en-GB"/>
    </w:rPr>
  </w:style>
  <w:style w:type="paragraph" w:customStyle="1" w:styleId="xl51906">
    <w:name w:val="xl51906"/>
    <w:basedOn w:val="Normal"/>
    <w:pPr>
      <w:spacing w:before="100" w:beforeAutospacing="1" w:after="100" w:afterAutospacing="1"/>
      <w:jc w:val="left"/>
    </w:pPr>
    <w:rPr>
      <w:rFonts w:eastAsia="Times New Roman"/>
      <w:sz w:val="18"/>
      <w:szCs w:val="18"/>
      <w:lang w:eastAsia="en-GB"/>
    </w:rPr>
  </w:style>
  <w:style w:type="paragraph" w:customStyle="1" w:styleId="xl51907">
    <w:name w:val="xl51907"/>
    <w:basedOn w:val="Normal"/>
    <w:pPr>
      <w:spacing w:before="100" w:beforeAutospacing="1" w:after="100" w:afterAutospacing="1"/>
      <w:jc w:val="left"/>
    </w:pPr>
    <w:rPr>
      <w:rFonts w:eastAsia="Times New Roman"/>
      <w:sz w:val="18"/>
      <w:szCs w:val="18"/>
      <w:lang w:eastAsia="en-GB"/>
    </w:rPr>
  </w:style>
  <w:style w:type="paragraph" w:customStyle="1" w:styleId="xl51908">
    <w:name w:val="xl51908"/>
    <w:basedOn w:val="Normal"/>
    <w:pPr>
      <w:spacing w:before="100" w:beforeAutospacing="1" w:after="100" w:afterAutospacing="1"/>
      <w:jc w:val="right"/>
    </w:pPr>
    <w:rPr>
      <w:rFonts w:eastAsia="Times New Roman"/>
      <w:b/>
      <w:bCs/>
      <w:sz w:val="18"/>
      <w:szCs w:val="18"/>
      <w:lang w:eastAsia="en-GB"/>
    </w:rPr>
  </w:style>
  <w:style w:type="paragraph" w:customStyle="1" w:styleId="xl51909">
    <w:name w:val="xl51909"/>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10">
    <w:name w:val="xl51910"/>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11">
    <w:name w:val="xl51911"/>
    <w:basedOn w:val="Normal"/>
    <w:pPr>
      <w:spacing w:before="100" w:beforeAutospacing="1" w:after="100" w:afterAutospacing="1"/>
      <w:jc w:val="right"/>
    </w:pPr>
    <w:rPr>
      <w:rFonts w:eastAsia="Times New Roman"/>
      <w:color w:val="000000"/>
      <w:sz w:val="18"/>
      <w:szCs w:val="18"/>
      <w:lang w:eastAsia="en-GB"/>
    </w:rPr>
  </w:style>
  <w:style w:type="paragraph" w:customStyle="1" w:styleId="xl51912">
    <w:name w:val="xl51912"/>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1913">
    <w:name w:val="xl51913"/>
    <w:basedOn w:val="Normal"/>
    <w:pPr>
      <w:pBdr>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14">
    <w:name w:val="xl51914"/>
    <w:basedOn w:val="Normal"/>
    <w:pPr>
      <w:pBdr>
        <w:bottom w:val="single" w:sz="8" w:space="0" w:color="auto"/>
      </w:pBdr>
      <w:spacing w:before="100" w:beforeAutospacing="1" w:after="100" w:afterAutospacing="1"/>
      <w:jc w:val="left"/>
    </w:pPr>
    <w:rPr>
      <w:rFonts w:eastAsia="Times New Roman"/>
      <w:color w:val="FF0000"/>
      <w:sz w:val="18"/>
      <w:szCs w:val="18"/>
      <w:lang w:eastAsia="en-GB"/>
    </w:rPr>
  </w:style>
  <w:style w:type="paragraph" w:customStyle="1" w:styleId="xl51915">
    <w:name w:val="xl51915"/>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16">
    <w:name w:val="xl51916"/>
    <w:basedOn w:val="Normal"/>
    <w:pPr>
      <w:spacing w:before="100" w:beforeAutospacing="1" w:after="100" w:afterAutospacing="1"/>
      <w:jc w:val="left"/>
    </w:pPr>
    <w:rPr>
      <w:rFonts w:eastAsia="Times New Roman"/>
      <w:color w:val="FF0000"/>
      <w:sz w:val="18"/>
      <w:szCs w:val="18"/>
      <w:lang w:eastAsia="en-GB"/>
    </w:rPr>
  </w:style>
  <w:style w:type="paragraph" w:customStyle="1" w:styleId="xl51917">
    <w:name w:val="xl51917"/>
    <w:basedOn w:val="Normal"/>
    <w:pPr>
      <w:spacing w:before="100" w:beforeAutospacing="1" w:after="100" w:afterAutospacing="1"/>
      <w:jc w:val="left"/>
    </w:pPr>
    <w:rPr>
      <w:rFonts w:eastAsia="Times New Roman"/>
      <w:color w:val="000000"/>
      <w:sz w:val="18"/>
      <w:szCs w:val="18"/>
      <w:lang w:eastAsia="en-GB"/>
    </w:rPr>
  </w:style>
  <w:style w:type="paragraph" w:customStyle="1" w:styleId="xl51918">
    <w:name w:val="xl51918"/>
    <w:basedOn w:val="Normal"/>
    <w:pPr>
      <w:spacing w:before="100" w:beforeAutospacing="1" w:after="100" w:afterAutospacing="1"/>
      <w:jc w:val="left"/>
    </w:pPr>
    <w:rPr>
      <w:rFonts w:eastAsia="Times New Roman"/>
      <w:color w:val="000000"/>
      <w:sz w:val="18"/>
      <w:szCs w:val="18"/>
      <w:lang w:eastAsia="en-GB"/>
    </w:rPr>
  </w:style>
  <w:style w:type="paragraph" w:customStyle="1" w:styleId="xl51919">
    <w:name w:val="xl51919"/>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20">
    <w:name w:val="xl51920"/>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1">
    <w:name w:val="xl51921"/>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2">
    <w:name w:val="xl51922"/>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3">
    <w:name w:val="xl51923"/>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4">
    <w:name w:val="xl5192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5">
    <w:name w:val="xl51925"/>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26">
    <w:name w:val="xl51926"/>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27">
    <w:name w:val="xl51927"/>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28">
    <w:name w:val="xl51928"/>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Sous-titreobjet">
    <w:name w:val="Sous-titre objet"/>
    <w:basedOn w:val="Normal"/>
    <w:uiPriority w:val="99"/>
    <w:pPr>
      <w:spacing w:before="0" w:after="0"/>
      <w:jc w:val="center"/>
    </w:pPr>
    <w:rPr>
      <w:b/>
    </w:rPr>
  </w:style>
  <w:style w:type="paragraph" w:customStyle="1" w:styleId="Titreobjet">
    <w:name w:val="Titre objet"/>
    <w:basedOn w:val="Normal"/>
    <w:next w:val="Sous-titreobjet"/>
    <w:uiPriority w:val="99"/>
    <w:pPr>
      <w:spacing w:before="180" w:after="180"/>
      <w:jc w:val="center"/>
    </w:pPr>
    <w:rPr>
      <w:b/>
    </w:rPr>
  </w:style>
  <w:style w:type="paragraph" w:customStyle="1" w:styleId="Sous-titreobjetPagedecouverture">
    <w:name w:val="Sous-titre objet (Page de couverture)"/>
    <w:basedOn w:val="Sous-titreobjet"/>
    <w:uiPriority w:val="99"/>
  </w:style>
  <w:style w:type="paragraph" w:customStyle="1" w:styleId="TitreobjetPagedecouverture">
    <w:name w:val="Titre objet (Page de couverture)"/>
    <w:basedOn w:val="Titreobjet"/>
    <w:next w:val="Sous-titreobjetPagedecouverture"/>
  </w:style>
  <w:style w:type="character" w:styleId="PlaceholderText">
    <w:name w:val="Placeholder Text"/>
    <w:basedOn w:val="DefaultParagraphFont"/>
    <w:uiPriority w:val="99"/>
    <w:semiHidden/>
    <w:rPr>
      <w:color w:val="808080"/>
    </w:rPr>
  </w:style>
  <w:style w:type="paragraph" w:customStyle="1" w:styleId="Jardin">
    <w:name w:val="Jardin"/>
    <w:basedOn w:val="Normal"/>
    <w:uiPriority w:val="99"/>
    <w:pPr>
      <w:spacing w:before="200" w:after="0"/>
      <w:jc w:val="center"/>
    </w:pPr>
    <w:rPr>
      <w:rFonts w:eastAsia="Times New Roman"/>
      <w:szCs w:val="24"/>
    </w:rPr>
  </w:style>
  <w:style w:type="paragraph" w:customStyle="1" w:styleId="NormalCompact">
    <w:name w:val="Normal Compact"/>
    <w:basedOn w:val="Normal"/>
    <w:next w:val="Normal"/>
    <w:uiPriority w:val="99"/>
    <w:pPr>
      <w:jc w:val="left"/>
    </w:pPr>
    <w:rPr>
      <w:rFonts w:eastAsia="Times New Roman"/>
      <w:szCs w:val="24"/>
    </w:rPr>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numbering" w:customStyle="1" w:styleId="NoList1111">
    <w:name w:val="No List1111"/>
    <w:next w:val="NoList"/>
    <w:uiPriority w:val="99"/>
    <w:semiHidden/>
    <w:unhideWhenUsed/>
  </w:style>
  <w:style w:type="paragraph" w:customStyle="1" w:styleId="xl51929">
    <w:name w:val="xl51929"/>
    <w:basedOn w:val="Normal"/>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30">
    <w:name w:val="xl51930"/>
    <w:basedOn w:val="Normal"/>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931">
    <w:name w:val="xl51931"/>
    <w:basedOn w:val="Normal"/>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932">
    <w:name w:val="xl51932"/>
    <w:basedOn w:val="Normal"/>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33">
    <w:name w:val="xl51933"/>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4">
    <w:name w:val="xl51934"/>
    <w:basedOn w:val="Normal"/>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5">
    <w:name w:val="xl51935"/>
    <w:basedOn w:val="Normal"/>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6">
    <w:name w:val="xl51936"/>
    <w:basedOn w:val="Normal"/>
    <w:pPr>
      <w:spacing w:before="100" w:beforeAutospacing="1" w:after="100" w:afterAutospacing="1"/>
      <w:jc w:val="right"/>
    </w:pPr>
    <w:rPr>
      <w:rFonts w:eastAsia="Times New Roman"/>
      <w:color w:val="000000"/>
      <w:sz w:val="18"/>
      <w:szCs w:val="18"/>
      <w:lang w:eastAsia="en-GB"/>
    </w:rPr>
  </w:style>
  <w:style w:type="paragraph" w:customStyle="1" w:styleId="xl51937">
    <w:name w:val="xl5193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8">
    <w:name w:val="xl51938"/>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1939">
    <w:name w:val="xl51939"/>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40">
    <w:name w:val="xl5194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1">
    <w:name w:val="xl51941"/>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2">
    <w:name w:val="xl51942"/>
    <w:basedOn w:val="Normal"/>
    <w:pPr>
      <w:spacing w:before="100" w:beforeAutospacing="1" w:after="100" w:afterAutospacing="1"/>
      <w:jc w:val="right"/>
    </w:pPr>
    <w:rPr>
      <w:rFonts w:eastAsia="Times New Roman"/>
      <w:sz w:val="18"/>
      <w:szCs w:val="18"/>
      <w:lang w:eastAsia="en-GB"/>
    </w:rPr>
  </w:style>
  <w:style w:type="paragraph" w:customStyle="1" w:styleId="xl51943">
    <w:name w:val="xl51943"/>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44">
    <w:name w:val="xl51944"/>
    <w:basedOn w:val="Normal"/>
    <w:pPr>
      <w:spacing w:before="100" w:beforeAutospacing="1" w:after="100" w:afterAutospacing="1"/>
      <w:jc w:val="left"/>
    </w:pPr>
    <w:rPr>
      <w:rFonts w:eastAsia="Times New Roman"/>
      <w:color w:val="000000"/>
      <w:sz w:val="18"/>
      <w:szCs w:val="18"/>
      <w:lang w:eastAsia="en-GB"/>
    </w:rPr>
  </w:style>
  <w:style w:type="paragraph" w:customStyle="1" w:styleId="xl51945">
    <w:name w:val="xl51945"/>
    <w:basedOn w:val="Normal"/>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6">
    <w:name w:val="xl51946"/>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947">
    <w:name w:val="xl5194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8">
    <w:name w:val="xl51948"/>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9">
    <w:name w:val="xl51949"/>
    <w:basedOn w:val="Normal"/>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1950">
    <w:name w:val="xl5195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51">
    <w:name w:val="xl51951"/>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52">
    <w:name w:val="xl51952"/>
    <w:basedOn w:val="Normal"/>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53">
    <w:name w:val="xl51953"/>
    <w:basedOn w:val="Normal"/>
    <w:pPr>
      <w:spacing w:before="100" w:beforeAutospacing="1" w:after="100" w:afterAutospacing="1"/>
      <w:jc w:val="left"/>
    </w:pPr>
    <w:rPr>
      <w:rFonts w:eastAsia="Times New Roman"/>
      <w:color w:val="000000"/>
      <w:sz w:val="18"/>
      <w:szCs w:val="18"/>
      <w:lang w:eastAsia="en-GB"/>
    </w:rPr>
  </w:style>
  <w:style w:type="paragraph" w:customStyle="1" w:styleId="xl51954">
    <w:name w:val="xl51954"/>
    <w:basedOn w:val="Normal"/>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1955">
    <w:name w:val="xl51955"/>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56">
    <w:name w:val="xl51956"/>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7">
    <w:name w:val="xl51957"/>
    <w:basedOn w:val="Normal"/>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1958">
    <w:name w:val="xl51958"/>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9">
    <w:name w:val="xl51959"/>
    <w:basedOn w:val="Normal"/>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1960">
    <w:name w:val="xl519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1">
    <w:name w:val="xl519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1962">
    <w:name w:val="xl519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3">
    <w:name w:val="xl5196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4">
    <w:name w:val="xl519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65">
    <w:name w:val="xl51965"/>
    <w:basedOn w:val="Normal"/>
    <w:pPr>
      <w:spacing w:before="100" w:beforeAutospacing="1" w:after="100" w:afterAutospacing="1"/>
      <w:jc w:val="left"/>
    </w:pPr>
    <w:rPr>
      <w:rFonts w:eastAsia="Times New Roman"/>
      <w:color w:val="000000"/>
      <w:sz w:val="12"/>
      <w:szCs w:val="12"/>
      <w:lang w:eastAsia="en-GB"/>
    </w:rPr>
  </w:style>
  <w:style w:type="paragraph" w:customStyle="1" w:styleId="xl51966">
    <w:name w:val="xl5196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1967">
    <w:name w:val="xl5196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1968">
    <w:name w:val="xl5196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9">
    <w:name w:val="xl5196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70">
    <w:name w:val="xl51970"/>
    <w:basedOn w:val="Normal"/>
    <w:pPr>
      <w:spacing w:before="100" w:beforeAutospacing="1" w:after="100" w:afterAutospacing="1"/>
      <w:jc w:val="left"/>
    </w:pPr>
    <w:rPr>
      <w:rFonts w:eastAsia="Times New Roman"/>
      <w:color w:val="000000"/>
      <w:sz w:val="12"/>
      <w:szCs w:val="12"/>
      <w:lang w:eastAsia="en-GB"/>
    </w:rPr>
  </w:style>
  <w:style w:type="paragraph" w:customStyle="1" w:styleId="xl51971">
    <w:name w:val="xl5197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72">
    <w:name w:val="xl51972"/>
    <w:basedOn w:val="Normal"/>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1973">
    <w:name w:val="xl51973"/>
    <w:basedOn w:val="Normal"/>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1974">
    <w:name w:val="xl51974"/>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5">
    <w:name w:val="xl51975"/>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6">
    <w:name w:val="xl51976"/>
    <w:basedOn w:val="Normal"/>
    <w:pPr>
      <w:spacing w:before="100" w:beforeAutospacing="1" w:after="100" w:afterAutospacing="1"/>
      <w:jc w:val="left"/>
    </w:pPr>
    <w:rPr>
      <w:rFonts w:eastAsia="Times New Roman"/>
      <w:color w:val="000000"/>
      <w:sz w:val="12"/>
      <w:szCs w:val="12"/>
      <w:lang w:eastAsia="en-GB"/>
    </w:rPr>
  </w:style>
  <w:style w:type="paragraph" w:customStyle="1" w:styleId="xl51977">
    <w:name w:val="xl51977"/>
    <w:basedOn w:val="Normal"/>
    <w:pPr>
      <w:spacing w:before="100" w:beforeAutospacing="1" w:after="100" w:afterAutospacing="1"/>
      <w:jc w:val="left"/>
    </w:pPr>
    <w:rPr>
      <w:rFonts w:ascii="Calibri" w:eastAsia="Times New Roman" w:hAnsi="Calibri"/>
      <w:b/>
      <w:bCs/>
      <w:sz w:val="12"/>
      <w:szCs w:val="12"/>
      <w:lang w:eastAsia="en-GB"/>
    </w:rPr>
  </w:style>
  <w:style w:type="paragraph" w:customStyle="1" w:styleId="xl51978">
    <w:name w:val="xl51978"/>
    <w:basedOn w:val="Normal"/>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79">
    <w:name w:val="xl51979"/>
    <w:basedOn w:val="Normal"/>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80">
    <w:name w:val="xl51980"/>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1">
    <w:name w:val="xl51981"/>
    <w:basedOn w:val="Normal"/>
    <w:pPr>
      <w:spacing w:before="100" w:beforeAutospacing="1" w:after="100" w:afterAutospacing="1"/>
      <w:jc w:val="center"/>
    </w:pPr>
    <w:rPr>
      <w:rFonts w:eastAsia="Times New Roman"/>
      <w:color w:val="000000"/>
      <w:sz w:val="12"/>
      <w:szCs w:val="12"/>
      <w:lang w:eastAsia="en-GB"/>
    </w:rPr>
  </w:style>
  <w:style w:type="paragraph" w:customStyle="1" w:styleId="xl51982">
    <w:name w:val="xl51982"/>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1983">
    <w:name w:val="xl51983"/>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4">
    <w:name w:val="xl51984"/>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5">
    <w:name w:val="xl51985"/>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6">
    <w:name w:val="xl51986"/>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7">
    <w:name w:val="xl51987"/>
    <w:basedOn w:val="Normal"/>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8">
    <w:name w:val="xl51988"/>
    <w:basedOn w:val="Normal"/>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9">
    <w:name w:val="xl51989"/>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1990">
    <w:name w:val="xl5199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1991">
    <w:name w:val="xl5199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1992">
    <w:name w:val="xl51992"/>
    <w:basedOn w:val="Normal"/>
    <w:pPr>
      <w:spacing w:before="100" w:beforeAutospacing="1" w:after="100" w:afterAutospacing="1"/>
      <w:jc w:val="right"/>
    </w:pPr>
    <w:rPr>
      <w:rFonts w:eastAsia="Times New Roman"/>
      <w:color w:val="000000"/>
      <w:sz w:val="18"/>
      <w:szCs w:val="18"/>
      <w:lang w:eastAsia="en-GB"/>
    </w:rPr>
  </w:style>
  <w:style w:type="paragraph" w:customStyle="1" w:styleId="xl51993">
    <w:name w:val="xl51993"/>
    <w:basedOn w:val="Normal"/>
    <w:pPr>
      <w:spacing w:before="100" w:beforeAutospacing="1" w:after="100" w:afterAutospacing="1"/>
      <w:jc w:val="right"/>
    </w:pPr>
    <w:rPr>
      <w:rFonts w:eastAsia="Times New Roman"/>
      <w:color w:val="000000"/>
      <w:sz w:val="18"/>
      <w:szCs w:val="18"/>
      <w:lang w:eastAsia="en-GB"/>
    </w:rPr>
  </w:style>
  <w:style w:type="paragraph" w:customStyle="1" w:styleId="xl51994">
    <w:name w:val="xl51994"/>
    <w:basedOn w:val="Normal"/>
    <w:pPr>
      <w:spacing w:before="100" w:beforeAutospacing="1" w:after="100" w:afterAutospacing="1"/>
      <w:jc w:val="left"/>
    </w:pPr>
    <w:rPr>
      <w:rFonts w:ascii="Calibri" w:eastAsia="Times New Roman" w:hAnsi="Calibri"/>
      <w:sz w:val="18"/>
      <w:szCs w:val="18"/>
      <w:lang w:eastAsia="en-GB"/>
    </w:rPr>
  </w:style>
  <w:style w:type="paragraph" w:customStyle="1" w:styleId="xl51995">
    <w:name w:val="xl51995"/>
    <w:basedOn w:val="Normal"/>
    <w:pPr>
      <w:spacing w:before="100" w:beforeAutospacing="1" w:after="100" w:afterAutospacing="1"/>
      <w:jc w:val="left"/>
    </w:pPr>
    <w:rPr>
      <w:rFonts w:eastAsia="Times New Roman"/>
      <w:color w:val="FF0000"/>
      <w:sz w:val="18"/>
      <w:szCs w:val="18"/>
      <w:lang w:eastAsia="en-GB"/>
    </w:rPr>
  </w:style>
  <w:style w:type="paragraph" w:customStyle="1" w:styleId="xl51996">
    <w:name w:val="xl51996"/>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97">
    <w:name w:val="xl51997"/>
    <w:basedOn w:val="Normal"/>
    <w:pPr>
      <w:spacing w:before="100" w:beforeAutospacing="1" w:after="100" w:afterAutospacing="1"/>
      <w:jc w:val="right"/>
    </w:pPr>
    <w:rPr>
      <w:rFonts w:eastAsia="Times New Roman"/>
      <w:sz w:val="18"/>
      <w:szCs w:val="18"/>
      <w:lang w:eastAsia="en-GB"/>
    </w:rPr>
  </w:style>
  <w:style w:type="paragraph" w:customStyle="1" w:styleId="xl51998">
    <w:name w:val="xl5199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999">
    <w:name w:val="xl5199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2000">
    <w:name w:val="xl52000"/>
    <w:basedOn w:val="Normal"/>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01">
    <w:name w:val="xl52001"/>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02">
    <w:name w:val="xl52002"/>
    <w:basedOn w:val="Normal"/>
    <w:pPr>
      <w:spacing w:before="100" w:beforeAutospacing="1" w:after="100" w:afterAutospacing="1"/>
      <w:jc w:val="right"/>
    </w:pPr>
    <w:rPr>
      <w:rFonts w:eastAsia="Times New Roman"/>
      <w:sz w:val="18"/>
      <w:szCs w:val="18"/>
      <w:lang w:eastAsia="en-GB"/>
    </w:rPr>
  </w:style>
  <w:style w:type="paragraph" w:customStyle="1" w:styleId="xl52003">
    <w:name w:val="xl52003"/>
    <w:basedOn w:val="Normal"/>
    <w:pPr>
      <w:spacing w:before="100" w:beforeAutospacing="1" w:after="100" w:afterAutospacing="1"/>
      <w:jc w:val="left"/>
    </w:pPr>
    <w:rPr>
      <w:rFonts w:eastAsia="Times New Roman"/>
      <w:color w:val="000000"/>
      <w:sz w:val="18"/>
      <w:szCs w:val="18"/>
      <w:lang w:eastAsia="en-GB"/>
    </w:rPr>
  </w:style>
  <w:style w:type="paragraph" w:customStyle="1" w:styleId="xl52004">
    <w:name w:val="xl52004"/>
    <w:basedOn w:val="Normal"/>
    <w:pPr>
      <w:spacing w:before="100" w:beforeAutospacing="1" w:after="100" w:afterAutospacing="1"/>
      <w:jc w:val="left"/>
    </w:pPr>
    <w:rPr>
      <w:rFonts w:eastAsia="Times New Roman"/>
      <w:sz w:val="18"/>
      <w:szCs w:val="18"/>
      <w:lang w:eastAsia="en-GB"/>
    </w:rPr>
  </w:style>
  <w:style w:type="paragraph" w:customStyle="1" w:styleId="xl52005">
    <w:name w:val="xl52005"/>
    <w:basedOn w:val="Normal"/>
    <w:pPr>
      <w:spacing w:before="100" w:beforeAutospacing="1" w:after="100" w:afterAutospacing="1"/>
      <w:jc w:val="left"/>
    </w:pPr>
    <w:rPr>
      <w:rFonts w:eastAsia="Times New Roman"/>
      <w:color w:val="FF0000"/>
      <w:sz w:val="18"/>
      <w:szCs w:val="18"/>
      <w:lang w:eastAsia="en-GB"/>
    </w:rPr>
  </w:style>
  <w:style w:type="paragraph" w:customStyle="1" w:styleId="xl52006">
    <w:name w:val="xl52006"/>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2007">
    <w:name w:val="xl52007"/>
    <w:basedOn w:val="Normal"/>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08">
    <w:name w:val="xl52008"/>
    <w:basedOn w:val="Normal"/>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09">
    <w:name w:val="xl52009"/>
    <w:basedOn w:val="Normal"/>
    <w:pPr>
      <w:spacing w:before="100" w:beforeAutospacing="1" w:after="100" w:afterAutospacing="1"/>
      <w:jc w:val="right"/>
    </w:pPr>
    <w:rPr>
      <w:rFonts w:eastAsia="Times New Roman"/>
      <w:color w:val="000000"/>
      <w:sz w:val="12"/>
      <w:szCs w:val="12"/>
      <w:lang w:eastAsia="en-GB"/>
    </w:rPr>
  </w:style>
  <w:style w:type="paragraph" w:customStyle="1" w:styleId="xl52010">
    <w:name w:val="xl52010"/>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1">
    <w:name w:val="xl52011"/>
    <w:basedOn w:val="Normal"/>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2">
    <w:name w:val="xl52012"/>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3">
    <w:name w:val="xl5201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14">
    <w:name w:val="xl52014"/>
    <w:basedOn w:val="Normal"/>
    <w:pPr>
      <w:spacing w:before="100" w:beforeAutospacing="1" w:after="100" w:afterAutospacing="1"/>
      <w:jc w:val="right"/>
    </w:pPr>
    <w:rPr>
      <w:rFonts w:eastAsia="Times New Roman"/>
      <w:sz w:val="18"/>
      <w:szCs w:val="18"/>
      <w:lang w:eastAsia="en-GB"/>
    </w:rPr>
  </w:style>
  <w:style w:type="paragraph" w:customStyle="1" w:styleId="xl52015">
    <w:name w:val="xl52015"/>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2016">
    <w:name w:val="xl5201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2017">
    <w:name w:val="xl5201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8">
    <w:name w:val="xl5201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52019">
    <w:name w:val="xl52019"/>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0">
    <w:name w:val="xl52020"/>
    <w:basedOn w:val="Normal"/>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52021">
    <w:name w:val="xl52021"/>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2">
    <w:name w:val="xl52022"/>
    <w:basedOn w:val="Normal"/>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3">
    <w:name w:val="xl52023"/>
    <w:basedOn w:val="Normal"/>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4">
    <w:name w:val="xl52024"/>
    <w:basedOn w:val="Normal"/>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5">
    <w:name w:val="xl52025"/>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2026">
    <w:name w:val="xl52026"/>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7">
    <w:name w:val="xl52027"/>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8">
    <w:name w:val="xl52028"/>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29">
    <w:name w:val="xl52029"/>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30">
    <w:name w:val="xl52030"/>
    <w:basedOn w:val="Normal"/>
    <w:pPr>
      <w:spacing w:before="100" w:beforeAutospacing="1" w:after="100" w:afterAutospacing="1"/>
      <w:jc w:val="left"/>
    </w:pPr>
    <w:rPr>
      <w:rFonts w:ascii="Calibri" w:eastAsia="Times New Roman" w:hAnsi="Calibri"/>
      <w:color w:val="1F497D"/>
      <w:sz w:val="22"/>
      <w:szCs w:val="24"/>
      <w:lang w:eastAsia="en-GB"/>
    </w:rPr>
  </w:style>
  <w:style w:type="paragraph" w:customStyle="1" w:styleId="xl52031">
    <w:name w:val="xl52031"/>
    <w:basedOn w:val="Normal"/>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52032">
    <w:name w:val="xl52032"/>
    <w:basedOn w:val="Normal"/>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2033">
    <w:name w:val="xl5203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34">
    <w:name w:val="xl5203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5">
    <w:name w:val="xl5203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6">
    <w:name w:val="xl52036"/>
    <w:basedOn w:val="Normal"/>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52037">
    <w:name w:val="xl52037"/>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8">
    <w:name w:val="xl5203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9">
    <w:name w:val="xl52039"/>
    <w:basedOn w:val="Normal"/>
    <w:pPr>
      <w:spacing w:before="100" w:beforeAutospacing="1" w:after="100" w:afterAutospacing="1"/>
      <w:jc w:val="right"/>
    </w:pPr>
    <w:rPr>
      <w:rFonts w:eastAsia="Times New Roman"/>
      <w:color w:val="000000"/>
      <w:sz w:val="18"/>
      <w:szCs w:val="18"/>
      <w:lang w:eastAsia="en-GB"/>
    </w:rPr>
  </w:style>
  <w:style w:type="paragraph" w:customStyle="1" w:styleId="xl52040">
    <w:name w:val="xl52040"/>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1">
    <w:name w:val="xl52041"/>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42">
    <w:name w:val="xl52042"/>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43">
    <w:name w:val="xl52043"/>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4">
    <w:name w:val="xl52044"/>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5">
    <w:name w:val="xl52045"/>
    <w:basedOn w:val="Normal"/>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2046">
    <w:name w:val="xl52046"/>
    <w:basedOn w:val="Normal"/>
    <w:pPr>
      <w:spacing w:before="100" w:beforeAutospacing="1" w:after="100" w:afterAutospacing="1"/>
      <w:jc w:val="left"/>
    </w:pPr>
    <w:rPr>
      <w:rFonts w:eastAsia="Times New Roman"/>
      <w:sz w:val="18"/>
      <w:szCs w:val="18"/>
      <w:lang w:eastAsia="en-GB"/>
    </w:rPr>
  </w:style>
  <w:style w:type="paragraph" w:customStyle="1" w:styleId="xl52047">
    <w:name w:val="xl52047"/>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48">
    <w:name w:val="xl52048"/>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49">
    <w:name w:val="xl52049"/>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50">
    <w:name w:val="xl5205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1">
    <w:name w:val="xl52051"/>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2">
    <w:name w:val="xl52052"/>
    <w:basedOn w:val="Normal"/>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3">
    <w:name w:val="xl52053"/>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4">
    <w:name w:val="xl52054"/>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5">
    <w:name w:val="xl52055"/>
    <w:basedOn w:val="Normal"/>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6">
    <w:name w:val="xl52056"/>
    <w:basedOn w:val="Normal"/>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7">
    <w:name w:val="xl52057"/>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8">
    <w:name w:val="xl52058"/>
    <w:basedOn w:val="Normal"/>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59">
    <w:name w:val="xl52059"/>
    <w:basedOn w:val="Normal"/>
    <w:pPr>
      <w:spacing w:before="100" w:beforeAutospacing="1" w:after="100" w:afterAutospacing="1"/>
      <w:jc w:val="right"/>
    </w:pPr>
    <w:rPr>
      <w:rFonts w:eastAsia="Times New Roman"/>
      <w:color w:val="000000"/>
      <w:sz w:val="18"/>
      <w:szCs w:val="18"/>
      <w:lang w:eastAsia="en-GB"/>
    </w:rPr>
  </w:style>
  <w:style w:type="paragraph" w:customStyle="1" w:styleId="xl52060">
    <w:name w:val="xl520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sz w:val="14"/>
      <w:szCs w:val="14"/>
      <w:lang w:eastAsia="en-GB"/>
    </w:rPr>
  </w:style>
  <w:style w:type="paragraph" w:customStyle="1" w:styleId="xl52061">
    <w:name w:val="xl520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2">
    <w:name w:val="xl520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3">
    <w:name w:val="xl52063"/>
    <w:basedOn w:val="Normal"/>
    <w:pPr>
      <w:pBdr>
        <w:bottom w:val="single" w:sz="4"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2064">
    <w:name w:val="xl520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52065">
    <w:name w:val="xl52065"/>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6">
    <w:name w:val="xl52066"/>
    <w:basedOn w:val="Normal"/>
    <w:pPr>
      <w:pBdr>
        <w:top w:val="single" w:sz="8" w:space="0" w:color="auto"/>
      </w:pBdr>
      <w:spacing w:before="100" w:beforeAutospacing="1" w:after="100" w:afterAutospacing="1"/>
      <w:jc w:val="right"/>
    </w:pPr>
    <w:rPr>
      <w:rFonts w:eastAsia="Times New Roman"/>
      <w:sz w:val="18"/>
      <w:szCs w:val="18"/>
      <w:lang w:eastAsia="en-GB"/>
    </w:rPr>
  </w:style>
  <w:style w:type="paragraph" w:customStyle="1" w:styleId="xl52067">
    <w:name w:val="xl52067"/>
    <w:basedOn w:val="Normal"/>
    <w:pPr>
      <w:pBdr>
        <w:top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8">
    <w:name w:val="xl52068"/>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69">
    <w:name w:val="xl52069"/>
    <w:basedOn w:val="Normal"/>
    <w:pPr>
      <w:pBdr>
        <w:bottom w:val="single" w:sz="8" w:space="0" w:color="auto"/>
      </w:pBdr>
      <w:spacing w:before="100" w:beforeAutospacing="1" w:after="100" w:afterAutospacing="1"/>
      <w:jc w:val="center"/>
    </w:pPr>
    <w:rPr>
      <w:rFonts w:eastAsia="Times New Roman"/>
      <w:sz w:val="18"/>
      <w:szCs w:val="18"/>
      <w:lang w:eastAsia="en-GB"/>
    </w:rPr>
  </w:style>
  <w:style w:type="paragraph" w:customStyle="1" w:styleId="xl52070">
    <w:name w:val="xl52070"/>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1">
    <w:name w:val="xl52071"/>
    <w:basedOn w:val="Normal"/>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72">
    <w:name w:val="xl52072"/>
    <w:basedOn w:val="Normal"/>
    <w:pPr>
      <w:pBdr>
        <w:bottom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73">
    <w:name w:val="xl52073"/>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4">
    <w:name w:val="xl52074"/>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5">
    <w:name w:val="xl52075"/>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numbering" w:customStyle="1" w:styleId="NoList3">
    <w:name w:val="No List3"/>
    <w:next w:val="NoList"/>
    <w:uiPriority w:val="99"/>
    <w:semiHidden/>
    <w:unhideWhenUsed/>
  </w:style>
  <w:style w:type="numbering" w:customStyle="1" w:styleId="NoList12">
    <w:name w:val="No List12"/>
    <w:next w:val="NoList"/>
    <w:uiPriority w:val="99"/>
    <w:semiHidden/>
    <w:unhideWhenUsed/>
  </w:style>
  <w:style w:type="numbering" w:customStyle="1" w:styleId="NoList112">
    <w:name w:val="No List112"/>
    <w:next w:val="NoList"/>
    <w:uiPriority w:val="99"/>
    <w:semiHidden/>
    <w:unhideWhenUsed/>
  </w:style>
  <w:style w:type="numbering" w:customStyle="1" w:styleId="NoList21">
    <w:name w:val="No List21"/>
    <w:next w:val="NoList"/>
    <w:uiPriority w:val="99"/>
    <w:semiHidden/>
    <w:unhideWhenUsed/>
  </w:style>
  <w:style w:type="numbering" w:customStyle="1" w:styleId="NoList1112">
    <w:name w:val="No List1112"/>
    <w:next w:val="NoList"/>
    <w:uiPriority w:val="99"/>
    <w:semiHidden/>
    <w:unhideWhenUsed/>
  </w:style>
  <w:style w:type="paragraph" w:customStyle="1" w:styleId="xl52076">
    <w:name w:val="xl52076"/>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7">
    <w:name w:val="xl5207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8">
    <w:name w:val="xl52078"/>
    <w:basedOn w:val="Normal"/>
    <w:pPr>
      <w:pBdr>
        <w:bottom w:val="single" w:sz="4"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79">
    <w:name w:val="xl5207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0">
    <w:name w:val="xl5208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1">
    <w:name w:val="xl5208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082">
    <w:name w:val="xl52082"/>
    <w:basedOn w:val="Normal"/>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83">
    <w:name w:val="xl52083"/>
    <w:basedOn w:val="Normal"/>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84">
    <w:name w:val="xl5208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5">
    <w:name w:val="xl52085"/>
    <w:basedOn w:val="Normal"/>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52086">
    <w:name w:val="xl5208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7">
    <w:name w:val="xl52087"/>
    <w:basedOn w:val="Normal"/>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88">
    <w:name w:val="xl52088"/>
    <w:basedOn w:val="Normal"/>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52089">
    <w:name w:val="xl52089"/>
    <w:basedOn w:val="Normal"/>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0">
    <w:name w:val="xl52090"/>
    <w:basedOn w:val="Normal"/>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1">
    <w:name w:val="xl52091"/>
    <w:basedOn w:val="Normal"/>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52092">
    <w:name w:val="xl52092"/>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3">
    <w:name w:val="xl52093"/>
    <w:basedOn w:val="Normal"/>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52094">
    <w:name w:val="xl52094"/>
    <w:basedOn w:val="Normal"/>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095">
    <w:name w:val="xl52095"/>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6">
    <w:name w:val="xl52096"/>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7">
    <w:name w:val="xl52097"/>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8">
    <w:name w:val="xl52098"/>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9">
    <w:name w:val="xl520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100">
    <w:name w:val="xl5210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101">
    <w:name w:val="xl5210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102">
    <w:name w:val="xl52102"/>
    <w:basedOn w:val="Normal"/>
    <w:uiPriority w:val="99"/>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103">
    <w:name w:val="xl52103"/>
    <w:basedOn w:val="Normal"/>
    <w:uiPriority w:val="99"/>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4">
    <w:name w:val="xl52104"/>
    <w:basedOn w:val="Normal"/>
    <w:uiPriority w:val="99"/>
    <w:pPr>
      <w:pBdr>
        <w:bottom w:val="single" w:sz="8" w:space="0" w:color="auto"/>
      </w:pBdr>
      <w:shd w:val="clear" w:color="000000" w:fill="808080"/>
      <w:spacing w:before="100" w:beforeAutospacing="1" w:after="100" w:afterAutospacing="1"/>
      <w:jc w:val="left"/>
      <w:textAlignment w:val="top"/>
    </w:pPr>
    <w:rPr>
      <w:rFonts w:eastAsia="Times New Roman"/>
      <w:sz w:val="18"/>
      <w:szCs w:val="18"/>
      <w:lang w:eastAsia="en-GB"/>
    </w:rPr>
  </w:style>
  <w:style w:type="paragraph" w:customStyle="1" w:styleId="xl52105">
    <w:name w:val="xl52105"/>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6">
    <w:name w:val="xl52106"/>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52107">
    <w:name w:val="xl5210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108">
    <w:name w:val="xl52108"/>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msonormal0">
    <w:name w:val="msonormal"/>
    <w:basedOn w:val="Normal"/>
    <w:pPr>
      <w:spacing w:before="100" w:beforeAutospacing="1" w:after="100" w:afterAutospacing="1"/>
      <w:jc w:val="left"/>
    </w:pPr>
    <w:rPr>
      <w:rFonts w:eastAsia="Times New Roman"/>
      <w:szCs w:val="24"/>
      <w:lang w:eastAsia="en-GB"/>
    </w:rPr>
  </w:style>
  <w:style w:type="paragraph" w:customStyle="1" w:styleId="CMMLevel1">
    <w:name w:val="CMM Level1"/>
    <w:link w:val="CMMLevel1Char"/>
    <w:autoRedefine/>
    <w:uiPriority w:val="99"/>
    <w:qFormat/>
    <w:pPr>
      <w:numPr>
        <w:numId w:val="35"/>
      </w:numPr>
      <w:tabs>
        <w:tab w:val="left" w:pos="586"/>
      </w:tabs>
      <w:spacing w:after="160" w:line="240" w:lineRule="auto"/>
      <w:ind w:left="357" w:hanging="357"/>
    </w:pPr>
    <w:rPr>
      <w:rFonts w:ascii="Cambria" w:eastAsia="Cambria" w:hAnsi="Cambria"/>
      <w:spacing w:val="-2"/>
    </w:rPr>
  </w:style>
  <w:style w:type="character" w:customStyle="1" w:styleId="CMMLevel1Char">
    <w:name w:val="CMM Level1 Char"/>
    <w:basedOn w:val="DefaultParagraphFont"/>
    <w:link w:val="CMMLevel1"/>
    <w:uiPriority w:val="99"/>
    <w:rPr>
      <w:rFonts w:ascii="Cambria" w:eastAsia="Cambria" w:hAnsi="Cambria"/>
      <w:spacing w:val="-2"/>
    </w:rPr>
  </w:style>
  <w:style w:type="paragraph" w:styleId="Quote">
    <w:name w:val="Quote"/>
    <w:basedOn w:val="Normal"/>
    <w:next w:val="Normal"/>
    <w:link w:val="QuoteChar"/>
    <w:uiPriority w:val="29"/>
    <w:qFormat/>
    <w:pPr>
      <w:spacing w:before="0" w:after="0"/>
      <w:jc w:val="left"/>
    </w:pPr>
    <w:rPr>
      <w:rFonts w:ascii="Calibri" w:eastAsia="Times New Roman" w:hAnsi="Calibri"/>
      <w:i/>
      <w:iCs/>
      <w:color w:val="000000" w:themeColor="text1"/>
      <w:sz w:val="22"/>
      <w:szCs w:val="24"/>
    </w:rPr>
  </w:style>
  <w:style w:type="character" w:customStyle="1" w:styleId="QuoteChar">
    <w:name w:val="Quote Char"/>
    <w:basedOn w:val="DefaultParagraphFont"/>
    <w:link w:val="Quote"/>
    <w:uiPriority w:val="29"/>
    <w:rPr>
      <w:rFonts w:ascii="Calibri" w:eastAsia="Times New Roman" w:hAnsi="Calibri" w:cs="Times New Roman"/>
      <w:i/>
      <w:iCs/>
      <w:color w:val="000000" w:themeColor="text1"/>
      <w:szCs w:val="24"/>
      <w:lang w:val="en-GB"/>
    </w:rPr>
  </w:style>
  <w:style w:type="paragraph" w:customStyle="1" w:styleId="hidden">
    <w:name w:val="hidden"/>
    <w:basedOn w:val="Normal"/>
    <w:uiPriority w:val="99"/>
    <w:pPr>
      <w:spacing w:before="0" w:after="150"/>
      <w:jc w:val="left"/>
    </w:pPr>
    <w:rPr>
      <w:rFonts w:eastAsia="Times New Roman"/>
      <w:vanish/>
      <w:szCs w:val="24"/>
      <w:lang w:eastAsia="en-GB"/>
    </w:rPr>
  </w:style>
  <w:style w:type="character" w:customStyle="1" w:styleId="nbborderedChar">
    <w:name w:val="nb bordered Char"/>
    <w:basedOn w:val="TechnicalBlockChar"/>
    <w:link w:val="nbbordered"/>
    <w:locked/>
    <w:rPr>
      <w:rFonts w:ascii="Times New Roman" w:eastAsia="Times New Roman" w:hAnsi="Times New Roman" w:cs="Times New Roman"/>
      <w:b/>
      <w:sz w:val="24"/>
      <w:szCs w:val="24"/>
      <w:lang w:val="en-GB"/>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szCs w:val="24"/>
    </w:rPr>
  </w:style>
  <w:style w:type="paragraph" w:customStyle="1" w:styleId="TableParagraph">
    <w:name w:val="Table Paragraph"/>
    <w:basedOn w:val="Normal"/>
    <w:uiPriority w:val="1"/>
    <w:qFormat/>
    <w:pPr>
      <w:widowControl w:val="0"/>
      <w:autoSpaceDE w:val="0"/>
      <w:autoSpaceDN w:val="0"/>
      <w:spacing w:before="0" w:after="0"/>
      <w:jc w:val="left"/>
    </w:pPr>
    <w:rPr>
      <w:rFonts w:eastAsia="Times New Roman"/>
      <w:sz w:val="22"/>
      <w:szCs w:val="24"/>
      <w:lang w:eastAsia="en-GB" w:bidi="en-GB"/>
    </w:rPr>
  </w:style>
  <w:style w:type="paragraph" w:customStyle="1" w:styleId="Tiret00">
    <w:name w:val="Tiret 00"/>
    <w:basedOn w:val="Normal"/>
    <w:autoRedefine/>
    <w:uiPriority w:val="99"/>
    <w:qFormat/>
    <w:pPr>
      <w:numPr>
        <w:numId w:val="36"/>
      </w:numPr>
      <w:spacing w:line="360" w:lineRule="auto"/>
      <w:jc w:val="left"/>
      <w:outlineLvl w:val="0"/>
    </w:pPr>
    <w:rPr>
      <w:rFonts w:eastAsia="Times New Roman"/>
      <w:szCs w:val="24"/>
    </w:rPr>
  </w:style>
  <w:style w:type="character" w:styleId="BookTitle">
    <w:name w:val="Book Title"/>
    <w:basedOn w:val="DefaultParagraphFont"/>
    <w:uiPriority w:val="33"/>
    <w:qFormat/>
    <w:rPr>
      <w:b/>
      <w:bCs/>
      <w:smallCaps/>
      <w:spacing w:val="5"/>
    </w:rPr>
  </w:style>
  <w:style w:type="character" w:customStyle="1" w:styleId="HeaderChar1">
    <w:name w:val="Header Char1"/>
    <w:basedOn w:val="DefaultParagraphFont"/>
    <w:uiPriority w:val="99"/>
    <w:semiHidden/>
    <w:locked/>
    <w:rPr>
      <w:rFonts w:ascii="Times New Roman" w:eastAsia="Times New Roman" w:hAnsi="Times New Roman" w:cs="Times New Roman"/>
      <w:sz w:val="24"/>
      <w:szCs w:val="24"/>
      <w:lang w:val="en-GB"/>
    </w:rPr>
  </w:style>
  <w:style w:type="character" w:customStyle="1" w:styleId="FooterChar1">
    <w:name w:val="Footer Char1"/>
    <w:basedOn w:val="DefaultParagraphFont"/>
    <w:uiPriority w:val="99"/>
    <w:semiHidden/>
    <w:locked/>
    <w:rPr>
      <w:rFonts w:ascii="Times New Roman" w:eastAsia="Times New Roman" w:hAnsi="Times New Roman" w:cs="Times New Roman"/>
      <w:sz w:val="24"/>
      <w:szCs w:val="24"/>
      <w:lang w:val="en-GB"/>
    </w:rPr>
  </w:style>
  <w:style w:type="character" w:customStyle="1" w:styleId="FootnoteTextChar1">
    <w:name w:val="Footnote Text Char1"/>
    <w:basedOn w:val="DefaultParagraphFont"/>
    <w:uiPriority w:val="99"/>
    <w:semiHidden/>
    <w:locked/>
    <w:rPr>
      <w:rFonts w:ascii="Times New Roman" w:eastAsia="Times New Roman" w:hAnsi="Times New Roman" w:cs="Times New Roman"/>
      <w:sz w:val="24"/>
      <w:szCs w:val="20"/>
      <w:lang w:val="en-GB"/>
    </w:rPr>
  </w:style>
  <w:style w:type="table" w:customStyle="1" w:styleId="TableGrid0">
    <w:name w:val="TableGrid"/>
    <w:pPr>
      <w:spacing w:after="0" w:line="240" w:lineRule="auto"/>
    </w:pPr>
    <w:rPr>
      <w:rFonts w:ascii="Times New Roman" w:eastAsiaTheme="minorEastAsia" w:hAnsi="Times New Roman" w:cs="Times New Roman"/>
      <w:sz w:val="20"/>
      <w:szCs w:val="20"/>
      <w:lang w:val="de-DE" w:eastAsia="de-DE"/>
    </w:rPr>
    <w:tblPr>
      <w:tblCellMar>
        <w:top w:w="0" w:type="dxa"/>
        <w:left w:w="0" w:type="dxa"/>
        <w:bottom w:w="0" w:type="dxa"/>
        <w:right w:w="0" w:type="dxa"/>
      </w:tblCellMar>
    </w:tblPr>
  </w:style>
  <w:style w:type="paragraph" w:customStyle="1" w:styleId="Numpar">
    <w:name w:val="Numpar"/>
    <w:basedOn w:val="ManualNumPar1"/>
    <w:uiPriority w:val="99"/>
    <w:pPr>
      <w:outlineLvl w:val="0"/>
    </w:pPr>
    <w:rPr>
      <w:rFonts w:eastAsia="Times New Roman"/>
      <w:szCs w:val="24"/>
    </w:rPr>
  </w:style>
  <w:style w:type="character" w:styleId="Emphasis">
    <w:name w:val="Emphasis"/>
    <w:basedOn w:val="DefaultParagraphFont"/>
    <w:uiPriority w:val="20"/>
    <w:qFormat/>
    <w:rPr>
      <w:i/>
      <w:iCs/>
    </w:rPr>
  </w:style>
  <w:style w:type="paragraph" w:customStyle="1" w:styleId="norm">
    <w:name w:val="norm"/>
    <w:basedOn w:val="Normal"/>
    <w:pPr>
      <w:spacing w:before="100" w:beforeAutospacing="1" w:after="100" w:afterAutospacing="1"/>
      <w:jc w:val="left"/>
    </w:pPr>
    <w:rPr>
      <w:rFonts w:eastAsia="Times New Roman"/>
      <w:szCs w:val="24"/>
      <w:lang w:val="fr-BE" w:eastAsia="fr-BE"/>
    </w:rPr>
  </w:style>
  <w:style w:type="paragraph" w:customStyle="1" w:styleId="tbl-norm">
    <w:name w:val="tbl-norm"/>
    <w:basedOn w:val="Normal"/>
    <w:pPr>
      <w:spacing w:before="100" w:beforeAutospacing="1" w:after="100" w:afterAutospacing="1"/>
      <w:jc w:val="left"/>
    </w:pPr>
    <w:rPr>
      <w:rFonts w:eastAsia="Times New Roman"/>
      <w:szCs w:val="24"/>
      <w:lang w:val="fr-BE" w:eastAsia="fr-BE"/>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7"/>
      </w:numPr>
    </w:pPr>
  </w:style>
  <w:style w:type="paragraph" w:customStyle="1" w:styleId="Tiret1">
    <w:name w:val="Tiret 1"/>
    <w:basedOn w:val="Point1"/>
    <w:pPr>
      <w:numPr>
        <w:numId w:val="38"/>
      </w:numPr>
    </w:pPr>
  </w:style>
  <w:style w:type="paragraph" w:customStyle="1" w:styleId="Tiret2">
    <w:name w:val="Tiret 2"/>
    <w:basedOn w:val="Point2"/>
    <w:pPr>
      <w:numPr>
        <w:numId w:val="39"/>
      </w:numPr>
    </w:pPr>
  </w:style>
  <w:style w:type="paragraph" w:customStyle="1" w:styleId="Tiret3">
    <w:name w:val="Tiret 3"/>
    <w:basedOn w:val="Point3"/>
    <w:pPr>
      <w:numPr>
        <w:numId w:val="40"/>
      </w:numPr>
    </w:pPr>
  </w:style>
  <w:style w:type="paragraph" w:customStyle="1" w:styleId="Tiret4">
    <w:name w:val="Tiret 4"/>
    <w:basedOn w:val="Point4"/>
    <w:pPr>
      <w:numPr>
        <w:numId w:val="41"/>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2"/>
      </w:numPr>
    </w:pPr>
  </w:style>
  <w:style w:type="paragraph" w:customStyle="1" w:styleId="NumPar2">
    <w:name w:val="NumPar 2"/>
    <w:basedOn w:val="Normal"/>
    <w:next w:val="Text1"/>
    <w:pPr>
      <w:numPr>
        <w:ilvl w:val="1"/>
        <w:numId w:val="42"/>
      </w:numPr>
    </w:pPr>
  </w:style>
  <w:style w:type="paragraph" w:customStyle="1" w:styleId="NumPar3">
    <w:name w:val="NumPar 3"/>
    <w:basedOn w:val="Normal"/>
    <w:next w:val="Text1"/>
    <w:pPr>
      <w:numPr>
        <w:ilvl w:val="2"/>
        <w:numId w:val="42"/>
      </w:numPr>
    </w:pPr>
  </w:style>
  <w:style w:type="paragraph" w:customStyle="1" w:styleId="NumPar4">
    <w:name w:val="NumPar 4"/>
    <w:basedOn w:val="Normal"/>
    <w:next w:val="Text1"/>
    <w:pPr>
      <w:numPr>
        <w:ilvl w:val="3"/>
        <w:numId w:val="42"/>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4"/>
      </w:numPr>
    </w:pPr>
  </w:style>
  <w:style w:type="paragraph" w:customStyle="1" w:styleId="Point1number">
    <w:name w:val="Point 1 (number)"/>
    <w:basedOn w:val="Normal"/>
    <w:pPr>
      <w:numPr>
        <w:ilvl w:val="2"/>
        <w:numId w:val="44"/>
      </w:numPr>
    </w:pPr>
  </w:style>
  <w:style w:type="paragraph" w:customStyle="1" w:styleId="Point2number">
    <w:name w:val="Point 2 (number)"/>
    <w:basedOn w:val="Normal"/>
    <w:pPr>
      <w:numPr>
        <w:ilvl w:val="4"/>
        <w:numId w:val="44"/>
      </w:numPr>
    </w:pPr>
  </w:style>
  <w:style w:type="paragraph" w:customStyle="1" w:styleId="Point3number">
    <w:name w:val="Point 3 (number)"/>
    <w:basedOn w:val="Normal"/>
    <w:pPr>
      <w:numPr>
        <w:ilvl w:val="6"/>
        <w:numId w:val="44"/>
      </w:numPr>
    </w:pPr>
  </w:style>
  <w:style w:type="paragraph" w:customStyle="1" w:styleId="Point0letter">
    <w:name w:val="Point 0 (letter)"/>
    <w:basedOn w:val="Normal"/>
    <w:pPr>
      <w:numPr>
        <w:ilvl w:val="1"/>
        <w:numId w:val="44"/>
      </w:numPr>
    </w:pPr>
  </w:style>
  <w:style w:type="paragraph" w:customStyle="1" w:styleId="Point1letter">
    <w:name w:val="Point 1 (letter)"/>
    <w:basedOn w:val="Normal"/>
    <w:pPr>
      <w:numPr>
        <w:ilvl w:val="3"/>
        <w:numId w:val="44"/>
      </w:numPr>
    </w:pPr>
  </w:style>
  <w:style w:type="paragraph" w:customStyle="1" w:styleId="Point2letter">
    <w:name w:val="Point 2 (letter)"/>
    <w:basedOn w:val="Normal"/>
    <w:pPr>
      <w:numPr>
        <w:ilvl w:val="5"/>
        <w:numId w:val="44"/>
      </w:numPr>
    </w:pPr>
  </w:style>
  <w:style w:type="paragraph" w:customStyle="1" w:styleId="Point3letter">
    <w:name w:val="Point 3 (letter)"/>
    <w:basedOn w:val="Normal"/>
    <w:pPr>
      <w:numPr>
        <w:ilvl w:val="7"/>
        <w:numId w:val="44"/>
      </w:numPr>
    </w:pPr>
  </w:style>
  <w:style w:type="paragraph" w:customStyle="1" w:styleId="Point4letter">
    <w:name w:val="Point 4 (letter)"/>
    <w:basedOn w:val="Normal"/>
    <w:pPr>
      <w:numPr>
        <w:ilvl w:val="8"/>
        <w:numId w:val="44"/>
      </w:numPr>
    </w:pPr>
  </w:style>
  <w:style w:type="paragraph" w:customStyle="1" w:styleId="Bullet0">
    <w:name w:val="Bullet 0"/>
    <w:basedOn w:val="Normal"/>
    <w:pPr>
      <w:numPr>
        <w:numId w:val="45"/>
      </w:numPr>
    </w:pPr>
  </w:style>
  <w:style w:type="paragraph" w:customStyle="1" w:styleId="Bullet1">
    <w:name w:val="Bullet 1"/>
    <w:basedOn w:val="Normal"/>
    <w:pPr>
      <w:numPr>
        <w:numId w:val="46"/>
      </w:numPr>
    </w:pPr>
  </w:style>
  <w:style w:type="paragraph" w:customStyle="1" w:styleId="Bullet2">
    <w:name w:val="Bullet 2"/>
    <w:basedOn w:val="Normal"/>
    <w:pPr>
      <w:numPr>
        <w:numId w:val="47"/>
      </w:numPr>
    </w:pPr>
  </w:style>
  <w:style w:type="paragraph" w:customStyle="1" w:styleId="Bullet3">
    <w:name w:val="Bullet 3"/>
    <w:basedOn w:val="Normal"/>
    <w:pPr>
      <w:numPr>
        <w:numId w:val="48"/>
      </w:numPr>
    </w:pPr>
  </w:style>
  <w:style w:type="paragraph" w:customStyle="1" w:styleId="Bullet4">
    <w:name w:val="Bullet 4"/>
    <w:basedOn w:val="Normal"/>
    <w:pPr>
      <w:numPr>
        <w:numId w:val="49"/>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0"/>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caption"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43"/>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3"/>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3"/>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3"/>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unhideWhenUsed/>
    <w:rPr>
      <w:color w:val="800080"/>
      <w:u w:val="single"/>
    </w:rPr>
  </w:style>
  <w:style w:type="paragraph" w:customStyle="1" w:styleId="xl118">
    <w:name w:val="xl118"/>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19">
    <w:name w:val="xl119"/>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20">
    <w:name w:val="xl12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21">
    <w:name w:val="xl12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22">
    <w:name w:val="xl122"/>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23">
    <w:name w:val="xl123"/>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24">
    <w:name w:val="xl124"/>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125">
    <w:name w:val="xl125"/>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6">
    <w:name w:val="xl126"/>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127">
    <w:name w:val="xl127"/>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28">
    <w:name w:val="xl128"/>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129">
    <w:name w:val="xl129"/>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130">
    <w:name w:val="xl13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131">
    <w:name w:val="xl131"/>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2">
    <w:name w:val="xl13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33">
    <w:name w:val="xl133"/>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34">
    <w:name w:val="xl134"/>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35">
    <w:name w:val="xl135"/>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36">
    <w:name w:val="xl136"/>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137">
    <w:name w:val="xl137"/>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38">
    <w:name w:val="xl138"/>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39">
    <w:name w:val="xl139"/>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40">
    <w:name w:val="xl140"/>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141">
    <w:name w:val="xl14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142">
    <w:name w:val="xl142"/>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3">
    <w:name w:val="xl143"/>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44">
    <w:name w:val="xl144"/>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145">
    <w:name w:val="xl145"/>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146">
    <w:name w:val="xl14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47">
    <w:name w:val="xl147"/>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48">
    <w:name w:val="xl148"/>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49">
    <w:name w:val="xl149"/>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50">
    <w:name w:val="xl150"/>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51">
    <w:name w:val="xl151"/>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52">
    <w:name w:val="xl152"/>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53">
    <w:name w:val="xl153"/>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4">
    <w:name w:val="xl154"/>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55">
    <w:name w:val="xl155"/>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156">
    <w:name w:val="xl15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57">
    <w:name w:val="xl15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4"/>
      <w:szCs w:val="14"/>
      <w:lang w:eastAsia="en-GB"/>
    </w:rPr>
  </w:style>
  <w:style w:type="paragraph" w:customStyle="1" w:styleId="xl158">
    <w:name w:val="xl1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59">
    <w:name w:val="xl15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4"/>
      <w:szCs w:val="14"/>
      <w:lang w:eastAsia="en-GB"/>
    </w:rPr>
  </w:style>
  <w:style w:type="paragraph" w:customStyle="1" w:styleId="xl160">
    <w:name w:val="xl16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1">
    <w:name w:val="xl16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162">
    <w:name w:val="xl16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163">
    <w:name w:val="xl16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164">
    <w:name w:val="xl16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165">
    <w:name w:val="xl16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166">
    <w:name w:val="xl16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67">
    <w:name w:val="xl16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68">
    <w:name w:val="xl16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69">
    <w:name w:val="xl16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70">
    <w:name w:val="xl17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1">
    <w:name w:val="xl17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72">
    <w:name w:val="xl17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73">
    <w:name w:val="xl17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174">
    <w:name w:val="xl17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175">
    <w:name w:val="xl17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76">
    <w:name w:val="xl17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77">
    <w:name w:val="xl17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78">
    <w:name w:val="xl17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79">
    <w:name w:val="xl17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0">
    <w:name w:val="xl18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1">
    <w:name w:val="xl18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182">
    <w:name w:val="xl18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183">
    <w:name w:val="xl18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184">
    <w:name w:val="xl18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185">
    <w:name w:val="xl18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186">
    <w:name w:val="xl18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87">
    <w:name w:val="xl18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88">
    <w:name w:val="xl18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89">
    <w:name w:val="xl18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0">
    <w:name w:val="xl19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191">
    <w:name w:val="xl19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192">
    <w:name w:val="xl19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3">
    <w:name w:val="xl19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194">
    <w:name w:val="xl19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195">
    <w:name w:val="xl1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6">
    <w:name w:val="xl19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197">
    <w:name w:val="xl19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198">
    <w:name w:val="xl19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199">
    <w:name w:val="xl19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00">
    <w:name w:val="xl20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1">
    <w:name w:val="xl20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2">
    <w:name w:val="xl20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3">
    <w:name w:val="xl20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04">
    <w:name w:val="xl20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05">
    <w:name w:val="xl205"/>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6">
    <w:name w:val="xl206"/>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07">
    <w:name w:val="xl207"/>
    <w:basedOn w:val="Normal"/>
    <w:uiPriority w:val="99"/>
    <w:pPr>
      <w:pBdr>
        <w:top w:val="single" w:sz="4" w:space="0" w:color="auto"/>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08">
    <w:name w:val="xl208"/>
    <w:basedOn w:val="Normal"/>
    <w:uiPriority w:val="99"/>
    <w:pPr>
      <w:pBdr>
        <w:top w:val="single" w:sz="4" w:space="0" w:color="auto"/>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09">
    <w:name w:val="xl209"/>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10">
    <w:name w:val="xl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1">
    <w:name w:val="xl211"/>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12">
    <w:name w:val="xl212"/>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13">
    <w:name w:val="xl213"/>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14">
    <w:name w:val="xl214"/>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15">
    <w:name w:val="xl21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6">
    <w:name w:val="xl21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17">
    <w:name w:val="xl217"/>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18">
    <w:name w:val="xl218"/>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19">
    <w:name w:val="xl21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0">
    <w:name w:val="xl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21">
    <w:name w:val="xl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2">
    <w:name w:val="xl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23">
    <w:name w:val="xl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24">
    <w:name w:val="xl224"/>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25">
    <w:name w:val="xl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26">
    <w:name w:val="xl22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27">
    <w:name w:val="xl22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8">
    <w:name w:val="xl22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29">
    <w:name w:val="xl229"/>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0">
    <w:name w:val="xl2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31">
    <w:name w:val="xl231"/>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32">
    <w:name w:val="xl232"/>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33">
    <w:name w:val="xl233"/>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4">
    <w:name w:val="xl234"/>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35">
    <w:name w:val="xl23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36">
    <w:name w:val="xl236"/>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37">
    <w:name w:val="xl237"/>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8">
    <w:name w:val="xl238"/>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39">
    <w:name w:val="xl239"/>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0">
    <w:name w:val="xl240"/>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41">
    <w:name w:val="xl241"/>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42">
    <w:name w:val="xl242"/>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3">
    <w:name w:val="xl243"/>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4">
    <w:name w:val="xl244"/>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45">
    <w:name w:val="xl24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46">
    <w:name w:val="xl246"/>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7">
    <w:name w:val="xl247"/>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8">
    <w:name w:val="xl248"/>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49">
    <w:name w:val="xl2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50">
    <w:name w:val="xl2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1">
    <w:name w:val="xl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2">
    <w:name w:val="xl252"/>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53">
    <w:name w:val="xl253"/>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54">
    <w:name w:val="xl254"/>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55">
    <w:name w:val="xl255"/>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56">
    <w:name w:val="xl25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57">
    <w:name w:val="xl25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58">
    <w:name w:val="xl25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59">
    <w:name w:val="xl259"/>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0">
    <w:name w:val="xl260"/>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1">
    <w:name w:val="xl261"/>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
    <w:name w:val="xl26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
    <w:name w:val="xl263"/>
    <w:basedOn w:val="Normal"/>
    <w:uiPriority w:val="99"/>
    <w:pPr>
      <w:spacing w:before="100" w:beforeAutospacing="1" w:after="100" w:afterAutospacing="1"/>
      <w:jc w:val="left"/>
    </w:pPr>
    <w:rPr>
      <w:rFonts w:eastAsia="Times New Roman"/>
      <w:sz w:val="18"/>
      <w:szCs w:val="18"/>
      <w:lang w:eastAsia="en-GB"/>
    </w:rPr>
  </w:style>
  <w:style w:type="paragraph" w:customStyle="1" w:styleId="xl264">
    <w:name w:val="xl264"/>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5">
    <w:name w:val="xl265"/>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6">
    <w:name w:val="xl266"/>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7">
    <w:name w:val="xl267"/>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8">
    <w:name w:val="xl268"/>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9">
    <w:name w:val="xl269"/>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0">
    <w:name w:val="xl270"/>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1">
    <w:name w:val="xl271"/>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72">
    <w:name w:val="xl2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73">
    <w:name w:val="xl273"/>
    <w:basedOn w:val="Normal"/>
    <w:uiPriority w:val="99"/>
    <w:pPr>
      <w:spacing w:before="100" w:beforeAutospacing="1" w:after="100" w:afterAutospacing="1"/>
      <w:jc w:val="right"/>
    </w:pPr>
    <w:rPr>
      <w:rFonts w:eastAsia="Times New Roman"/>
      <w:sz w:val="18"/>
      <w:szCs w:val="18"/>
      <w:lang w:eastAsia="en-GB"/>
    </w:rPr>
  </w:style>
  <w:style w:type="paragraph" w:customStyle="1" w:styleId="xl274">
    <w:name w:val="xl27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75">
    <w:name w:val="xl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76">
    <w:name w:val="xl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77">
    <w:name w:val="xl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78">
    <w:name w:val="xl27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79">
    <w:name w:val="xl279"/>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0">
    <w:name w:val="xl280"/>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81">
    <w:name w:val="xl281"/>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2">
    <w:name w:val="xl282"/>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3">
    <w:name w:val="xl283"/>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4">
    <w:name w:val="xl284"/>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85">
    <w:name w:val="xl285"/>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86">
    <w:name w:val="xl286"/>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87">
    <w:name w:val="xl287"/>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88">
    <w:name w:val="xl288"/>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89">
    <w:name w:val="xl289"/>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90">
    <w:name w:val="xl290"/>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91">
    <w:name w:val="xl291"/>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92">
    <w:name w:val="xl292"/>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93">
    <w:name w:val="xl29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94">
    <w:name w:val="xl294"/>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5">
    <w:name w:val="xl29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96">
    <w:name w:val="xl296"/>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97">
    <w:name w:val="xl297"/>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98">
    <w:name w:val="xl29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99">
    <w:name w:val="xl299"/>
    <w:basedOn w:val="Normal"/>
    <w:uiPriority w:val="99"/>
    <w:pPr>
      <w:spacing w:before="100" w:beforeAutospacing="1" w:after="100" w:afterAutospacing="1"/>
      <w:jc w:val="left"/>
      <w:textAlignment w:val="top"/>
    </w:pPr>
    <w:rPr>
      <w:rFonts w:eastAsia="Times New Roman"/>
      <w:color w:val="000000"/>
      <w:sz w:val="16"/>
      <w:szCs w:val="16"/>
      <w:lang w:eastAsia="en-GB"/>
    </w:rPr>
  </w:style>
  <w:style w:type="paragraph" w:styleId="BalloonText">
    <w:name w:val="Balloon Text"/>
    <w:basedOn w:val="Normal"/>
    <w:link w:val="BalloonTextChar"/>
    <w:uiPriority w:val="99"/>
    <w:pPr>
      <w:spacing w:before="0" w:after="0"/>
      <w:jc w:val="left"/>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en-GB" w:eastAsia="en-GB"/>
    </w:rPr>
  </w:style>
  <w:style w:type="paragraph" w:customStyle="1" w:styleId="FooterCouncil">
    <w:name w:val="Footer Council"/>
    <w:basedOn w:val="Normal"/>
    <w:link w:val="FooterCouncilChar"/>
    <w:uiPriority w:val="99"/>
    <w:pPr>
      <w:spacing w:before="0" w:after="0"/>
      <w:jc w:val="left"/>
    </w:pPr>
    <w:rPr>
      <w:rFonts w:eastAsia="Times New Roman"/>
      <w:sz w:val="2"/>
      <w:szCs w:val="24"/>
    </w:rPr>
  </w:style>
  <w:style w:type="paragraph" w:customStyle="1" w:styleId="FooterText">
    <w:name w:val="Footer Text"/>
    <w:basedOn w:val="Normal"/>
    <w:uiPriority w:val="99"/>
    <w:pPr>
      <w:spacing w:before="0" w:after="0"/>
      <w:jc w:val="left"/>
    </w:pPr>
    <w:rPr>
      <w:rFonts w:eastAsia="Times New Roman"/>
      <w:szCs w:val="24"/>
    </w:rPr>
  </w:style>
  <w:style w:type="character" w:customStyle="1" w:styleId="FooterCouncilChar">
    <w:name w:val="Footer Council Char"/>
    <w:link w:val="FooterCouncil"/>
    <w:rPr>
      <w:rFonts w:ascii="Times New Roman" w:eastAsia="Times New Roman" w:hAnsi="Times New Roman" w:cs="Times New Roman"/>
      <w:sz w:val="2"/>
      <w:szCs w:val="24"/>
      <w:lang w:val="en-GB"/>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uiPriority w:val="99"/>
    <w:pPr>
      <w:spacing w:before="0" w:after="0"/>
      <w:jc w:val="left"/>
    </w:pPr>
    <w:rPr>
      <w:rFonts w:eastAsia="Times New Roman"/>
      <w:sz w:val="20"/>
      <w:szCs w:val="20"/>
      <w:lang w:eastAsia="en-GB"/>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rFonts w:ascii="Times New Roman" w:eastAsia="Times New Roman" w:hAnsi="Times New Roman" w:cs="Times New Roman"/>
      <w:b/>
      <w:bCs/>
      <w:sz w:val="20"/>
      <w:szCs w:val="20"/>
      <w:lang w:val="en-GB" w:eastAsia="en-GB"/>
    </w:rPr>
  </w:style>
  <w:style w:type="paragraph" w:customStyle="1" w:styleId="HeaderCouncil">
    <w:name w:val="Header Council"/>
    <w:basedOn w:val="Normal"/>
    <w:link w:val="HeaderCouncilChar"/>
    <w:uiPriority w:val="99"/>
    <w:pPr>
      <w:spacing w:before="0" w:after="0"/>
      <w:jc w:val="left"/>
    </w:pPr>
    <w:rPr>
      <w:rFonts w:eastAsia="Times New Roman"/>
      <w:sz w:val="2"/>
      <w:szCs w:val="24"/>
    </w:rPr>
  </w:style>
  <w:style w:type="paragraph" w:customStyle="1" w:styleId="TechnicalBlock">
    <w:name w:val="Technical Block"/>
    <w:basedOn w:val="Normal"/>
    <w:next w:val="Normal"/>
    <w:link w:val="TechnicalBlockChar"/>
    <w:uiPriority w:val="99"/>
    <w:pPr>
      <w:spacing w:before="0" w:after="240"/>
      <w:jc w:val="center"/>
    </w:pPr>
    <w:rPr>
      <w:rFonts w:eastAsia="Times New Roman"/>
      <w:szCs w:val="24"/>
    </w:rPr>
  </w:style>
  <w:style w:type="paragraph" w:customStyle="1" w:styleId="Annexetitreacte">
    <w:name w:val="Annexe titre (acte)"/>
    <w:basedOn w:val="Normal"/>
    <w:next w:val="Normal"/>
    <w:uiPriority w:val="99"/>
    <w:pPr>
      <w:spacing w:line="360" w:lineRule="auto"/>
      <w:jc w:val="center"/>
    </w:pPr>
    <w:rPr>
      <w:rFonts w:eastAsia="Times New Roman"/>
      <w:b/>
      <w:szCs w:val="24"/>
      <w:u w:val="single"/>
    </w:rPr>
  </w:style>
  <w:style w:type="paragraph" w:customStyle="1" w:styleId="Annexetitreglobale">
    <w:name w:val="Annexe titre (globale)"/>
    <w:basedOn w:val="Normal"/>
    <w:next w:val="Normal"/>
    <w:uiPriority w:val="99"/>
    <w:pPr>
      <w:spacing w:line="360" w:lineRule="auto"/>
      <w:jc w:val="center"/>
    </w:pPr>
    <w:rPr>
      <w:rFonts w:eastAsia="Times New Roman"/>
      <w:b/>
      <w:szCs w:val="24"/>
      <w:u w:val="single"/>
    </w:rPr>
  </w:style>
  <w:style w:type="paragraph" w:customStyle="1" w:styleId="Lignefinal">
    <w:name w:val="Ligne final"/>
    <w:basedOn w:val="Normal"/>
    <w:next w:val="Normal"/>
    <w:link w:val="LignefinalChar"/>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uiPriority w:val="99"/>
    <w:pPr>
      <w:spacing w:before="0" w:after="0" w:line="360" w:lineRule="auto"/>
      <w:ind w:left="5103"/>
      <w:jc w:val="left"/>
    </w:pPr>
    <w:rPr>
      <w:rFonts w:eastAsia="Times New Roman"/>
      <w:szCs w:val="24"/>
    </w:rPr>
  </w:style>
  <w:style w:type="paragraph" w:customStyle="1" w:styleId="EntLogo">
    <w:name w:val="EntLogo"/>
    <w:basedOn w:val="Normal"/>
    <w:uiPriority w:val="99"/>
    <w:pPr>
      <w:tabs>
        <w:tab w:val="right" w:pos="9639"/>
      </w:tabs>
      <w:spacing w:before="0" w:after="0" w:line="360" w:lineRule="auto"/>
      <w:jc w:val="left"/>
    </w:pPr>
    <w:rPr>
      <w:rFonts w:eastAsia="Times New Roman"/>
      <w:b/>
      <w:szCs w:val="24"/>
    </w:rPr>
  </w:style>
  <w:style w:type="paragraph" w:customStyle="1" w:styleId="EntInstit">
    <w:name w:val="EntInstit"/>
    <w:basedOn w:val="Normal"/>
    <w:uiPriority w:val="99"/>
    <w:pPr>
      <w:spacing w:before="0" w:after="0"/>
      <w:jc w:val="right"/>
    </w:pPr>
    <w:rPr>
      <w:rFonts w:eastAsia="Times New Roman"/>
      <w:b/>
      <w:szCs w:val="24"/>
    </w:rPr>
  </w:style>
  <w:style w:type="paragraph" w:customStyle="1" w:styleId="EntRefer">
    <w:name w:val="EntRefer"/>
    <w:basedOn w:val="Normal"/>
    <w:uiPriority w:val="99"/>
    <w:pPr>
      <w:spacing w:before="0" w:after="0"/>
      <w:jc w:val="left"/>
    </w:pPr>
    <w:rPr>
      <w:rFonts w:eastAsia="Times New Roman"/>
      <w:b/>
      <w:szCs w:val="24"/>
    </w:rPr>
  </w:style>
  <w:style w:type="paragraph" w:customStyle="1" w:styleId="EntEmet">
    <w:name w:val="EntEmet"/>
    <w:basedOn w:val="Normal"/>
    <w:uiPriority w:val="99"/>
    <w:pPr>
      <w:spacing w:before="40" w:after="0"/>
      <w:jc w:val="left"/>
    </w:pPr>
    <w:rPr>
      <w:rFonts w:eastAsia="Times New Roman"/>
      <w:szCs w:val="24"/>
    </w:rPr>
  </w:style>
  <w:style w:type="paragraph" w:customStyle="1" w:styleId="EntText">
    <w:name w:val="EntText"/>
    <w:basedOn w:val="Normal"/>
    <w:uiPriority w:val="99"/>
    <w:pPr>
      <w:spacing w:line="360" w:lineRule="auto"/>
      <w:jc w:val="left"/>
    </w:pPr>
    <w:rPr>
      <w:rFonts w:eastAsia="Times New Roman"/>
      <w:szCs w:val="24"/>
    </w:rPr>
  </w:style>
  <w:style w:type="paragraph" w:customStyle="1" w:styleId="EntEU">
    <w:name w:val="EntEU"/>
    <w:basedOn w:val="Normal"/>
    <w:uiPriority w:val="99"/>
    <w:pPr>
      <w:spacing w:before="240" w:after="240"/>
      <w:jc w:val="center"/>
    </w:pPr>
    <w:rPr>
      <w:rFonts w:eastAsia="Times New Roman"/>
      <w:b/>
      <w:sz w:val="36"/>
      <w:szCs w:val="24"/>
    </w:rPr>
  </w:style>
  <w:style w:type="paragraph" w:customStyle="1" w:styleId="EntASSOC">
    <w:name w:val="EntASSOC"/>
    <w:basedOn w:val="Normal"/>
    <w:uiPriority w:val="99"/>
    <w:pPr>
      <w:spacing w:before="0" w:after="0"/>
      <w:jc w:val="center"/>
    </w:pPr>
    <w:rPr>
      <w:rFonts w:eastAsia="Times New Roman"/>
      <w:b/>
      <w:szCs w:val="24"/>
    </w:rPr>
  </w:style>
  <w:style w:type="paragraph" w:customStyle="1" w:styleId="EntACP">
    <w:name w:val="EntACP"/>
    <w:basedOn w:val="Normal"/>
    <w:uiPriority w:val="99"/>
    <w:pPr>
      <w:spacing w:before="0" w:after="180"/>
      <w:jc w:val="center"/>
    </w:pPr>
    <w:rPr>
      <w:rFonts w:eastAsia="Times New Roman"/>
      <w:b/>
      <w:spacing w:val="40"/>
      <w:sz w:val="28"/>
      <w:szCs w:val="24"/>
    </w:rPr>
  </w:style>
  <w:style w:type="paragraph" w:customStyle="1" w:styleId="EntInstitACP">
    <w:name w:val="EntInstitACP"/>
    <w:basedOn w:val="Normal"/>
    <w:uiPriority w:val="99"/>
    <w:pPr>
      <w:spacing w:before="0" w:after="0"/>
      <w:jc w:val="center"/>
    </w:pPr>
    <w:rPr>
      <w:rFonts w:eastAsia="Times New Roman"/>
      <w:b/>
      <w:szCs w:val="24"/>
    </w:rPr>
  </w:style>
  <w:style w:type="paragraph" w:customStyle="1" w:styleId="Genredudocument">
    <w:name w:val="Genre du document"/>
    <w:basedOn w:val="EntRefer"/>
    <w:next w:val="EntRefer"/>
    <w:uiPriority w:val="99"/>
    <w:pPr>
      <w:spacing w:before="240"/>
    </w:pPr>
  </w:style>
  <w:style w:type="paragraph" w:customStyle="1" w:styleId="Accordtitre">
    <w:name w:val="Accord titre"/>
    <w:basedOn w:val="Normal"/>
    <w:uiPriority w:val="99"/>
    <w:pPr>
      <w:spacing w:before="0" w:after="0" w:line="360" w:lineRule="auto"/>
      <w:jc w:val="center"/>
    </w:pPr>
    <w:rPr>
      <w:rFonts w:eastAsia="Times New Roman"/>
      <w:szCs w:val="24"/>
    </w:rPr>
  </w:style>
  <w:style w:type="paragraph" w:customStyle="1" w:styleId="FooterAccord">
    <w:name w:val="Footer Accord"/>
    <w:basedOn w:val="Normal"/>
    <w:uiPriority w:val="99"/>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uiPriority w:val="99"/>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uiPriority w:val="99"/>
    <w:pPr>
      <w:keepNext/>
      <w:spacing w:before="600" w:line="360" w:lineRule="auto"/>
      <w:jc w:val="center"/>
    </w:pPr>
    <w:rPr>
      <w:rFonts w:eastAsia="Times New Roman"/>
      <w:i/>
      <w:szCs w:val="24"/>
    </w:rPr>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4"/>
    </w:rPr>
  </w:style>
  <w:style w:type="character" w:customStyle="1" w:styleId="LignefinalChar">
    <w:name w:val="Ligne final Char"/>
    <w:link w:val="Lignefinal"/>
    <w:rPr>
      <w:rFonts w:ascii="Times New Roman" w:eastAsia="Times New Roman" w:hAnsi="Times New Roman" w:cs="Times New Roman"/>
      <w:b/>
      <w:sz w:val="24"/>
      <w:szCs w:val="24"/>
      <w:lang w:val="en-GB"/>
    </w:rPr>
  </w:style>
  <w:style w:type="character" w:customStyle="1" w:styleId="HeaderCouncilLargeChar">
    <w:name w:val="Header Council Large Char"/>
    <w:link w:val="HeaderCouncilLarge"/>
    <w:rPr>
      <w:rFonts w:ascii="Times New Roman" w:eastAsia="Times New Roman" w:hAnsi="Times New Roman" w:cs="Times New Roman"/>
      <w:sz w:val="2"/>
      <w:szCs w:val="24"/>
      <w:lang w:val="en-GB"/>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outlineLvl w:val="4"/>
    </w:pPr>
    <w:rPr>
      <w:rFonts w:eastAsia="Times New Roman"/>
      <w:szCs w:val="24"/>
    </w:rPr>
  </w:style>
  <w:style w:type="paragraph" w:customStyle="1" w:styleId="Text6">
    <w:name w:val="Text 6"/>
    <w:basedOn w:val="Normal"/>
    <w:uiPriority w:val="99"/>
    <w:pPr>
      <w:spacing w:line="360" w:lineRule="auto"/>
      <w:ind w:left="3402"/>
      <w:jc w:val="left"/>
      <w:outlineLvl w:val="5"/>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outlineLvl w:val="0"/>
    </w:pPr>
    <w:rPr>
      <w:rFonts w:eastAsia="Times New Roman"/>
      <w:szCs w:val="24"/>
    </w:rPr>
  </w:style>
  <w:style w:type="paragraph" w:customStyle="1" w:styleId="PointManual2">
    <w:name w:val="Point Manual (2)"/>
    <w:basedOn w:val="Normal"/>
    <w:uiPriority w:val="99"/>
    <w:pPr>
      <w:spacing w:line="360" w:lineRule="auto"/>
      <w:ind w:left="1701" w:hanging="567"/>
      <w:jc w:val="left"/>
      <w:outlineLvl w:val="1"/>
    </w:pPr>
    <w:rPr>
      <w:rFonts w:eastAsia="Times New Roman"/>
      <w:szCs w:val="24"/>
    </w:rPr>
  </w:style>
  <w:style w:type="paragraph" w:customStyle="1" w:styleId="PointManual3">
    <w:name w:val="Point Manual (3)"/>
    <w:basedOn w:val="Normal"/>
    <w:uiPriority w:val="99"/>
    <w:pPr>
      <w:spacing w:line="360" w:lineRule="auto"/>
      <w:ind w:left="2268" w:hanging="567"/>
      <w:jc w:val="left"/>
      <w:outlineLvl w:val="2"/>
    </w:pPr>
    <w:rPr>
      <w:rFonts w:eastAsia="Times New Roman"/>
      <w:szCs w:val="24"/>
    </w:rPr>
  </w:style>
  <w:style w:type="paragraph" w:customStyle="1" w:styleId="PointManual4">
    <w:name w:val="Point Manual (4)"/>
    <w:basedOn w:val="Normal"/>
    <w:uiPriority w:val="99"/>
    <w:pPr>
      <w:spacing w:line="360" w:lineRule="auto"/>
      <w:ind w:left="2835" w:hanging="567"/>
      <w:jc w:val="left"/>
      <w:outlineLvl w:val="3"/>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outlineLvl w:val="0"/>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outlineLvl w:val="1"/>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outlineLvl w:val="2"/>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outlineLvl w:val="3"/>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outlineLvl w:val="0"/>
    </w:pPr>
    <w:rPr>
      <w:rFonts w:eastAsia="Times New Roman"/>
      <w:szCs w:val="24"/>
    </w:rPr>
  </w:style>
  <w:style w:type="paragraph" w:customStyle="1" w:styleId="Pointabc2">
    <w:name w:val="Point abc (2)"/>
    <w:basedOn w:val="Normal"/>
    <w:uiPriority w:val="99"/>
    <w:pPr>
      <w:numPr>
        <w:ilvl w:val="5"/>
        <w:numId w:val="12"/>
      </w:numPr>
      <w:spacing w:line="360" w:lineRule="auto"/>
      <w:jc w:val="left"/>
      <w:outlineLvl w:val="1"/>
    </w:pPr>
    <w:rPr>
      <w:rFonts w:eastAsia="Times New Roman"/>
      <w:szCs w:val="24"/>
    </w:rPr>
  </w:style>
  <w:style w:type="paragraph" w:customStyle="1" w:styleId="Pointabc3">
    <w:name w:val="Point abc (3)"/>
    <w:basedOn w:val="Normal"/>
    <w:uiPriority w:val="99"/>
    <w:pPr>
      <w:numPr>
        <w:ilvl w:val="7"/>
        <w:numId w:val="12"/>
      </w:numPr>
      <w:spacing w:line="360" w:lineRule="auto"/>
      <w:jc w:val="left"/>
      <w:outlineLvl w:val="2"/>
    </w:pPr>
    <w:rPr>
      <w:rFonts w:eastAsia="Times New Roman"/>
      <w:szCs w:val="24"/>
    </w:rPr>
  </w:style>
  <w:style w:type="paragraph" w:customStyle="1" w:styleId="Pointabc4">
    <w:name w:val="Point abc (4)"/>
    <w:basedOn w:val="Normal"/>
    <w:uiPriority w:val="99"/>
    <w:pPr>
      <w:numPr>
        <w:ilvl w:val="8"/>
        <w:numId w:val="12"/>
      </w:numPr>
      <w:spacing w:line="360" w:lineRule="auto"/>
      <w:jc w:val="left"/>
      <w:outlineLvl w:val="3"/>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outlineLvl w:val="0"/>
    </w:pPr>
    <w:rPr>
      <w:rFonts w:eastAsia="Times New Roman"/>
      <w:szCs w:val="24"/>
    </w:rPr>
  </w:style>
  <w:style w:type="paragraph" w:customStyle="1" w:styleId="Point1232">
    <w:name w:val="Point 123 (2)"/>
    <w:basedOn w:val="Normal"/>
    <w:uiPriority w:val="99"/>
    <w:pPr>
      <w:numPr>
        <w:ilvl w:val="4"/>
        <w:numId w:val="12"/>
      </w:numPr>
      <w:spacing w:line="360" w:lineRule="auto"/>
      <w:jc w:val="left"/>
      <w:outlineLvl w:val="1"/>
    </w:pPr>
    <w:rPr>
      <w:rFonts w:eastAsia="Times New Roman"/>
      <w:szCs w:val="24"/>
    </w:rPr>
  </w:style>
  <w:style w:type="paragraph" w:customStyle="1" w:styleId="Point1233">
    <w:name w:val="Point 123 (3)"/>
    <w:basedOn w:val="Normal"/>
    <w:uiPriority w:val="99"/>
    <w:pPr>
      <w:numPr>
        <w:ilvl w:val="6"/>
        <w:numId w:val="12"/>
      </w:numPr>
      <w:spacing w:line="360" w:lineRule="auto"/>
      <w:jc w:val="left"/>
      <w:outlineLvl w:val="2"/>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outlineLvl w:val="0"/>
    </w:pPr>
    <w:rPr>
      <w:rFonts w:eastAsia="Times New Roman"/>
      <w:szCs w:val="24"/>
    </w:rPr>
  </w:style>
  <w:style w:type="paragraph" w:customStyle="1" w:styleId="Pointivx2">
    <w:name w:val="Point ivx (2)"/>
    <w:basedOn w:val="Normal"/>
    <w:uiPriority w:val="99"/>
    <w:pPr>
      <w:numPr>
        <w:ilvl w:val="2"/>
        <w:numId w:val="13"/>
      </w:numPr>
      <w:spacing w:line="360" w:lineRule="auto"/>
      <w:jc w:val="left"/>
      <w:outlineLvl w:val="1"/>
    </w:pPr>
    <w:rPr>
      <w:rFonts w:eastAsia="Times New Roman"/>
      <w:szCs w:val="24"/>
    </w:rPr>
  </w:style>
  <w:style w:type="paragraph" w:customStyle="1" w:styleId="Pointivx3">
    <w:name w:val="Point ivx (3)"/>
    <w:basedOn w:val="Normal"/>
    <w:uiPriority w:val="99"/>
    <w:pPr>
      <w:numPr>
        <w:ilvl w:val="3"/>
        <w:numId w:val="13"/>
      </w:numPr>
      <w:spacing w:line="360" w:lineRule="auto"/>
      <w:jc w:val="left"/>
      <w:outlineLvl w:val="2"/>
    </w:pPr>
    <w:rPr>
      <w:rFonts w:eastAsia="Times New Roman"/>
      <w:szCs w:val="24"/>
    </w:rPr>
  </w:style>
  <w:style w:type="paragraph" w:customStyle="1" w:styleId="Pointivx4">
    <w:name w:val="Point ivx (4)"/>
    <w:basedOn w:val="Normal"/>
    <w:uiPriority w:val="99"/>
    <w:pPr>
      <w:numPr>
        <w:ilvl w:val="4"/>
        <w:numId w:val="13"/>
      </w:numPr>
      <w:spacing w:line="360" w:lineRule="auto"/>
      <w:jc w:val="left"/>
      <w:outlineLvl w:val="3"/>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outlineLvl w:val="0"/>
    </w:pPr>
    <w:rPr>
      <w:rFonts w:eastAsia="Times New Roman"/>
      <w:szCs w:val="24"/>
    </w:rPr>
  </w:style>
  <w:style w:type="paragraph" w:customStyle="1" w:styleId="Dash2">
    <w:name w:val="Dash 2"/>
    <w:basedOn w:val="Normal"/>
    <w:uiPriority w:val="99"/>
    <w:pPr>
      <w:numPr>
        <w:numId w:val="3"/>
      </w:numPr>
      <w:spacing w:line="360" w:lineRule="auto"/>
      <w:jc w:val="left"/>
      <w:outlineLvl w:val="1"/>
    </w:pPr>
    <w:rPr>
      <w:rFonts w:eastAsia="Times New Roman"/>
      <w:szCs w:val="24"/>
    </w:rPr>
  </w:style>
  <w:style w:type="paragraph" w:customStyle="1" w:styleId="Dash3">
    <w:name w:val="Dash 3"/>
    <w:basedOn w:val="Normal"/>
    <w:uiPriority w:val="99"/>
    <w:pPr>
      <w:numPr>
        <w:numId w:val="4"/>
      </w:numPr>
      <w:spacing w:line="360" w:lineRule="auto"/>
      <w:jc w:val="left"/>
      <w:outlineLvl w:val="2"/>
    </w:pPr>
    <w:rPr>
      <w:rFonts w:eastAsia="Times New Roman"/>
      <w:szCs w:val="24"/>
    </w:rPr>
  </w:style>
  <w:style w:type="paragraph" w:customStyle="1" w:styleId="Dash4">
    <w:name w:val="Dash 4"/>
    <w:basedOn w:val="Normal"/>
    <w:uiPriority w:val="99"/>
    <w:pPr>
      <w:numPr>
        <w:numId w:val="5"/>
      </w:numPr>
      <w:spacing w:line="360" w:lineRule="auto"/>
      <w:jc w:val="left"/>
      <w:outlineLvl w:val="3"/>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jc w:val="left"/>
    </w:pPr>
    <w:rPr>
      <w:rFonts w:eastAsia="Times New Roman"/>
      <w:szCs w:val="24"/>
    </w:rPr>
  </w:style>
  <w:style w:type="paragraph" w:customStyle="1" w:styleId="NotDeclassified">
    <w:name w:val="Not Declassified"/>
    <w:basedOn w:val="Normal"/>
    <w:uiPriority w:val="99"/>
    <w:qFormat/>
    <w:pPr>
      <w:spacing w:line="360" w:lineRule="auto"/>
      <w:jc w:val="left"/>
    </w:pPr>
    <w:rPr>
      <w:rFonts w:eastAsia="Times New Roman"/>
      <w:b/>
      <w:bCs/>
      <w:szCs w:val="24"/>
      <w:bdr w:val="single" w:sz="4" w:space="0" w:color="auto"/>
      <w:shd w:val="solid" w:color="CCCCCC" w:fill="CCCCCC"/>
      <w:lang w:val="de-LU"/>
    </w:rPr>
  </w:style>
  <w:style w:type="character" w:customStyle="1" w:styleId="TechnicalBlockChar">
    <w:name w:val="Technical Block Char"/>
    <w:link w:val="TechnicalBlock"/>
    <w:rPr>
      <w:rFonts w:ascii="Times New Roman" w:eastAsia="Times New Roman" w:hAnsi="Times New Roman" w:cs="Times New Roman"/>
      <w:sz w:val="24"/>
      <w:szCs w:val="24"/>
      <w:lang w:val="en-GB"/>
    </w:rPr>
  </w:style>
  <w:style w:type="numbering" w:customStyle="1" w:styleId="NoList1">
    <w:name w:val="No List1"/>
    <w:next w:val="NoList"/>
    <w:uiPriority w:val="99"/>
    <w:semiHidden/>
    <w:unhideWhenUsed/>
  </w:style>
  <w:style w:type="paragraph" w:styleId="ListBullet">
    <w:name w:val="List Bullet"/>
    <w:basedOn w:val="Normal"/>
    <w:uiPriority w:val="99"/>
    <w:unhideWhenUsed/>
    <w:pPr>
      <w:numPr>
        <w:numId w:val="21"/>
      </w:numPr>
      <w:tabs>
        <w:tab w:val="clear" w:pos="850"/>
        <w:tab w:val="num" w:pos="360"/>
      </w:tabs>
      <w:ind w:left="360" w:hanging="360"/>
      <w:contextualSpacing/>
    </w:pPr>
    <w:rPr>
      <w:rFonts w:eastAsia="Calibri"/>
      <w:lang w:eastAsia="en-GB"/>
    </w:rPr>
  </w:style>
  <w:style w:type="paragraph" w:styleId="ListBullet2">
    <w:name w:val="List Bullet 2"/>
    <w:basedOn w:val="Normal"/>
    <w:uiPriority w:val="99"/>
    <w:unhideWhenUsed/>
    <w:pPr>
      <w:numPr>
        <w:ilvl w:val="1"/>
        <w:numId w:val="21"/>
      </w:numPr>
      <w:tabs>
        <w:tab w:val="clear" w:pos="850"/>
        <w:tab w:val="num" w:pos="360"/>
      </w:tabs>
      <w:ind w:left="0" w:firstLine="0"/>
      <w:contextualSpacing/>
    </w:pPr>
    <w:rPr>
      <w:rFonts w:eastAsia="Calibri"/>
      <w:lang w:eastAsia="en-GB"/>
    </w:rPr>
  </w:style>
  <w:style w:type="paragraph" w:styleId="ListBullet3">
    <w:name w:val="List Bullet 3"/>
    <w:basedOn w:val="Normal"/>
    <w:uiPriority w:val="99"/>
    <w:unhideWhenUsed/>
    <w:pPr>
      <w:numPr>
        <w:ilvl w:val="2"/>
        <w:numId w:val="21"/>
      </w:numPr>
      <w:tabs>
        <w:tab w:val="clear" w:pos="850"/>
        <w:tab w:val="num" w:pos="926"/>
      </w:tabs>
      <w:ind w:left="926" w:hanging="360"/>
      <w:contextualSpacing/>
    </w:pPr>
    <w:rPr>
      <w:rFonts w:eastAsia="Calibri"/>
      <w:lang w:eastAsia="en-GB"/>
    </w:rPr>
  </w:style>
  <w:style w:type="paragraph" w:styleId="ListBullet4">
    <w:name w:val="List Bullet 4"/>
    <w:basedOn w:val="Normal"/>
    <w:uiPriority w:val="99"/>
    <w:unhideWhenUsed/>
    <w:pPr>
      <w:numPr>
        <w:ilvl w:val="3"/>
        <w:numId w:val="21"/>
      </w:numPr>
      <w:tabs>
        <w:tab w:val="clear" w:pos="850"/>
        <w:tab w:val="num" w:pos="360"/>
      </w:tabs>
      <w:ind w:left="0" w:firstLine="0"/>
      <w:contextualSpacing/>
    </w:pPr>
    <w:rPr>
      <w:rFonts w:eastAsia="Calibri"/>
      <w:lang w:eastAsia="en-GB"/>
    </w:rPr>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en-GB"/>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lang w:eastAsia="en-GB"/>
    </w:rPr>
  </w:style>
  <w:style w:type="paragraph" w:styleId="ListNumber">
    <w:name w:val="List Number"/>
    <w:basedOn w:val="Normal"/>
    <w:uiPriority w:val="99"/>
    <w:unhideWhenUsed/>
    <w:pPr>
      <w:numPr>
        <w:numId w:val="17"/>
      </w:numPr>
      <w:contextualSpacing/>
    </w:pPr>
    <w:rPr>
      <w:rFonts w:eastAsia="Calibri"/>
      <w:lang w:eastAsia="en-GB"/>
    </w:rPr>
  </w:style>
  <w:style w:type="paragraph" w:styleId="ListNumber2">
    <w:name w:val="List Number 2"/>
    <w:basedOn w:val="Normal"/>
    <w:uiPriority w:val="99"/>
    <w:unhideWhenUsed/>
    <w:pPr>
      <w:numPr>
        <w:numId w:val="18"/>
      </w:numPr>
      <w:contextualSpacing/>
    </w:pPr>
    <w:rPr>
      <w:rFonts w:eastAsia="Calibri"/>
      <w:lang w:eastAsia="en-GB"/>
    </w:rPr>
  </w:style>
  <w:style w:type="paragraph" w:styleId="ListNumber3">
    <w:name w:val="List Number 3"/>
    <w:basedOn w:val="Normal"/>
    <w:uiPriority w:val="99"/>
    <w:unhideWhenUsed/>
    <w:pPr>
      <w:numPr>
        <w:numId w:val="19"/>
      </w:numPr>
      <w:contextualSpacing/>
    </w:pPr>
    <w:rPr>
      <w:rFonts w:eastAsia="Calibri"/>
      <w:lang w:eastAsia="en-GB"/>
    </w:rPr>
  </w:style>
  <w:style w:type="paragraph" w:styleId="ListNumber4">
    <w:name w:val="List Number 4"/>
    <w:basedOn w:val="Normal"/>
    <w:uiPriority w:val="99"/>
    <w:unhideWhenUsed/>
    <w:pPr>
      <w:numPr>
        <w:numId w:val="20"/>
      </w:numPr>
      <w:contextualSpacing/>
    </w:pPr>
    <w:rPr>
      <w:rFonts w:eastAsia="Calibri"/>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lang w:eastAsia="en-GB"/>
    </w:rPr>
  </w:style>
  <w:style w:type="paragraph" w:styleId="Revision">
    <w:name w:val="Revision"/>
    <w:hidden/>
    <w:uiPriority w:val="99"/>
    <w:rPr>
      <w:rFonts w:ascii="Times New Roman" w:eastAsia="Calibri" w:hAnsi="Times New Roman" w:cs="Times New Roman"/>
      <w:sz w:val="24"/>
      <w:lang w:val="en-GB"/>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lang w:eastAsia="en-GB"/>
    </w:rPr>
  </w:style>
  <w:style w:type="paragraph" w:customStyle="1" w:styleId="Notmsl">
    <w:name w:val="Notmsl"/>
    <w:basedOn w:val="DatedadoptionPagedecouverture"/>
    <w:uiPriority w:val="99"/>
    <w:rPr>
      <w:rFonts w:eastAsia="Calibri"/>
      <w:noProof/>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EndnoteReference">
    <w:name w:val="endnote reference"/>
    <w:uiPriority w:val="99"/>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lang w:val="en-GB"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lang w:eastAsia="zh-CN"/>
    </w:rPr>
  </w:style>
  <w:style w:type="character" w:customStyle="1" w:styleId="CommentSubjectChar1">
    <w:name w:val="Comment Subject Char1"/>
    <w:rPr>
      <w:rFonts w:ascii="Times New Roman" w:eastAsia="Times New Roman" w:hAnsi="Times New Roman" w:cs="Times New Roman"/>
      <w:b/>
      <w:bCs/>
      <w:sz w:val="20"/>
      <w:szCs w:val="20"/>
      <w:lang w:val="en-GB" w:eastAsia="zh-CN"/>
    </w:rPr>
  </w:style>
  <w:style w:type="character" w:customStyle="1" w:styleId="BalloonTextChar1">
    <w:name w:val="Balloon Text Char1"/>
    <w:rPr>
      <w:rFonts w:ascii="Tahoma" w:eastAsia="Times New Roman" w:hAnsi="Tahoma" w:cs="Tahoma"/>
      <w:sz w:val="16"/>
      <w:szCs w:val="16"/>
      <w:lang w:val="en-GB" w:eastAsia="zh-CN"/>
    </w:rPr>
  </w:style>
  <w:style w:type="paragraph" w:customStyle="1" w:styleId="WW-Default">
    <w:name w:val="WW-Default"/>
    <w:uiPriority w:val="99"/>
    <w:pPr>
      <w:suppressAutoHyphens/>
      <w:autoSpaceDE w:val="0"/>
    </w:pPr>
    <w:rPr>
      <w:rFonts w:ascii="EUAlbertina" w:eastAsia="Calibri" w:hAnsi="EUAlbertina" w:cs="EUAlbertina"/>
      <w:color w:val="000000"/>
      <w:sz w:val="24"/>
      <w:szCs w:val="24"/>
      <w:lang w:val="en-GB"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u w:val="single"/>
      <w:lang w:eastAsia="zh-CN"/>
    </w:rPr>
  </w:style>
  <w:style w:type="paragraph" w:customStyle="1" w:styleId="TableContents">
    <w:name w:val="Table Contents"/>
    <w:basedOn w:val="Normal"/>
    <w:uiPriority w:val="99"/>
    <w:pPr>
      <w:suppressLineNumbers/>
      <w:suppressAutoHyphens/>
    </w:pPr>
    <w:rPr>
      <w:rFonts w:eastAsia="Calibri"/>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pPr>
    <w:rPr>
      <w:rFonts w:ascii="EUAlbertina" w:eastAsia="Calibri" w:hAnsi="EUAlbertina" w:cs="EUAlbertina"/>
      <w:color w:val="000000"/>
      <w:sz w:val="24"/>
      <w:szCs w:val="24"/>
      <w:lang w:val="en-GB"/>
    </w:rPr>
  </w:style>
  <w:style w:type="paragraph" w:customStyle="1" w:styleId="font5">
    <w:name w:val="font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
    <w:name w:val="xl64"/>
    <w:basedOn w:val="Normal"/>
    <w:uiPriority w:val="99"/>
    <w:pPr>
      <w:spacing w:before="100" w:beforeAutospacing="1" w:after="100" w:afterAutospacing="1"/>
      <w:jc w:val="left"/>
    </w:pPr>
    <w:rPr>
      <w:rFonts w:eastAsia="Times New Roman"/>
      <w:sz w:val="18"/>
      <w:szCs w:val="18"/>
      <w:lang w:eastAsia="en-GB"/>
    </w:rPr>
  </w:style>
  <w:style w:type="paragraph" w:customStyle="1" w:styleId="xl65">
    <w:name w:val="xl65"/>
    <w:basedOn w:val="Normal"/>
    <w:uiPriority w:val="99"/>
    <w:pPr>
      <w:spacing w:before="100" w:beforeAutospacing="1" w:after="100" w:afterAutospacing="1"/>
      <w:jc w:val="left"/>
    </w:pPr>
    <w:rPr>
      <w:rFonts w:eastAsia="Times New Roman"/>
      <w:sz w:val="18"/>
      <w:szCs w:val="18"/>
      <w:lang w:eastAsia="en-GB"/>
    </w:rPr>
  </w:style>
  <w:style w:type="paragraph" w:customStyle="1" w:styleId="xl66">
    <w:name w:val="xl66"/>
    <w:basedOn w:val="Normal"/>
    <w:uiPriority w:val="99"/>
    <w:pPr>
      <w:spacing w:before="100" w:beforeAutospacing="1" w:after="100" w:afterAutospacing="1"/>
      <w:jc w:val="left"/>
    </w:pPr>
    <w:rPr>
      <w:rFonts w:eastAsia="Times New Roman"/>
      <w:sz w:val="18"/>
      <w:szCs w:val="18"/>
      <w:lang w:eastAsia="en-GB"/>
    </w:rPr>
  </w:style>
  <w:style w:type="paragraph" w:customStyle="1" w:styleId="xl67">
    <w:name w:val="xl67"/>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8">
    <w:name w:val="xl68"/>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69">
    <w:name w:val="xl69"/>
    <w:basedOn w:val="Normal"/>
    <w:uiPriority w:val="99"/>
    <w:pPr>
      <w:pBdr>
        <w:top w:val="single" w:sz="8" w:space="0" w:color="auto"/>
      </w:pBdr>
      <w:spacing w:before="100" w:beforeAutospacing="1" w:after="100" w:afterAutospacing="1"/>
      <w:jc w:val="left"/>
    </w:pPr>
    <w:rPr>
      <w:rFonts w:eastAsia="Times New Roman"/>
      <w:sz w:val="18"/>
      <w:szCs w:val="18"/>
      <w:lang w:eastAsia="en-GB"/>
    </w:rPr>
  </w:style>
  <w:style w:type="paragraph" w:customStyle="1" w:styleId="xl70">
    <w:name w:val="xl70"/>
    <w:basedOn w:val="Normal"/>
    <w:uiPriority w:val="99"/>
    <w:pPr>
      <w:pBdr>
        <w:top w:val="single" w:sz="8" w:space="0" w:color="auto"/>
        <w:left w:val="single" w:sz="8" w:space="0" w:color="auto"/>
      </w:pBdr>
      <w:spacing w:before="100" w:beforeAutospacing="1" w:after="100" w:afterAutospacing="1"/>
      <w:jc w:val="left"/>
    </w:pPr>
    <w:rPr>
      <w:rFonts w:eastAsia="Times New Roman"/>
      <w:sz w:val="18"/>
      <w:szCs w:val="18"/>
      <w:lang w:eastAsia="en-GB"/>
    </w:rPr>
  </w:style>
  <w:style w:type="paragraph" w:customStyle="1" w:styleId="xl71">
    <w:name w:val="xl7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2">
    <w:name w:val="xl72"/>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3">
    <w:name w:val="xl7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74">
    <w:name w:val="xl74"/>
    <w:basedOn w:val="Normal"/>
    <w:uiPriority w:val="99"/>
    <w:pPr>
      <w:pBdr>
        <w:left w:val="single" w:sz="8" w:space="0" w:color="auto"/>
        <w:bottom w:val="single" w:sz="8" w:space="0" w:color="auto"/>
      </w:pBdr>
      <w:spacing w:before="100" w:beforeAutospacing="1" w:after="100" w:afterAutospacing="1"/>
      <w:jc w:val="left"/>
    </w:pPr>
    <w:rPr>
      <w:rFonts w:eastAsia="Times New Roman"/>
      <w:sz w:val="18"/>
      <w:szCs w:val="18"/>
      <w:lang w:eastAsia="en-GB"/>
    </w:rPr>
  </w:style>
  <w:style w:type="paragraph" w:customStyle="1" w:styleId="xl75">
    <w:name w:val="xl75"/>
    <w:basedOn w:val="Normal"/>
    <w:uiPriority w:val="99"/>
    <w:pPr>
      <w:pBdr>
        <w:top w:val="single" w:sz="8" w:space="0" w:color="000000"/>
      </w:pBdr>
      <w:spacing w:before="100" w:beforeAutospacing="1" w:after="100" w:afterAutospacing="1"/>
      <w:jc w:val="right"/>
      <w:textAlignment w:val="center"/>
    </w:pPr>
    <w:rPr>
      <w:rFonts w:eastAsia="Times New Roman"/>
      <w:sz w:val="18"/>
      <w:szCs w:val="18"/>
      <w:lang w:eastAsia="en-GB"/>
    </w:rPr>
  </w:style>
  <w:style w:type="paragraph" w:customStyle="1" w:styleId="xl76">
    <w:name w:val="xl76"/>
    <w:basedOn w:val="Normal"/>
    <w:uiPriority w:val="99"/>
    <w:pPr>
      <w:spacing w:before="100" w:beforeAutospacing="1" w:after="100" w:afterAutospacing="1"/>
      <w:jc w:val="left"/>
      <w:textAlignment w:val="center"/>
    </w:pPr>
    <w:rPr>
      <w:rFonts w:eastAsia="Times New Roman"/>
      <w:sz w:val="18"/>
      <w:szCs w:val="18"/>
      <w:lang w:eastAsia="en-GB"/>
    </w:rPr>
  </w:style>
  <w:style w:type="paragraph" w:customStyle="1" w:styleId="xl77">
    <w:name w:val="xl77"/>
    <w:basedOn w:val="Normal"/>
    <w:uiPriority w:val="99"/>
    <w:pPr>
      <w:spacing w:before="100" w:beforeAutospacing="1" w:after="100" w:afterAutospacing="1"/>
      <w:jc w:val="right"/>
      <w:textAlignment w:val="center"/>
    </w:pPr>
    <w:rPr>
      <w:rFonts w:eastAsia="Times New Roman"/>
      <w:sz w:val="18"/>
      <w:szCs w:val="18"/>
      <w:lang w:eastAsia="en-GB"/>
    </w:rPr>
  </w:style>
  <w:style w:type="paragraph" w:customStyle="1" w:styleId="xl78">
    <w:name w:val="xl7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79">
    <w:name w:val="xl79"/>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0">
    <w:name w:val="xl8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81">
    <w:name w:val="xl8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2">
    <w:name w:val="xl8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3">
    <w:name w:val="xl83"/>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4">
    <w:name w:val="xl84"/>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85">
    <w:name w:val="xl8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6">
    <w:name w:val="xl86"/>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87">
    <w:name w:val="xl8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88">
    <w:name w:val="xl88"/>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89">
    <w:name w:val="xl89"/>
    <w:basedOn w:val="Normal"/>
    <w:uiPriority w:val="99"/>
    <w:pPr>
      <w:pBdr>
        <w:bottom w:val="single" w:sz="8" w:space="0" w:color="auto"/>
      </w:pBdr>
      <w:spacing w:before="100" w:beforeAutospacing="1" w:after="100" w:afterAutospacing="1"/>
      <w:jc w:val="right"/>
      <w:textAlignment w:val="center"/>
    </w:pPr>
    <w:rPr>
      <w:rFonts w:eastAsia="Times New Roman"/>
      <w:sz w:val="18"/>
      <w:szCs w:val="18"/>
      <w:lang w:eastAsia="en-GB"/>
    </w:rPr>
  </w:style>
  <w:style w:type="paragraph" w:customStyle="1" w:styleId="xl90">
    <w:name w:val="xl90"/>
    <w:basedOn w:val="Normal"/>
    <w:uiPriority w:val="99"/>
    <w:pPr>
      <w:pBdr>
        <w:bottom w:val="single" w:sz="8" w:space="0" w:color="auto"/>
      </w:pBdr>
      <w:spacing w:before="100" w:beforeAutospacing="1" w:after="100" w:afterAutospacing="1"/>
      <w:jc w:val="right"/>
      <w:textAlignment w:val="top"/>
    </w:pPr>
    <w:rPr>
      <w:rFonts w:eastAsia="Times New Roman"/>
      <w:color w:val="FF0000"/>
      <w:sz w:val="18"/>
      <w:szCs w:val="18"/>
      <w:lang w:eastAsia="en-GB"/>
    </w:rPr>
  </w:style>
  <w:style w:type="paragraph" w:customStyle="1" w:styleId="xl91">
    <w:name w:val="xl91"/>
    <w:basedOn w:val="Normal"/>
    <w:uiPriority w:val="99"/>
    <w:pPr>
      <w:spacing w:before="100" w:beforeAutospacing="1" w:after="100" w:afterAutospacing="1"/>
      <w:jc w:val="left"/>
    </w:pPr>
    <w:rPr>
      <w:rFonts w:eastAsia="Times New Roman"/>
      <w:sz w:val="18"/>
      <w:szCs w:val="18"/>
      <w:lang w:eastAsia="en-GB"/>
    </w:rPr>
  </w:style>
  <w:style w:type="paragraph" w:customStyle="1" w:styleId="xl92">
    <w:name w:val="xl92"/>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93">
    <w:name w:val="xl93"/>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character" w:customStyle="1" w:styleId="HeaderCouncilChar">
    <w:name w:val="Header Council Char"/>
    <w:link w:val="HeaderCouncil"/>
    <w:rPr>
      <w:rFonts w:ascii="Times New Roman" w:eastAsia="Times New Roman" w:hAnsi="Times New Roman" w:cs="Times New Roman"/>
      <w:sz w:val="2"/>
      <w:szCs w:val="24"/>
      <w:lang w:val="en-GB"/>
    </w:rPr>
  </w:style>
  <w:style w:type="paragraph" w:customStyle="1" w:styleId="xl300">
    <w:name w:val="xl300"/>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301">
    <w:name w:val="xl30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302">
    <w:name w:val="xl302"/>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303">
    <w:name w:val="xl303"/>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4">
    <w:name w:val="xl304"/>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305">
    <w:name w:val="xl305"/>
    <w:basedOn w:val="Normal"/>
    <w:uiPriority w:val="99"/>
    <w:pPr>
      <w:shd w:val="clear" w:color="000000" w:fill="FFFFFF"/>
      <w:spacing w:before="100" w:beforeAutospacing="1" w:after="100" w:afterAutospacing="1"/>
      <w:jc w:val="left"/>
      <w:textAlignment w:val="top"/>
    </w:pPr>
    <w:rPr>
      <w:rFonts w:eastAsia="Times New Roman"/>
      <w:sz w:val="18"/>
      <w:szCs w:val="18"/>
      <w:lang w:eastAsia="en-GB"/>
    </w:rPr>
  </w:style>
  <w:style w:type="paragraph" w:customStyle="1" w:styleId="xl306">
    <w:name w:val="xl306"/>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307">
    <w:name w:val="xl307"/>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308">
    <w:name w:val="xl308"/>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09">
    <w:name w:val="xl309"/>
    <w:basedOn w:val="Normal"/>
    <w:uiPriority w:val="99"/>
    <w:pPr>
      <w:pBdr>
        <w:top w:val="single" w:sz="8" w:space="0" w:color="000000"/>
      </w:pBd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10">
    <w:name w:val="xl310"/>
    <w:basedOn w:val="Normal"/>
    <w:uiPriority w:val="99"/>
    <w:pPr>
      <w:pBdr>
        <w:top w:val="single" w:sz="8" w:space="0" w:color="000000"/>
      </w:pBd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11">
    <w:name w:val="xl311"/>
    <w:basedOn w:val="Normal"/>
    <w:uiPriority w:val="99"/>
    <w:pPr>
      <w:pBdr>
        <w:top w:val="single" w:sz="8" w:space="0" w:color="000000"/>
        <w:left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2">
    <w:name w:val="xl312"/>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3">
    <w:name w:val="xl313"/>
    <w:basedOn w:val="Normal"/>
    <w:uiPriority w:val="99"/>
    <w:pPr>
      <w:shd w:val="clear" w:color="000000" w:fill="A6A6A6"/>
      <w:spacing w:before="100" w:beforeAutospacing="1" w:after="100" w:afterAutospacing="1"/>
      <w:jc w:val="left"/>
      <w:textAlignment w:val="top"/>
    </w:pPr>
    <w:rPr>
      <w:rFonts w:eastAsia="Times New Roman"/>
      <w:i/>
      <w:iCs/>
      <w:sz w:val="18"/>
      <w:szCs w:val="18"/>
      <w:lang w:eastAsia="en-GB"/>
    </w:rPr>
  </w:style>
  <w:style w:type="paragraph" w:customStyle="1" w:styleId="xl314">
    <w:name w:val="xl314"/>
    <w:basedOn w:val="Normal"/>
    <w:uiPriority w:val="99"/>
    <w:pPr>
      <w:pBdr>
        <w:bottom w:val="single" w:sz="8" w:space="0" w:color="000000"/>
      </w:pBdr>
      <w:shd w:val="clear" w:color="000000" w:fill="A6A6A6"/>
      <w:spacing w:before="100" w:beforeAutospacing="1" w:after="100" w:afterAutospacing="1"/>
      <w:jc w:val="right"/>
      <w:textAlignment w:val="top"/>
    </w:pPr>
    <w:rPr>
      <w:rFonts w:eastAsia="Times New Roman"/>
      <w:i/>
      <w:iCs/>
      <w:color w:val="000000"/>
      <w:sz w:val="18"/>
      <w:szCs w:val="18"/>
      <w:lang w:eastAsia="en-GB"/>
    </w:rPr>
  </w:style>
  <w:style w:type="paragraph" w:customStyle="1" w:styleId="xl315">
    <w:name w:val="xl315"/>
    <w:basedOn w:val="Normal"/>
    <w:uiPriority w:val="99"/>
    <w:pPr>
      <w:pBdr>
        <w:bottom w:val="single" w:sz="8" w:space="0" w:color="000000"/>
      </w:pBdr>
      <w:shd w:val="clear" w:color="000000" w:fill="A6A6A6"/>
      <w:spacing w:before="100" w:beforeAutospacing="1" w:after="100" w:afterAutospacing="1"/>
      <w:jc w:val="left"/>
      <w:textAlignment w:val="top"/>
    </w:pPr>
    <w:rPr>
      <w:rFonts w:eastAsia="Times New Roman"/>
      <w:i/>
      <w:iCs/>
      <w:color w:val="000000"/>
      <w:sz w:val="18"/>
      <w:szCs w:val="18"/>
      <w:lang w:eastAsia="en-GB"/>
    </w:rPr>
  </w:style>
  <w:style w:type="paragraph" w:customStyle="1" w:styleId="xl316">
    <w:name w:val="xl316"/>
    <w:basedOn w:val="Normal"/>
    <w:uiPriority w:val="99"/>
    <w:pPr>
      <w:pBdr>
        <w:left w:val="single" w:sz="8" w:space="0" w:color="000000"/>
        <w:bottom w:val="single" w:sz="8" w:space="0" w:color="000000"/>
      </w:pBd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7">
    <w:name w:val="xl317"/>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8">
    <w:name w:val="xl318"/>
    <w:basedOn w:val="Normal"/>
    <w:uiPriority w:val="99"/>
    <w:pPr>
      <w:shd w:val="clear" w:color="000000" w:fill="A6A6A6"/>
      <w:spacing w:before="100" w:beforeAutospacing="1" w:after="100" w:afterAutospacing="1"/>
      <w:jc w:val="left"/>
      <w:textAlignment w:val="top"/>
    </w:pPr>
    <w:rPr>
      <w:rFonts w:eastAsia="Times New Roman"/>
      <w:color w:val="000000"/>
      <w:sz w:val="18"/>
      <w:szCs w:val="18"/>
      <w:lang w:eastAsia="en-GB"/>
    </w:rPr>
  </w:style>
  <w:style w:type="paragraph" w:customStyle="1" w:styleId="xl319">
    <w:name w:val="xl319"/>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0">
    <w:name w:val="xl320"/>
    <w:basedOn w:val="Normal"/>
    <w:uiPriority w:val="99"/>
    <w:pPr>
      <w:shd w:val="clear" w:color="000000" w:fill="A6A6A6"/>
      <w:spacing w:before="100" w:beforeAutospacing="1" w:after="100" w:afterAutospacing="1"/>
      <w:jc w:val="right"/>
      <w:textAlignment w:val="top"/>
    </w:pPr>
    <w:rPr>
      <w:rFonts w:eastAsia="Times New Roman"/>
      <w:color w:val="000000"/>
      <w:sz w:val="18"/>
      <w:szCs w:val="18"/>
      <w:lang w:eastAsia="en-GB"/>
    </w:rPr>
  </w:style>
  <w:style w:type="paragraph" w:customStyle="1" w:styleId="xl321">
    <w:name w:val="xl321"/>
    <w:basedOn w:val="Normal"/>
    <w:uiPriority w:val="99"/>
    <w:pPr>
      <w:shd w:val="clear" w:color="000000" w:fill="A6A6A6"/>
      <w:spacing w:before="100" w:beforeAutospacing="1" w:after="100" w:afterAutospacing="1"/>
      <w:jc w:val="left"/>
      <w:textAlignment w:val="top"/>
    </w:pPr>
    <w:rPr>
      <w:rFonts w:eastAsia="Times New Roman"/>
      <w:sz w:val="18"/>
      <w:szCs w:val="18"/>
      <w:lang w:eastAsia="en-GB"/>
    </w:rPr>
  </w:style>
  <w:style w:type="paragraph" w:customStyle="1" w:styleId="xl322">
    <w:name w:val="xl322"/>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323">
    <w:name w:val="xl32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324">
    <w:name w:val="xl324"/>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font6">
    <w:name w:val="font6"/>
    <w:basedOn w:val="Normal"/>
    <w:uiPriority w:val="99"/>
    <w:pPr>
      <w:spacing w:before="100" w:beforeAutospacing="1" w:after="100" w:afterAutospacing="1"/>
      <w:jc w:val="left"/>
    </w:pPr>
    <w:rPr>
      <w:rFonts w:ascii="Tahoma" w:eastAsia="Times New Roman" w:hAnsi="Tahoma" w:cs="Tahoma"/>
      <w:b/>
      <w:bCs/>
      <w:color w:val="000000"/>
      <w:sz w:val="16"/>
      <w:szCs w:val="16"/>
      <w:lang w:eastAsia="en-GB"/>
    </w:rPr>
  </w:style>
  <w:style w:type="paragraph" w:customStyle="1" w:styleId="font7">
    <w:name w:val="font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8">
    <w:name w:val="font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font9">
    <w:name w:val="font9"/>
    <w:basedOn w:val="Normal"/>
    <w:uiPriority w:val="99"/>
    <w:pPr>
      <w:spacing w:before="100" w:beforeAutospacing="1" w:after="100" w:afterAutospacing="1"/>
      <w:jc w:val="left"/>
    </w:pPr>
    <w:rPr>
      <w:rFonts w:eastAsia="Times New Roman"/>
      <w:sz w:val="18"/>
      <w:szCs w:val="18"/>
      <w:lang w:eastAsia="en-GB"/>
    </w:rPr>
  </w:style>
  <w:style w:type="paragraph" w:customStyle="1" w:styleId="xl26182">
    <w:name w:val="xl26182"/>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3">
    <w:name w:val="xl26183"/>
    <w:basedOn w:val="Normal"/>
    <w:uiPriority w:val="99"/>
    <w:pPr>
      <w:pBdr>
        <w:top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184">
    <w:name w:val="xl2618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185">
    <w:name w:val="xl26185"/>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186">
    <w:name w:val="xl26186"/>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87">
    <w:name w:val="xl26187"/>
    <w:basedOn w:val="Normal"/>
    <w:uiPriority w:val="99"/>
    <w:pPr>
      <w:pBdr>
        <w:bottom w:val="single" w:sz="8" w:space="0" w:color="000000"/>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188">
    <w:name w:val="xl26188"/>
    <w:basedOn w:val="Normal"/>
    <w:uiPriority w:val="99"/>
    <w:pPr>
      <w:pBdr>
        <w:bottom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189">
    <w:name w:val="xl26189"/>
    <w:basedOn w:val="Normal"/>
    <w:uiPriority w:val="99"/>
    <w:pPr>
      <w:pBdr>
        <w:top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0">
    <w:name w:val="xl26190"/>
    <w:basedOn w:val="Normal"/>
    <w:uiPriority w:val="99"/>
    <w:pPr>
      <w:pBdr>
        <w:top w:val="single" w:sz="8" w:space="0" w:color="000000"/>
      </w:pBdr>
      <w:spacing w:before="100" w:beforeAutospacing="1" w:after="100" w:afterAutospacing="1"/>
      <w:jc w:val="right"/>
      <w:textAlignment w:val="top"/>
    </w:pPr>
    <w:rPr>
      <w:rFonts w:eastAsia="Times New Roman"/>
      <w:sz w:val="18"/>
      <w:szCs w:val="18"/>
      <w:lang w:eastAsia="en-GB"/>
    </w:rPr>
  </w:style>
  <w:style w:type="paragraph" w:customStyle="1" w:styleId="xl26191">
    <w:name w:val="xl26191"/>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192">
    <w:name w:val="xl26192"/>
    <w:basedOn w:val="Normal"/>
    <w:uiPriority w:val="99"/>
    <w:pPr>
      <w:spacing w:before="100" w:beforeAutospacing="1" w:after="100" w:afterAutospacing="1"/>
      <w:jc w:val="left"/>
      <w:textAlignment w:val="top"/>
    </w:pPr>
    <w:rPr>
      <w:rFonts w:eastAsia="Times New Roman"/>
      <w:i/>
      <w:iCs/>
      <w:sz w:val="18"/>
      <w:szCs w:val="18"/>
      <w:lang w:eastAsia="en-GB"/>
    </w:rPr>
  </w:style>
  <w:style w:type="paragraph" w:customStyle="1" w:styleId="xl26193">
    <w:name w:val="xl26193"/>
    <w:basedOn w:val="Normal"/>
    <w:uiPriority w:val="99"/>
    <w:pPr>
      <w:pBdr>
        <w:bottom w:val="single" w:sz="8" w:space="0" w:color="000000"/>
      </w:pBdr>
      <w:spacing w:before="100" w:beforeAutospacing="1" w:after="100" w:afterAutospacing="1"/>
      <w:jc w:val="left"/>
      <w:textAlignment w:val="top"/>
    </w:pPr>
    <w:rPr>
      <w:rFonts w:eastAsia="Times New Roman"/>
      <w:i/>
      <w:iCs/>
      <w:sz w:val="18"/>
      <w:szCs w:val="18"/>
      <w:lang w:eastAsia="en-GB"/>
    </w:rPr>
  </w:style>
  <w:style w:type="paragraph" w:customStyle="1" w:styleId="xl26194">
    <w:name w:val="xl2619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195">
    <w:name w:val="xl26195"/>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196">
    <w:name w:val="xl26196"/>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197">
    <w:name w:val="xl26197"/>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198">
    <w:name w:val="xl26198"/>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199">
    <w:name w:val="xl2619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00">
    <w:name w:val="xl26200"/>
    <w:basedOn w:val="Normal"/>
    <w:uiPriority w:val="99"/>
    <w:pPr>
      <w:spacing w:before="100" w:beforeAutospacing="1" w:after="100" w:afterAutospacing="1"/>
      <w:jc w:val="right"/>
      <w:textAlignment w:val="top"/>
    </w:pPr>
    <w:rPr>
      <w:rFonts w:ascii="Calibri" w:eastAsia="Times New Roman" w:hAnsi="Calibri"/>
      <w:sz w:val="18"/>
      <w:szCs w:val="18"/>
      <w:lang w:eastAsia="en-GB"/>
    </w:rPr>
  </w:style>
  <w:style w:type="paragraph" w:customStyle="1" w:styleId="xl26201">
    <w:name w:val="xl26201"/>
    <w:basedOn w:val="Normal"/>
    <w:uiPriority w:val="99"/>
    <w:pPr>
      <w:pBdr>
        <w:top w:val="single" w:sz="8" w:space="0" w:color="000000"/>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2">
    <w:name w:val="xl2620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03">
    <w:name w:val="xl26203"/>
    <w:basedOn w:val="Normal"/>
    <w:uiPriority w:val="99"/>
    <w:pPr>
      <w:pBdr>
        <w:left w:val="single" w:sz="8" w:space="0" w:color="000000"/>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04">
    <w:name w:val="xl26204"/>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05">
    <w:name w:val="xl26205"/>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206">
    <w:name w:val="xl26206"/>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7">
    <w:name w:val="xl26207"/>
    <w:basedOn w:val="Normal"/>
    <w:uiPriority w:val="99"/>
    <w:pP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08">
    <w:name w:val="xl26208"/>
    <w:basedOn w:val="Normal"/>
    <w:uiPriority w:val="99"/>
    <w:pP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09">
    <w:name w:val="xl26209"/>
    <w:basedOn w:val="Normal"/>
    <w:uiPriority w:val="99"/>
    <w:pPr>
      <w:spacing w:before="100" w:beforeAutospacing="1" w:after="100" w:afterAutospacing="1"/>
      <w:jc w:val="right"/>
      <w:textAlignment w:val="top"/>
    </w:pPr>
    <w:rPr>
      <w:rFonts w:ascii="Calibri" w:eastAsia="Times New Roman" w:hAnsi="Calibri"/>
      <w:color w:val="000000"/>
      <w:sz w:val="16"/>
      <w:szCs w:val="16"/>
      <w:lang w:eastAsia="en-GB"/>
    </w:rPr>
  </w:style>
  <w:style w:type="paragraph" w:customStyle="1" w:styleId="xl26210">
    <w:name w:val="xl26210"/>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11">
    <w:name w:val="xl26211"/>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12">
    <w:name w:val="xl26212"/>
    <w:basedOn w:val="Normal"/>
    <w:uiPriority w:val="99"/>
    <w:pP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3">
    <w:name w:val="xl26213"/>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14">
    <w:name w:val="xl26214"/>
    <w:basedOn w:val="Normal"/>
    <w:uiPriority w:val="99"/>
    <w:pPr>
      <w:pBdr>
        <w:top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15">
    <w:name w:val="xl26215"/>
    <w:basedOn w:val="Normal"/>
    <w:uiPriority w:val="99"/>
    <w:pPr>
      <w:pBdr>
        <w:top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16">
    <w:name w:val="xl26216"/>
    <w:basedOn w:val="Normal"/>
    <w:uiPriority w:val="99"/>
    <w:pPr>
      <w:pBdr>
        <w:top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17">
    <w:name w:val="xl26217"/>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8">
    <w:name w:val="xl26218"/>
    <w:basedOn w:val="Normal"/>
    <w:uiPriority w:val="99"/>
    <w:pPr>
      <w:pBdr>
        <w:top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19">
    <w:name w:val="xl26219"/>
    <w:basedOn w:val="Normal"/>
    <w:uiPriority w:val="99"/>
    <w:pPr>
      <w:spacing w:before="100" w:beforeAutospacing="1" w:after="100" w:afterAutospacing="1"/>
      <w:jc w:val="left"/>
      <w:textAlignment w:val="top"/>
    </w:pPr>
    <w:rPr>
      <w:rFonts w:eastAsia="Times New Roman"/>
      <w:b/>
      <w:bCs/>
      <w:sz w:val="18"/>
      <w:szCs w:val="18"/>
      <w:lang w:eastAsia="en-GB"/>
    </w:rPr>
  </w:style>
  <w:style w:type="paragraph" w:customStyle="1" w:styleId="xl26220">
    <w:name w:val="xl2622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1">
    <w:name w:val="xl2622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222">
    <w:name w:val="xl2622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14"/>
      <w:szCs w:val="14"/>
      <w:lang w:eastAsia="en-GB"/>
    </w:rPr>
  </w:style>
  <w:style w:type="paragraph" w:customStyle="1" w:styleId="xl26223">
    <w:name w:val="xl2622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4"/>
      <w:szCs w:val="14"/>
      <w:lang w:eastAsia="en-GB"/>
    </w:rPr>
  </w:style>
  <w:style w:type="paragraph" w:customStyle="1" w:styleId="xl26224">
    <w:name w:val="xl2622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4"/>
      <w:szCs w:val="14"/>
      <w:lang w:eastAsia="en-GB"/>
    </w:rPr>
  </w:style>
  <w:style w:type="paragraph" w:customStyle="1" w:styleId="xl26225">
    <w:name w:val="xl2622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26226">
    <w:name w:val="xl26226"/>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27">
    <w:name w:val="xl26227"/>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28">
    <w:name w:val="xl26228"/>
    <w:basedOn w:val="Normal"/>
    <w:uiPriority w:val="99"/>
    <w:pPr>
      <w:pBdr>
        <w:top w:val="single" w:sz="8" w:space="0" w:color="000000"/>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29">
    <w:name w:val="xl26229"/>
    <w:basedOn w:val="Normal"/>
    <w:uiPriority w:val="99"/>
    <w:pPr>
      <w:pBdr>
        <w:top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30">
    <w:name w:val="xl2623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1">
    <w:name w:val="xl26231"/>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32">
    <w:name w:val="xl26232"/>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33">
    <w:name w:val="xl26233"/>
    <w:basedOn w:val="Normal"/>
    <w:uiPriority w:val="99"/>
    <w:pPr>
      <w:pBdr>
        <w:bottom w:val="single" w:sz="8" w:space="0" w:color="000000"/>
      </w:pBdr>
      <w:spacing w:before="100" w:beforeAutospacing="1" w:after="100" w:afterAutospacing="1"/>
      <w:jc w:val="left"/>
      <w:textAlignment w:val="top"/>
    </w:pPr>
    <w:rPr>
      <w:rFonts w:eastAsia="Times New Roman"/>
      <w:sz w:val="18"/>
      <w:szCs w:val="18"/>
      <w:lang w:eastAsia="en-GB"/>
    </w:rPr>
  </w:style>
  <w:style w:type="paragraph" w:customStyle="1" w:styleId="xl26234">
    <w:name w:val="xl26234"/>
    <w:basedOn w:val="Normal"/>
    <w:uiPriority w:val="99"/>
    <w:pPr>
      <w:pBdr>
        <w:bottom w:val="single" w:sz="8" w:space="0" w:color="000000"/>
      </w:pBdr>
      <w:spacing w:before="100" w:beforeAutospacing="1" w:after="100" w:afterAutospacing="1"/>
      <w:jc w:val="right"/>
      <w:textAlignment w:val="top"/>
    </w:pPr>
    <w:rPr>
      <w:rFonts w:eastAsia="Times New Roman"/>
      <w:color w:val="000000"/>
      <w:sz w:val="18"/>
      <w:szCs w:val="18"/>
      <w:lang w:eastAsia="en-GB"/>
    </w:rPr>
  </w:style>
  <w:style w:type="paragraph" w:customStyle="1" w:styleId="xl26235">
    <w:name w:val="xl26235"/>
    <w:basedOn w:val="Normal"/>
    <w:uiPriority w:val="99"/>
    <w:pPr>
      <w:pBdr>
        <w:bottom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36">
    <w:name w:val="xl26236"/>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37">
    <w:name w:val="xl26237"/>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38">
    <w:name w:val="xl26238"/>
    <w:basedOn w:val="Normal"/>
    <w:uiPriority w:val="99"/>
    <w:pPr>
      <w:pBdr>
        <w:bottom w:val="single" w:sz="4"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39">
    <w:name w:val="xl2623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0">
    <w:name w:val="xl26240"/>
    <w:basedOn w:val="Normal"/>
    <w:uiPriority w:val="99"/>
    <w:pP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1">
    <w:name w:val="xl26241"/>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42">
    <w:name w:val="xl26242"/>
    <w:basedOn w:val="Normal"/>
    <w:uiPriority w:val="99"/>
    <w:pPr>
      <w:pBdr>
        <w:bottom w:val="single" w:sz="8" w:space="0" w:color="auto"/>
      </w:pBdr>
      <w:spacing w:before="100" w:beforeAutospacing="1" w:after="100" w:afterAutospacing="1"/>
      <w:jc w:val="right"/>
      <w:textAlignment w:val="top"/>
    </w:pPr>
    <w:rPr>
      <w:rFonts w:eastAsia="Times New Roman"/>
      <w:i/>
      <w:iCs/>
      <w:color w:val="000000"/>
      <w:sz w:val="18"/>
      <w:szCs w:val="18"/>
      <w:lang w:eastAsia="en-GB"/>
    </w:rPr>
  </w:style>
  <w:style w:type="paragraph" w:customStyle="1" w:styleId="xl26243">
    <w:name w:val="xl26243"/>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244">
    <w:name w:val="xl26244"/>
    <w:basedOn w:val="Normal"/>
    <w:uiPriority w:val="99"/>
    <w:pPr>
      <w:pBdr>
        <w:left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45">
    <w:name w:val="xl26245"/>
    <w:basedOn w:val="Normal"/>
    <w:uiPriority w:val="99"/>
    <w:pPr>
      <w:pBdr>
        <w:bottom w:val="single" w:sz="8" w:space="0" w:color="auto"/>
      </w:pBdr>
      <w:spacing w:before="100" w:beforeAutospacing="1" w:after="100" w:afterAutospacing="1"/>
      <w:jc w:val="left"/>
      <w:textAlignment w:val="top"/>
    </w:pPr>
    <w:rPr>
      <w:rFonts w:eastAsia="Times New Roman"/>
      <w:i/>
      <w:iCs/>
      <w:sz w:val="18"/>
      <w:szCs w:val="18"/>
      <w:lang w:eastAsia="en-GB"/>
    </w:rPr>
  </w:style>
  <w:style w:type="paragraph" w:customStyle="1" w:styleId="xl26246">
    <w:name w:val="xl26246"/>
    <w:basedOn w:val="Normal"/>
    <w:uiPriority w:val="99"/>
    <w:pPr>
      <w:pBdr>
        <w:top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47">
    <w:name w:val="xl26247"/>
    <w:basedOn w:val="Normal"/>
    <w:uiPriority w:val="99"/>
    <w:pPr>
      <w:pBdr>
        <w:top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48">
    <w:name w:val="xl26248"/>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49">
    <w:name w:val="xl26249"/>
    <w:basedOn w:val="Normal"/>
    <w:uiPriority w:val="99"/>
    <w:pPr>
      <w:pBdr>
        <w:left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0">
    <w:name w:val="xl26250"/>
    <w:basedOn w:val="Normal"/>
    <w:uiPriority w:val="99"/>
    <w:pPr>
      <w:pBdr>
        <w:left w:val="single" w:sz="8" w:space="0" w:color="000000"/>
        <w:bottom w:val="single" w:sz="8" w:space="0" w:color="000000"/>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51">
    <w:name w:val="xl26251"/>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252">
    <w:name w:val="xl26252"/>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3">
    <w:name w:val="xl26253"/>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254">
    <w:name w:val="xl26254"/>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255">
    <w:name w:val="xl2625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6">
    <w:name w:val="xl26256"/>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257">
    <w:name w:val="xl2625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258">
    <w:name w:val="xl26258"/>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59">
    <w:name w:val="xl26259"/>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0">
    <w:name w:val="xl26260"/>
    <w:basedOn w:val="Normal"/>
    <w:uiPriority w:val="99"/>
    <w:pPr>
      <w:pBdr>
        <w:left w:val="single" w:sz="8" w:space="0" w:color="000000"/>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1">
    <w:name w:val="xl26261"/>
    <w:basedOn w:val="Normal"/>
    <w:uiPriority w:val="99"/>
    <w:pPr>
      <w:pBdr>
        <w:bottom w:val="single" w:sz="8" w:space="0" w:color="auto"/>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2">
    <w:name w:val="xl26262"/>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3">
    <w:name w:val="xl26263"/>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264">
    <w:name w:val="xl26264"/>
    <w:basedOn w:val="Normal"/>
    <w:uiPriority w:val="99"/>
    <w:pPr>
      <w:pBdr>
        <w:bottom w:val="single" w:sz="8" w:space="0" w:color="auto"/>
        <w:right w:val="single" w:sz="8" w:space="0" w:color="000000"/>
      </w:pBd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265">
    <w:name w:val="xl26265"/>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266">
    <w:name w:val="xl26266"/>
    <w:basedOn w:val="Normal"/>
    <w:uiPriority w:val="99"/>
    <w:pP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67">
    <w:name w:val="xl26267"/>
    <w:basedOn w:val="Normal"/>
    <w:uiPriority w:val="99"/>
    <w:pPr>
      <w:pBdr>
        <w:top w:val="single" w:sz="8" w:space="0" w:color="000000"/>
      </w:pBdr>
      <w:spacing w:before="100" w:beforeAutospacing="1" w:after="100" w:afterAutospacing="1"/>
      <w:jc w:val="left"/>
      <w:textAlignment w:val="top"/>
    </w:pPr>
    <w:rPr>
      <w:rFonts w:eastAsia="Times New Roman"/>
      <w:color w:val="000000"/>
      <w:sz w:val="18"/>
      <w:szCs w:val="18"/>
      <w:lang w:eastAsia="en-GB"/>
    </w:rPr>
  </w:style>
  <w:style w:type="paragraph" w:customStyle="1" w:styleId="xl26268">
    <w:name w:val="xl26268"/>
    <w:basedOn w:val="Normal"/>
    <w:uiPriority w:val="99"/>
    <w:pPr>
      <w:spacing w:before="100" w:beforeAutospacing="1" w:after="100" w:afterAutospacing="1"/>
      <w:jc w:val="left"/>
      <w:textAlignment w:val="top"/>
    </w:pPr>
    <w:rPr>
      <w:rFonts w:eastAsia="Times New Roman"/>
      <w:color w:val="000000"/>
      <w:sz w:val="18"/>
      <w:szCs w:val="18"/>
      <w:lang w:eastAsia="en-GB"/>
    </w:rPr>
  </w:style>
  <w:style w:type="paragraph" w:customStyle="1" w:styleId="xl26269">
    <w:name w:val="xl26269"/>
    <w:basedOn w:val="Normal"/>
    <w:uiPriority w:val="99"/>
    <w:pPr>
      <w:pBdr>
        <w:bottom w:val="single" w:sz="8" w:space="0" w:color="000000"/>
      </w:pBdr>
      <w:spacing w:before="100" w:beforeAutospacing="1" w:after="100" w:afterAutospacing="1"/>
      <w:jc w:val="right"/>
      <w:textAlignment w:val="top"/>
    </w:pPr>
    <w:rPr>
      <w:rFonts w:eastAsia="Times New Roman"/>
      <w:i/>
      <w:iCs/>
      <w:sz w:val="18"/>
      <w:szCs w:val="18"/>
      <w:lang w:eastAsia="en-GB"/>
    </w:rPr>
  </w:style>
  <w:style w:type="paragraph" w:customStyle="1" w:styleId="xl26270">
    <w:name w:val="xl26270"/>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271">
    <w:name w:val="xl26271"/>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2">
    <w:name w:val="xl26272"/>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273">
    <w:name w:val="xl26273"/>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274">
    <w:name w:val="xl26274"/>
    <w:basedOn w:val="Normal"/>
    <w:uiPriority w:val="99"/>
    <w:pPr>
      <w:spacing w:before="100" w:beforeAutospacing="1" w:after="100" w:afterAutospacing="1"/>
      <w:jc w:val="left"/>
      <w:textAlignment w:val="top"/>
    </w:pPr>
    <w:rPr>
      <w:rFonts w:ascii="Calibri" w:eastAsia="Times New Roman" w:hAnsi="Calibri"/>
      <w:color w:val="FF0000"/>
      <w:sz w:val="16"/>
      <w:szCs w:val="16"/>
      <w:lang w:eastAsia="en-GB"/>
    </w:rPr>
  </w:style>
  <w:style w:type="paragraph" w:customStyle="1" w:styleId="xl26275">
    <w:name w:val="xl262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76">
    <w:name w:val="xl262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2"/>
      <w:szCs w:val="12"/>
      <w:lang w:eastAsia="en-GB"/>
    </w:rPr>
  </w:style>
  <w:style w:type="paragraph" w:customStyle="1" w:styleId="xl26277">
    <w:name w:val="xl262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8">
    <w:name w:val="xl2627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79">
    <w:name w:val="xl262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0">
    <w:name w:val="xl26280"/>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1">
    <w:name w:val="xl2628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282">
    <w:name w:val="xl262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83">
    <w:name w:val="xl262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4">
    <w:name w:val="xl262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5">
    <w:name w:val="xl26285"/>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86">
    <w:name w:val="xl262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87">
    <w:name w:val="xl26287"/>
    <w:basedOn w:val="Normal"/>
    <w:uiPriority w:val="99"/>
    <w:pPr>
      <w:pBdr>
        <w:bottom w:val="single" w:sz="8"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88">
    <w:name w:val="xl26288"/>
    <w:basedOn w:val="Normal"/>
    <w:uiPriority w:val="99"/>
    <w:pPr>
      <w:pBdr>
        <w:bottom w:val="single" w:sz="8" w:space="0" w:color="auto"/>
      </w:pBdr>
      <w:spacing w:before="100" w:beforeAutospacing="1" w:after="100" w:afterAutospacing="1"/>
      <w:jc w:val="right"/>
      <w:textAlignment w:val="top"/>
    </w:pPr>
    <w:rPr>
      <w:rFonts w:eastAsia="Times New Roman"/>
      <w:sz w:val="12"/>
      <w:szCs w:val="12"/>
      <w:lang w:eastAsia="en-GB"/>
    </w:rPr>
  </w:style>
  <w:style w:type="paragraph" w:customStyle="1" w:styleId="xl26289">
    <w:name w:val="xl26289"/>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0">
    <w:name w:val="xl26290"/>
    <w:basedOn w:val="Normal"/>
    <w:uiPriority w:val="99"/>
    <w:pPr>
      <w:pBdr>
        <w:bottom w:val="single" w:sz="8"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291">
    <w:name w:val="xl26291"/>
    <w:basedOn w:val="Normal"/>
    <w:uiPriority w:val="99"/>
    <w:pPr>
      <w:spacing w:before="100" w:beforeAutospacing="1" w:after="100" w:afterAutospacing="1"/>
      <w:jc w:val="left"/>
      <w:textAlignment w:val="top"/>
    </w:pPr>
    <w:rPr>
      <w:rFonts w:eastAsia="Times New Roman"/>
      <w:color w:val="000000"/>
      <w:sz w:val="12"/>
      <w:szCs w:val="12"/>
      <w:lang w:eastAsia="en-GB"/>
    </w:rPr>
  </w:style>
  <w:style w:type="paragraph" w:customStyle="1" w:styleId="xl26292">
    <w:name w:val="xl26292"/>
    <w:basedOn w:val="Normal"/>
    <w:uiPriority w:val="99"/>
    <w:pPr>
      <w:spacing w:before="100" w:beforeAutospacing="1" w:after="100" w:afterAutospacing="1"/>
      <w:jc w:val="left"/>
      <w:textAlignment w:val="top"/>
    </w:pPr>
    <w:rPr>
      <w:rFonts w:ascii="Calibri" w:eastAsia="Times New Roman" w:hAnsi="Calibri"/>
      <w:b/>
      <w:bCs/>
      <w:sz w:val="12"/>
      <w:szCs w:val="12"/>
      <w:lang w:eastAsia="en-GB"/>
    </w:rPr>
  </w:style>
  <w:style w:type="paragraph" w:customStyle="1" w:styleId="xl26293">
    <w:name w:val="xl26293"/>
    <w:basedOn w:val="Normal"/>
    <w:uiPriority w:val="99"/>
    <w:pPr>
      <w:pBdr>
        <w:righ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4">
    <w:name w:val="xl26294"/>
    <w:basedOn w:val="Normal"/>
    <w:uiPriority w:val="99"/>
    <w:pPr>
      <w:pBdr>
        <w:left w:val="single" w:sz="4" w:space="0" w:color="auto"/>
      </w:pBdr>
      <w:spacing w:before="100" w:beforeAutospacing="1" w:after="100" w:afterAutospacing="1"/>
      <w:jc w:val="left"/>
      <w:textAlignment w:val="top"/>
    </w:pPr>
    <w:rPr>
      <w:rFonts w:ascii="Calibri" w:eastAsia="Times New Roman" w:hAnsi="Calibri"/>
      <w:b/>
      <w:bCs/>
      <w:color w:val="000000"/>
      <w:sz w:val="12"/>
      <w:szCs w:val="12"/>
      <w:lang w:eastAsia="en-GB"/>
    </w:rPr>
  </w:style>
  <w:style w:type="paragraph" w:customStyle="1" w:styleId="xl26295">
    <w:name w:val="xl26295"/>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296">
    <w:name w:val="xl26296"/>
    <w:basedOn w:val="Normal"/>
    <w:uiPriority w:val="99"/>
    <w:pPr>
      <w:spacing w:before="100" w:beforeAutospacing="1" w:after="100" w:afterAutospacing="1"/>
      <w:jc w:val="center"/>
      <w:textAlignment w:val="top"/>
    </w:pPr>
    <w:rPr>
      <w:rFonts w:eastAsia="Times New Roman"/>
      <w:color w:val="000000"/>
      <w:sz w:val="12"/>
      <w:szCs w:val="12"/>
      <w:lang w:eastAsia="en-GB"/>
    </w:rPr>
  </w:style>
  <w:style w:type="paragraph" w:customStyle="1" w:styleId="xl26297">
    <w:name w:val="xl26297"/>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sz w:val="12"/>
      <w:szCs w:val="12"/>
      <w:lang w:eastAsia="en-GB"/>
    </w:rPr>
  </w:style>
  <w:style w:type="paragraph" w:customStyle="1" w:styleId="xl26298">
    <w:name w:val="xl26298"/>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299">
    <w:name w:val="xl26299"/>
    <w:basedOn w:val="Normal"/>
    <w:uiPriority w:val="99"/>
    <w:pPr>
      <w:pBdr>
        <w:top w:val="single" w:sz="4" w:space="0" w:color="auto"/>
        <w:left w:val="single" w:sz="4" w:space="0" w:color="auto"/>
        <w:bottom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0">
    <w:name w:val="xl26300"/>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01">
    <w:name w:val="xl26301"/>
    <w:basedOn w:val="Normal"/>
    <w:uiPriority w:val="99"/>
    <w:pP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02">
    <w:name w:val="xl26302"/>
    <w:basedOn w:val="Normal"/>
    <w:uiPriority w:val="99"/>
    <w:pPr>
      <w:pBdr>
        <w:top w:val="single" w:sz="4" w:space="0" w:color="auto"/>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3">
    <w:name w:val="xl26303"/>
    <w:basedOn w:val="Normal"/>
    <w:uiPriority w:val="99"/>
    <w:pPr>
      <w:pBdr>
        <w:lef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4">
    <w:name w:val="xl26304"/>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05">
    <w:name w:val="xl2630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06">
    <w:name w:val="xl2630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07">
    <w:name w:val="xl26307"/>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8">
    <w:name w:val="xl26308"/>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09">
    <w:name w:val="xl26309"/>
    <w:basedOn w:val="Normal"/>
    <w:uiPriority w:val="99"/>
    <w:pP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10">
    <w:name w:val="xl26310"/>
    <w:basedOn w:val="Normal"/>
    <w:uiPriority w:val="99"/>
    <w:pPr>
      <w:spacing w:before="100" w:beforeAutospacing="1" w:after="100" w:afterAutospacing="1"/>
      <w:jc w:val="left"/>
      <w:textAlignment w:val="top"/>
    </w:pPr>
    <w:rPr>
      <w:rFonts w:eastAsia="Times New Roman"/>
      <w:color w:val="FF0000"/>
      <w:sz w:val="18"/>
      <w:szCs w:val="18"/>
      <w:lang w:eastAsia="en-GB"/>
    </w:rPr>
  </w:style>
  <w:style w:type="paragraph" w:customStyle="1" w:styleId="xl26311">
    <w:name w:val="xl26311"/>
    <w:basedOn w:val="Normal"/>
    <w:uiPriority w:val="99"/>
    <w:pPr>
      <w:spacing w:before="100" w:beforeAutospacing="1" w:after="100" w:afterAutospacing="1"/>
      <w:jc w:val="left"/>
      <w:textAlignment w:val="top"/>
    </w:pPr>
    <w:rPr>
      <w:rFonts w:ascii="Calibri" w:eastAsia="Times New Roman" w:hAnsi="Calibri"/>
      <w:color w:val="FF0000"/>
      <w:sz w:val="18"/>
      <w:szCs w:val="18"/>
      <w:lang w:eastAsia="en-GB"/>
    </w:rPr>
  </w:style>
  <w:style w:type="paragraph" w:customStyle="1" w:styleId="xl26312">
    <w:name w:val="xl26312"/>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3">
    <w:name w:val="xl2631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4">
    <w:name w:val="xl2631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Times New Roman"/>
      <w:sz w:val="18"/>
      <w:szCs w:val="18"/>
      <w:lang w:eastAsia="en-GB"/>
    </w:rPr>
  </w:style>
  <w:style w:type="paragraph" w:customStyle="1" w:styleId="xl26315">
    <w:name w:val="xl26315"/>
    <w:basedOn w:val="Normal"/>
    <w:uiPriority w:val="99"/>
    <w:pPr>
      <w:pBdr>
        <w:top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16">
    <w:name w:val="xl26316"/>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17">
    <w:name w:val="xl26317"/>
    <w:basedOn w:val="Normal"/>
    <w:uiPriority w:val="99"/>
    <w:pPr>
      <w:spacing w:before="100" w:beforeAutospacing="1" w:after="100" w:afterAutospacing="1"/>
      <w:jc w:val="right"/>
      <w:textAlignment w:val="top"/>
    </w:pPr>
    <w:rPr>
      <w:rFonts w:eastAsia="Times New Roman"/>
      <w:sz w:val="18"/>
      <w:szCs w:val="18"/>
      <w:lang w:eastAsia="en-GB"/>
    </w:rPr>
  </w:style>
  <w:style w:type="paragraph" w:customStyle="1" w:styleId="xl26318">
    <w:name w:val="xl2631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26319">
    <w:name w:val="xl26319"/>
    <w:basedOn w:val="Normal"/>
    <w:uiPriority w:val="99"/>
    <w:pPr>
      <w:spacing w:before="100" w:beforeAutospacing="1" w:after="100" w:afterAutospacing="1"/>
      <w:jc w:val="left"/>
    </w:pPr>
    <w:rPr>
      <w:rFonts w:eastAsia="Times New Roman"/>
      <w:sz w:val="18"/>
      <w:szCs w:val="18"/>
      <w:lang w:eastAsia="en-GB"/>
    </w:rPr>
  </w:style>
  <w:style w:type="paragraph" w:customStyle="1" w:styleId="xl26320">
    <w:name w:val="xl26320"/>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26321">
    <w:name w:val="xl26321"/>
    <w:basedOn w:val="Normal"/>
    <w:uiPriority w:val="99"/>
    <w:pPr>
      <w:spacing w:before="100" w:beforeAutospacing="1" w:after="100" w:afterAutospacing="1"/>
      <w:jc w:val="left"/>
      <w:textAlignment w:val="top"/>
    </w:pPr>
    <w:rPr>
      <w:rFonts w:eastAsia="Times New Roman"/>
      <w:i/>
      <w:iCs/>
      <w:color w:val="000000"/>
      <w:sz w:val="18"/>
      <w:szCs w:val="18"/>
      <w:lang w:eastAsia="en-GB"/>
    </w:rPr>
  </w:style>
  <w:style w:type="paragraph" w:customStyle="1" w:styleId="xl26322">
    <w:name w:val="xl26322"/>
    <w:basedOn w:val="Normal"/>
    <w:uiPriority w:val="99"/>
    <w:pPr>
      <w:pBdr>
        <w:top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3">
    <w:name w:val="xl26323"/>
    <w:basedOn w:val="Normal"/>
    <w:uiPriority w:val="99"/>
    <w:pPr>
      <w:pBdr>
        <w:top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4">
    <w:name w:val="xl26324"/>
    <w:basedOn w:val="Normal"/>
    <w:uiPriority w:val="99"/>
    <w:pPr>
      <w:spacing w:before="100" w:beforeAutospacing="1" w:after="100" w:afterAutospacing="1"/>
      <w:jc w:val="right"/>
      <w:textAlignment w:val="top"/>
    </w:pPr>
    <w:rPr>
      <w:rFonts w:eastAsia="Times New Roman"/>
      <w:color w:val="000000"/>
      <w:sz w:val="12"/>
      <w:szCs w:val="12"/>
      <w:lang w:eastAsia="en-GB"/>
    </w:rPr>
  </w:style>
  <w:style w:type="paragraph" w:customStyle="1" w:styleId="xl26325">
    <w:name w:val="xl26325"/>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6">
    <w:name w:val="xl26326"/>
    <w:basedOn w:val="Normal"/>
    <w:uiPriority w:val="99"/>
    <w:pPr>
      <w:pBdr>
        <w:bottom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27">
    <w:name w:val="xl26327"/>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28">
    <w:name w:val="xl26328"/>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26329">
    <w:name w:val="xl26329"/>
    <w:basedOn w:val="Normal"/>
    <w:uiPriority w:val="99"/>
    <w:pPr>
      <w:spacing w:before="100" w:beforeAutospacing="1" w:after="100" w:afterAutospacing="1"/>
      <w:jc w:val="right"/>
    </w:pPr>
    <w:rPr>
      <w:rFonts w:eastAsia="Times New Roman"/>
      <w:sz w:val="18"/>
      <w:szCs w:val="18"/>
      <w:lang w:eastAsia="en-GB"/>
    </w:rPr>
  </w:style>
  <w:style w:type="paragraph" w:customStyle="1" w:styleId="xl26330">
    <w:name w:val="xl2633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sz w:val="12"/>
      <w:szCs w:val="12"/>
      <w:lang w:eastAsia="en-GB"/>
    </w:rPr>
  </w:style>
  <w:style w:type="paragraph" w:customStyle="1" w:styleId="xl26331">
    <w:name w:val="xl2633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eastAsia="Times New Roman" w:hAnsi="Calibri"/>
      <w:color w:val="000000"/>
      <w:sz w:val="12"/>
      <w:szCs w:val="12"/>
      <w:lang w:eastAsia="en-GB"/>
    </w:rPr>
  </w:style>
  <w:style w:type="paragraph" w:customStyle="1" w:styleId="xl26332">
    <w:name w:val="xl2633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2"/>
      <w:szCs w:val="12"/>
      <w:lang w:eastAsia="en-GB"/>
    </w:rPr>
  </w:style>
  <w:style w:type="paragraph" w:customStyle="1" w:styleId="xl26333">
    <w:name w:val="xl2633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34">
    <w:name w:val="xl26334"/>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35">
    <w:name w:val="xl26335"/>
    <w:basedOn w:val="Normal"/>
    <w:uiPriority w:val="99"/>
    <w:pPr>
      <w:pBdr>
        <w:bottom w:val="single" w:sz="4" w:space="0" w:color="auto"/>
      </w:pBdr>
      <w:spacing w:before="100" w:beforeAutospacing="1" w:after="100" w:afterAutospacing="1"/>
      <w:jc w:val="center"/>
      <w:textAlignment w:val="top"/>
    </w:pPr>
    <w:rPr>
      <w:rFonts w:eastAsia="Times New Roman"/>
      <w:b/>
      <w:bCs/>
      <w:sz w:val="18"/>
      <w:szCs w:val="18"/>
      <w:lang w:eastAsia="en-GB"/>
    </w:rPr>
  </w:style>
  <w:style w:type="paragraph" w:customStyle="1" w:styleId="xl26336">
    <w:name w:val="xl26336"/>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37">
    <w:name w:val="xl26337"/>
    <w:basedOn w:val="Normal"/>
    <w:uiPriority w:val="99"/>
    <w:pPr>
      <w:pBdr>
        <w:top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8">
    <w:name w:val="xl26338"/>
    <w:basedOn w:val="Normal"/>
    <w:uiPriority w:val="99"/>
    <w:pPr>
      <w:pBdr>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39">
    <w:name w:val="xl26339"/>
    <w:basedOn w:val="Normal"/>
    <w:uiPriority w:val="99"/>
    <w:pPr>
      <w:pBdr>
        <w:bottom w:val="single" w:sz="4" w:space="0" w:color="auto"/>
        <w:right w:val="single" w:sz="4" w:space="0" w:color="auto"/>
      </w:pBdr>
      <w:spacing w:before="100" w:beforeAutospacing="1" w:after="100" w:afterAutospacing="1"/>
      <w:jc w:val="left"/>
      <w:textAlignment w:val="top"/>
    </w:pPr>
    <w:rPr>
      <w:rFonts w:eastAsia="Times New Roman"/>
      <w:color w:val="000000"/>
      <w:sz w:val="12"/>
      <w:szCs w:val="12"/>
      <w:lang w:eastAsia="en-GB"/>
    </w:rPr>
  </w:style>
  <w:style w:type="paragraph" w:customStyle="1" w:styleId="xl26340">
    <w:name w:val="xl26340"/>
    <w:basedOn w:val="Normal"/>
    <w:uiPriority w:val="99"/>
    <w:pPr>
      <w:pBdr>
        <w:left w:val="single" w:sz="4" w:space="0" w:color="auto"/>
        <w:bottom w:val="single" w:sz="4" w:space="0" w:color="auto"/>
      </w:pBdr>
      <w:spacing w:before="100" w:beforeAutospacing="1" w:after="100" w:afterAutospacing="1"/>
      <w:jc w:val="right"/>
      <w:textAlignment w:val="top"/>
    </w:pPr>
    <w:rPr>
      <w:rFonts w:eastAsia="Times New Roman"/>
      <w:sz w:val="12"/>
      <w:szCs w:val="12"/>
      <w:lang w:eastAsia="en-GB"/>
    </w:rPr>
  </w:style>
  <w:style w:type="paragraph" w:customStyle="1" w:styleId="xl26341">
    <w:name w:val="xl26341"/>
    <w:basedOn w:val="Normal"/>
    <w:uiPriority w:val="99"/>
    <w:pPr>
      <w:pBdr>
        <w:top w:val="single" w:sz="4" w:space="0" w:color="auto"/>
        <w:bottom w:val="single" w:sz="4" w:space="0" w:color="auto"/>
        <w:right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42">
    <w:name w:val="xl26342"/>
    <w:basedOn w:val="Normal"/>
    <w:uiPriority w:val="99"/>
    <w:pPr>
      <w:pBdr>
        <w:right w:val="single" w:sz="4" w:space="0" w:color="auto"/>
      </w:pBdr>
      <w:spacing w:before="100" w:beforeAutospacing="1" w:after="100" w:afterAutospacing="1"/>
      <w:jc w:val="left"/>
      <w:textAlignment w:val="top"/>
    </w:pPr>
    <w:rPr>
      <w:rFonts w:eastAsia="Times New Roman"/>
      <w:b/>
      <w:bCs/>
      <w:color w:val="000000"/>
      <w:sz w:val="12"/>
      <w:szCs w:val="12"/>
      <w:lang w:eastAsia="en-GB"/>
    </w:rPr>
  </w:style>
  <w:style w:type="paragraph" w:customStyle="1" w:styleId="xl26343">
    <w:name w:val="xl26343"/>
    <w:basedOn w:val="Normal"/>
    <w:uiPriority w:val="99"/>
    <w:pPr>
      <w:pBdr>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4">
    <w:name w:val="xl26344"/>
    <w:basedOn w:val="Normal"/>
    <w:uiPriority w:val="99"/>
    <w:pPr>
      <w:pBdr>
        <w:bottom w:val="single" w:sz="4" w:space="0" w:color="auto"/>
        <w:right w:val="single" w:sz="4" w:space="0" w:color="auto"/>
      </w:pBdr>
      <w:spacing w:before="100" w:beforeAutospacing="1" w:after="100" w:afterAutospacing="1"/>
      <w:jc w:val="left"/>
      <w:textAlignment w:val="top"/>
    </w:pPr>
    <w:rPr>
      <w:rFonts w:ascii="Calibri" w:eastAsia="Times New Roman" w:hAnsi="Calibri"/>
      <w:color w:val="000000"/>
      <w:sz w:val="12"/>
      <w:szCs w:val="12"/>
      <w:lang w:eastAsia="en-GB"/>
    </w:rPr>
  </w:style>
  <w:style w:type="paragraph" w:customStyle="1" w:styleId="xl26345">
    <w:name w:val="xl26345"/>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26346">
    <w:name w:val="xl26346"/>
    <w:basedOn w:val="Normal"/>
    <w:uiPriority w:val="99"/>
    <w:pPr>
      <w:pBdr>
        <w:bottom w:val="single" w:sz="4" w:space="0" w:color="auto"/>
      </w:pBdr>
      <w:spacing w:before="100" w:beforeAutospacing="1" w:after="100" w:afterAutospacing="1"/>
      <w:jc w:val="left"/>
      <w:textAlignment w:val="top"/>
    </w:pPr>
    <w:rPr>
      <w:rFonts w:eastAsia="Times New Roman"/>
      <w:b/>
      <w:bCs/>
      <w:sz w:val="18"/>
      <w:szCs w:val="18"/>
      <w:lang w:eastAsia="en-GB"/>
    </w:rPr>
  </w:style>
  <w:style w:type="paragraph" w:customStyle="1" w:styleId="xl26347">
    <w:name w:val="xl26347"/>
    <w:basedOn w:val="Normal"/>
    <w:uiPriority w:val="99"/>
    <w:pPr>
      <w:pBdr>
        <w:top w:val="single" w:sz="4" w:space="0" w:color="auto"/>
        <w:left w:val="single" w:sz="4" w:space="0" w:color="auto"/>
        <w:bottom w:val="single" w:sz="4" w:space="0" w:color="auto"/>
      </w:pBdr>
      <w:spacing w:before="100" w:beforeAutospacing="1" w:after="100" w:afterAutospacing="1"/>
      <w:jc w:val="center"/>
      <w:textAlignment w:val="top"/>
    </w:pPr>
    <w:rPr>
      <w:rFonts w:eastAsia="Times New Roman"/>
      <w:color w:val="000000"/>
      <w:sz w:val="12"/>
      <w:szCs w:val="12"/>
      <w:lang w:eastAsia="en-GB"/>
    </w:rPr>
  </w:style>
  <w:style w:type="paragraph" w:customStyle="1" w:styleId="xl26348">
    <w:name w:val="xl26348"/>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49">
    <w:name w:val="xl26349"/>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0">
    <w:name w:val="xl26350"/>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51">
    <w:name w:val="xl26351"/>
    <w:basedOn w:val="Normal"/>
    <w:uiPriority w:val="99"/>
    <w:pPr>
      <w:pBdr>
        <w:bottom w:val="single" w:sz="8" w:space="0" w:color="auto"/>
      </w:pBdr>
      <w:spacing w:before="100" w:beforeAutospacing="1" w:after="100" w:afterAutospacing="1"/>
      <w:jc w:val="left"/>
      <w:textAlignment w:val="top"/>
    </w:pPr>
    <w:rPr>
      <w:rFonts w:eastAsia="Times New Roman"/>
      <w:color w:val="000000"/>
      <w:sz w:val="16"/>
      <w:szCs w:val="16"/>
      <w:lang w:eastAsia="en-GB"/>
    </w:rPr>
  </w:style>
  <w:style w:type="paragraph" w:customStyle="1" w:styleId="xl26352">
    <w:name w:val="xl26352"/>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3">
    <w:name w:val="xl26353"/>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54">
    <w:name w:val="xl26354"/>
    <w:basedOn w:val="Normal"/>
    <w:uiPriority w:val="99"/>
    <w:pPr>
      <w:spacing w:before="100" w:beforeAutospacing="1" w:after="100" w:afterAutospacing="1"/>
      <w:jc w:val="right"/>
      <w:textAlignment w:val="center"/>
    </w:pPr>
    <w:rPr>
      <w:rFonts w:eastAsia="Times New Roman"/>
      <w:color w:val="000000"/>
      <w:sz w:val="18"/>
      <w:szCs w:val="18"/>
      <w:lang w:eastAsia="en-GB"/>
    </w:rPr>
  </w:style>
  <w:style w:type="paragraph" w:customStyle="1" w:styleId="xl26355">
    <w:name w:val="xl26355"/>
    <w:basedOn w:val="Normal"/>
    <w:uiPriority w:val="99"/>
    <w:pPr>
      <w:pBdr>
        <w:top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6">
    <w:name w:val="xl26356"/>
    <w:basedOn w:val="Normal"/>
    <w:uiPriority w:val="99"/>
    <w:pPr>
      <w:pBdr>
        <w:bottom w:val="single" w:sz="8" w:space="0" w:color="auto"/>
      </w:pBdr>
      <w:spacing w:before="100" w:beforeAutospacing="1" w:after="100" w:afterAutospacing="1"/>
      <w:jc w:val="right"/>
      <w:textAlignment w:val="center"/>
    </w:pPr>
    <w:rPr>
      <w:rFonts w:eastAsia="Times New Roman"/>
      <w:color w:val="000000"/>
      <w:sz w:val="18"/>
      <w:szCs w:val="18"/>
      <w:lang w:eastAsia="en-GB"/>
    </w:rPr>
  </w:style>
  <w:style w:type="paragraph" w:customStyle="1" w:styleId="xl26357">
    <w:name w:val="xl26357"/>
    <w:basedOn w:val="Normal"/>
    <w:uiPriority w:val="99"/>
    <w:pPr>
      <w:pBdr>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58">
    <w:name w:val="xl26358"/>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59">
    <w:name w:val="xl26359"/>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0">
    <w:name w:val="xl26360"/>
    <w:basedOn w:val="Normal"/>
    <w:uiPriority w:val="99"/>
    <w:pPr>
      <w:pBdr>
        <w:bottom w:val="single" w:sz="8" w:space="0" w:color="000000"/>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1">
    <w:name w:val="xl26361"/>
    <w:basedOn w:val="Normal"/>
    <w:uiPriority w:val="99"/>
    <w:pPr>
      <w:spacing w:before="100" w:beforeAutospacing="1" w:after="100" w:afterAutospacing="1"/>
      <w:jc w:val="left"/>
      <w:textAlignment w:val="top"/>
    </w:pPr>
    <w:rPr>
      <w:rFonts w:eastAsia="Times New Roman"/>
      <w:sz w:val="18"/>
      <w:szCs w:val="18"/>
      <w:lang w:eastAsia="en-GB"/>
    </w:rPr>
  </w:style>
  <w:style w:type="paragraph" w:customStyle="1" w:styleId="xl26362">
    <w:name w:val="xl26362"/>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26363">
    <w:name w:val="xl26363"/>
    <w:basedOn w:val="Normal"/>
    <w:uiPriority w:val="99"/>
    <w:pPr>
      <w:pBdr>
        <w:bottom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64">
    <w:name w:val="xl26364"/>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65">
    <w:name w:val="xl26365"/>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6">
    <w:name w:val="xl26366"/>
    <w:basedOn w:val="Normal"/>
    <w:uiPriority w:val="99"/>
    <w:pPr>
      <w:pBdr>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67">
    <w:name w:val="xl26367"/>
    <w:basedOn w:val="Normal"/>
    <w:uiPriority w:val="99"/>
    <w:pPr>
      <w:pBdr>
        <w:bottom w:val="single" w:sz="8" w:space="0" w:color="000000"/>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68">
    <w:name w:val="xl26368"/>
    <w:basedOn w:val="Normal"/>
    <w:uiPriority w:val="99"/>
    <w:pPr>
      <w:pBdr>
        <w:bottom w:val="single" w:sz="8" w:space="0" w:color="000000"/>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69">
    <w:name w:val="xl26369"/>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0">
    <w:name w:val="xl26370"/>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71">
    <w:name w:val="xl26371"/>
    <w:basedOn w:val="Normal"/>
    <w:uiPriority w:val="99"/>
    <w:pPr>
      <w:pBdr>
        <w:top w:val="single" w:sz="8" w:space="0" w:color="auto"/>
        <w:bottom w:val="single" w:sz="8" w:space="0" w:color="auto"/>
      </w:pBdr>
      <w:spacing w:before="100" w:beforeAutospacing="1" w:after="100" w:afterAutospacing="1"/>
      <w:jc w:val="right"/>
      <w:textAlignment w:val="top"/>
    </w:pPr>
    <w:rPr>
      <w:rFonts w:ascii="Calibri" w:eastAsia="Times New Roman" w:hAnsi="Calibri"/>
      <w:color w:val="000000"/>
      <w:sz w:val="18"/>
      <w:szCs w:val="18"/>
      <w:lang w:eastAsia="en-GB"/>
    </w:rPr>
  </w:style>
  <w:style w:type="paragraph" w:customStyle="1" w:styleId="xl26372">
    <w:name w:val="xl26372"/>
    <w:basedOn w:val="Normal"/>
    <w:uiPriority w:val="99"/>
    <w:pPr>
      <w:pBdr>
        <w:top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73">
    <w:name w:val="xl26373"/>
    <w:basedOn w:val="Normal"/>
    <w:uiPriority w:val="99"/>
    <w:pPr>
      <w:pBdr>
        <w:top w:val="single" w:sz="8" w:space="0" w:color="auto"/>
        <w:right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74">
    <w:name w:val="xl26374"/>
    <w:basedOn w:val="Normal"/>
    <w:uiPriority w:val="99"/>
    <w:pPr>
      <w:spacing w:before="100" w:beforeAutospacing="1" w:after="100" w:afterAutospacing="1"/>
      <w:jc w:val="right"/>
      <w:textAlignment w:val="top"/>
    </w:pPr>
    <w:rPr>
      <w:rFonts w:eastAsia="Times New Roman"/>
      <w:color w:val="000000"/>
      <w:sz w:val="18"/>
      <w:szCs w:val="18"/>
      <w:lang w:eastAsia="en-GB"/>
    </w:rPr>
  </w:style>
  <w:style w:type="paragraph" w:customStyle="1" w:styleId="xl26375">
    <w:name w:val="xl2637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sz w:val="14"/>
      <w:szCs w:val="14"/>
      <w:lang w:eastAsia="en-GB"/>
    </w:rPr>
  </w:style>
  <w:style w:type="paragraph" w:customStyle="1" w:styleId="xl26376">
    <w:name w:val="xl2637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7">
    <w:name w:val="xl2637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26378">
    <w:name w:val="xl26378"/>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26379">
    <w:name w:val="xl2637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26380">
    <w:name w:val="xl26380"/>
    <w:basedOn w:val="Normal"/>
    <w:uiPriority w:val="99"/>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1">
    <w:name w:val="xl26381"/>
    <w:basedOn w:val="Normal"/>
    <w:uiPriority w:val="99"/>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26382">
    <w:name w:val="xl26382"/>
    <w:basedOn w:val="Normal"/>
    <w:uiPriority w:val="99"/>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26383">
    <w:name w:val="xl26383"/>
    <w:basedOn w:val="Normal"/>
    <w:uiPriority w:val="99"/>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4">
    <w:name w:val="xl26384"/>
    <w:basedOn w:val="Normal"/>
    <w:uiPriority w:val="99"/>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26385">
    <w:name w:val="xl26385"/>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6">
    <w:name w:val="xl26386"/>
    <w:basedOn w:val="Normal"/>
    <w:uiPriority w:val="99"/>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26387">
    <w:name w:val="xl26387"/>
    <w:basedOn w:val="Normal"/>
    <w:uiPriority w:val="99"/>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26388">
    <w:name w:val="xl26388"/>
    <w:basedOn w:val="Normal"/>
    <w:uiPriority w:val="99"/>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26389">
    <w:name w:val="xl26389"/>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0">
    <w:name w:val="xl26390"/>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26391">
    <w:name w:val="xl26391"/>
    <w:basedOn w:val="Normal"/>
    <w:uiPriority w:val="99"/>
    <w:pPr>
      <w:pBdr>
        <w:bottom w:val="single" w:sz="4" w:space="0" w:color="auto"/>
      </w:pBdr>
      <w:spacing w:before="100" w:beforeAutospacing="1" w:after="100" w:afterAutospacing="1"/>
      <w:jc w:val="left"/>
      <w:textAlignment w:val="top"/>
    </w:pPr>
    <w:rPr>
      <w:rFonts w:eastAsia="Times New Roman"/>
      <w:sz w:val="18"/>
      <w:szCs w:val="18"/>
      <w:lang w:eastAsia="en-GB"/>
    </w:rPr>
  </w:style>
  <w:style w:type="character" w:customStyle="1" w:styleId="Heading5Char">
    <w:name w:val="Heading 5 Char"/>
    <w:basedOn w:val="DefaultParagraphFont"/>
    <w:link w:val="Heading5"/>
    <w:rPr>
      <w:rFonts w:ascii="Arial" w:eastAsia="Times New Roman" w:hAnsi="Arial" w:cs="Times New Roman"/>
      <w:szCs w:val="20"/>
      <w:lang w:val="en-GB" w:eastAsia="fr-BE"/>
    </w:rPr>
  </w:style>
  <w:style w:type="character" w:customStyle="1" w:styleId="Heading6Char">
    <w:name w:val="Heading 6 Char"/>
    <w:basedOn w:val="DefaultParagraphFont"/>
    <w:link w:val="Heading6"/>
    <w:rPr>
      <w:rFonts w:ascii="Arial" w:eastAsia="Times New Roman" w:hAnsi="Arial" w:cs="Times New Roman"/>
      <w:i/>
      <w:szCs w:val="20"/>
      <w:lang w:val="en-GB"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en-GB"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en-GB"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en-GB" w:eastAsia="fr-BE"/>
    </w:rPr>
  </w:style>
  <w:style w:type="character" w:customStyle="1" w:styleId="NotDeclassifiedCharacter">
    <w:name w:val="Not Declassified Character"/>
    <w:basedOn w:val="DefaultParagraphFont"/>
    <w:rPr>
      <w:rFonts w:ascii="Times New Roman" w:hAnsi="Times New Roman" w:cs="Times New Roman"/>
      <w:b/>
      <w:sz w:val="24"/>
      <w:bdr w:val="single" w:sz="4" w:space="0" w:color="000000"/>
      <w:shd w:val="clear" w:color="auto" w:fill="CCCCCC"/>
    </w:rPr>
  </w:style>
  <w:style w:type="character" w:customStyle="1" w:styleId="ApplicationdirecteChar">
    <w:name w:val="Application directe Char"/>
    <w:rPr>
      <w:rFonts w:ascii="Times New Roman" w:hAnsi="Times New Roman" w:cs="Times New Roman"/>
      <w:sz w:val="24"/>
      <w:lang w:val="en-GB"/>
    </w:rPr>
  </w:style>
  <w:style w:type="paragraph" w:customStyle="1" w:styleId="pj">
    <w:name w:val="p.j."/>
    <w:basedOn w:val="Normal"/>
    <w:link w:val="pjChar"/>
    <w:pPr>
      <w:spacing w:before="1200"/>
      <w:ind w:left="1440" w:hanging="1440"/>
      <w:jc w:val="left"/>
    </w:pPr>
    <w:rPr>
      <w:rFonts w:eastAsia="Calibri"/>
      <w:lang w:eastAsia="en-GB"/>
    </w:rPr>
  </w:style>
  <w:style w:type="character" w:customStyle="1" w:styleId="pjChar">
    <w:name w:val="p.j. Char"/>
    <w:link w:val="pj"/>
    <w:rPr>
      <w:rFonts w:ascii="Times New Roman" w:eastAsia="Calibri" w:hAnsi="Times New Roman" w:cs="Times New Roman"/>
      <w:sz w:val="24"/>
      <w:lang w:val="en-GB" w:eastAsia="en-GB"/>
    </w:rPr>
  </w:style>
  <w:style w:type="paragraph" w:customStyle="1" w:styleId="ListNumber2Level2">
    <w:name w:val="List Number 2 (Level 2)"/>
    <w:basedOn w:val="Text2"/>
    <w:uiPriority w:val="99"/>
    <w:pPr>
      <w:tabs>
        <w:tab w:val="num" w:pos="2619"/>
      </w:tabs>
      <w:spacing w:before="0" w:after="240"/>
      <w:ind w:left="2619" w:hanging="708"/>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4"/>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26"/>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5"/>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en-GB"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2"/>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3"/>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en-GB"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en-GB"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en-GB"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en-GB"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2"/>
      </w:numPr>
      <w:spacing w:before="0" w:after="24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en-GB"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en-GB" w:eastAsia="fr-BE"/>
    </w:rPr>
  </w:style>
  <w:style w:type="paragraph" w:customStyle="1" w:styleId="ListDash1">
    <w:name w:val="List Dash 1"/>
    <w:basedOn w:val="Text1"/>
    <w:uiPriority w:val="99"/>
    <w:pPr>
      <w:numPr>
        <w:numId w:val="33"/>
      </w:numPr>
      <w:spacing w:before="0" w:after="24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lang w:val="fi-FI"/>
    </w:rPr>
  </w:style>
  <w:style w:type="character" w:customStyle="1" w:styleId="TitrearticleChar">
    <w:name w:val="Titre article Char"/>
    <w:rPr>
      <w:rFonts w:ascii="Times New Roman" w:hAnsi="Times New Roman" w:cs="Times New Roman"/>
      <w:i/>
      <w:sz w:val="24"/>
      <w:lang w:val="en-GB"/>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4"/>
      </w:numPr>
      <w:spacing w:before="0" w:after="240"/>
    </w:pPr>
    <w:rPr>
      <w:rFonts w:eastAsia="Times New Roman"/>
      <w:szCs w:val="20"/>
    </w:rPr>
  </w:style>
  <w:style w:type="paragraph" w:customStyle="1" w:styleId="ListNumber1Level2">
    <w:name w:val="List Number 1 (Level 2)"/>
    <w:basedOn w:val="Text1"/>
    <w:uiPriority w:val="99"/>
    <w:pPr>
      <w:numPr>
        <w:ilvl w:val="1"/>
        <w:numId w:val="34"/>
      </w:numPr>
      <w:spacing w:before="0" w:after="240"/>
    </w:pPr>
    <w:rPr>
      <w:rFonts w:eastAsia="Times New Roman"/>
      <w:szCs w:val="20"/>
    </w:rPr>
  </w:style>
  <w:style w:type="paragraph" w:customStyle="1" w:styleId="ListNumber1Level3">
    <w:name w:val="List Number 1 (Level 3)"/>
    <w:basedOn w:val="Text1"/>
    <w:uiPriority w:val="99"/>
    <w:pPr>
      <w:numPr>
        <w:ilvl w:val="2"/>
        <w:numId w:val="34"/>
      </w:numPr>
      <w:spacing w:before="0" w:after="240"/>
    </w:pPr>
    <w:rPr>
      <w:rFonts w:eastAsia="Times New Roman"/>
      <w:szCs w:val="20"/>
    </w:rPr>
  </w:style>
  <w:style w:type="paragraph" w:customStyle="1" w:styleId="ListNumber1Level4">
    <w:name w:val="List Number 1 (Level 4)"/>
    <w:basedOn w:val="Text1"/>
    <w:uiPriority w:val="99"/>
    <w:pPr>
      <w:numPr>
        <w:ilvl w:val="3"/>
        <w:numId w:val="34"/>
      </w:numPr>
      <w:spacing w:before="0" w:after="240"/>
    </w:pPr>
    <w:rPr>
      <w:rFonts w:eastAsia="Times New Roman"/>
      <w:szCs w:val="20"/>
    </w:rPr>
  </w:style>
  <w:style w:type="numbering" w:customStyle="1" w:styleId="NoList11">
    <w:name w:val="No List11"/>
    <w:next w:val="NoList"/>
    <w:uiPriority w:val="99"/>
    <w:semiHidden/>
    <w:unhideWhenUsed/>
  </w:style>
  <w:style w:type="numbering" w:customStyle="1" w:styleId="NoList2">
    <w:name w:val="No List2"/>
    <w:next w:val="NoList"/>
    <w:uiPriority w:val="99"/>
    <w:semiHidden/>
    <w:unhideWhenUsed/>
  </w:style>
  <w:style w:type="numbering" w:customStyle="1" w:styleId="NoList111">
    <w:name w:val="No List111"/>
    <w:next w:val="NoList"/>
    <w:uiPriority w:val="99"/>
    <w:semiHidden/>
    <w:unhideWhenUsed/>
  </w:style>
  <w:style w:type="paragraph" w:customStyle="1" w:styleId="xl444">
    <w:name w:val="xl444"/>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5">
    <w:name w:val="xl445"/>
    <w:basedOn w:val="Normal"/>
    <w:uiPriority w:val="99"/>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46">
    <w:name w:val="xl44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47">
    <w:name w:val="xl44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448">
    <w:name w:val="xl448"/>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49">
    <w:name w:val="xl449"/>
    <w:basedOn w:val="Normal"/>
    <w:uiPriority w:val="99"/>
    <w:pPr>
      <w:pBdr>
        <w:bottom w:val="single" w:sz="8" w:space="0" w:color="000000"/>
      </w:pBdr>
      <w:spacing w:before="100" w:beforeAutospacing="1" w:after="100" w:afterAutospacing="1"/>
      <w:jc w:val="right"/>
    </w:pPr>
    <w:rPr>
      <w:rFonts w:eastAsia="Times New Roman"/>
      <w:i/>
      <w:iCs/>
      <w:color w:val="000000"/>
      <w:sz w:val="18"/>
      <w:szCs w:val="18"/>
      <w:lang w:eastAsia="en-GB"/>
    </w:rPr>
  </w:style>
  <w:style w:type="paragraph" w:customStyle="1" w:styleId="xl450">
    <w:name w:val="xl450"/>
    <w:basedOn w:val="Normal"/>
    <w:uiPriority w:val="99"/>
    <w:pPr>
      <w:pBdr>
        <w:bottom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451">
    <w:name w:val="xl451"/>
    <w:basedOn w:val="Normal"/>
    <w:uiPriority w:val="99"/>
    <w:pPr>
      <w:pBdr>
        <w:top w:val="single" w:sz="8" w:space="0" w:color="000000"/>
      </w:pBdr>
      <w:spacing w:before="100" w:beforeAutospacing="1" w:after="100" w:afterAutospacing="1"/>
      <w:jc w:val="left"/>
    </w:pPr>
    <w:rPr>
      <w:rFonts w:eastAsia="Times New Roman"/>
      <w:sz w:val="18"/>
      <w:szCs w:val="18"/>
      <w:lang w:eastAsia="en-GB"/>
    </w:rPr>
  </w:style>
  <w:style w:type="paragraph" w:customStyle="1" w:styleId="xl452">
    <w:name w:val="xl452"/>
    <w:basedOn w:val="Normal"/>
    <w:uiPriority w:val="99"/>
    <w:pPr>
      <w:pBdr>
        <w:top w:val="single" w:sz="8" w:space="0" w:color="000000"/>
      </w:pBdr>
      <w:spacing w:before="100" w:beforeAutospacing="1" w:after="100" w:afterAutospacing="1"/>
      <w:jc w:val="right"/>
    </w:pPr>
    <w:rPr>
      <w:rFonts w:eastAsia="Times New Roman"/>
      <w:sz w:val="18"/>
      <w:szCs w:val="18"/>
      <w:lang w:eastAsia="en-GB"/>
    </w:rPr>
  </w:style>
  <w:style w:type="paragraph" w:customStyle="1" w:styleId="xl453">
    <w:name w:val="xl453"/>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454">
    <w:name w:val="xl454"/>
    <w:basedOn w:val="Normal"/>
    <w:uiPriority w:val="99"/>
    <w:pPr>
      <w:spacing w:before="100" w:beforeAutospacing="1" w:after="100" w:afterAutospacing="1"/>
      <w:jc w:val="left"/>
    </w:pPr>
    <w:rPr>
      <w:rFonts w:eastAsia="Times New Roman"/>
      <w:i/>
      <w:iCs/>
      <w:sz w:val="18"/>
      <w:szCs w:val="18"/>
      <w:lang w:eastAsia="en-GB"/>
    </w:rPr>
  </w:style>
  <w:style w:type="paragraph" w:customStyle="1" w:styleId="xl455">
    <w:name w:val="xl455"/>
    <w:basedOn w:val="Normal"/>
    <w:uiPriority w:val="99"/>
    <w:pPr>
      <w:pBdr>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456">
    <w:name w:val="xl456"/>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457">
    <w:name w:val="xl457"/>
    <w:basedOn w:val="Normal"/>
    <w:uiPriority w:val="99"/>
    <w:pPr>
      <w:pBdr>
        <w:bottom w:val="single" w:sz="8" w:space="0" w:color="auto"/>
        <w:righ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58">
    <w:name w:val="xl458"/>
    <w:basedOn w:val="Normal"/>
    <w:uiPriority w:val="99"/>
    <w:pPr>
      <w:spacing w:before="100" w:beforeAutospacing="1" w:after="100" w:afterAutospacing="1"/>
      <w:jc w:val="right"/>
    </w:pPr>
    <w:rPr>
      <w:rFonts w:eastAsia="Times New Roman"/>
      <w:sz w:val="18"/>
      <w:szCs w:val="18"/>
      <w:lang w:eastAsia="en-GB"/>
    </w:rPr>
  </w:style>
  <w:style w:type="paragraph" w:customStyle="1" w:styleId="xl459">
    <w:name w:val="xl459"/>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60">
    <w:name w:val="xl460"/>
    <w:basedOn w:val="Normal"/>
    <w:uiPriority w:val="99"/>
    <w:pPr>
      <w:spacing w:before="100" w:beforeAutospacing="1" w:after="100" w:afterAutospacing="1"/>
      <w:jc w:val="left"/>
    </w:pPr>
    <w:rPr>
      <w:rFonts w:eastAsia="Times New Roman"/>
      <w:sz w:val="18"/>
      <w:szCs w:val="18"/>
      <w:lang w:eastAsia="en-GB"/>
    </w:rPr>
  </w:style>
  <w:style w:type="paragraph" w:customStyle="1" w:styleId="xl461">
    <w:name w:val="xl461"/>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462">
    <w:name w:val="xl462"/>
    <w:basedOn w:val="Normal"/>
    <w:uiPriority w:val="99"/>
    <w:pPr>
      <w:spacing w:before="100" w:beforeAutospacing="1" w:after="100" w:afterAutospacing="1"/>
      <w:jc w:val="right"/>
    </w:pPr>
    <w:rPr>
      <w:rFonts w:ascii="Calibri" w:eastAsia="Times New Roman" w:hAnsi="Calibri"/>
      <w:sz w:val="18"/>
      <w:szCs w:val="18"/>
      <w:lang w:eastAsia="en-GB"/>
    </w:rPr>
  </w:style>
  <w:style w:type="paragraph" w:customStyle="1" w:styleId="xl463">
    <w:name w:val="xl463"/>
    <w:basedOn w:val="Normal"/>
    <w:uiPriority w:val="99"/>
    <w:pPr>
      <w:pBdr>
        <w:top w:val="single" w:sz="8" w:space="0" w:color="000000"/>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4">
    <w:name w:val="xl464"/>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65">
    <w:name w:val="xl465"/>
    <w:basedOn w:val="Normal"/>
    <w:uiPriority w:val="99"/>
    <w:pPr>
      <w:pBdr>
        <w:left w:val="single" w:sz="8" w:space="0" w:color="000000"/>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66">
    <w:name w:val="xl466"/>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467">
    <w:name w:val="xl467"/>
    <w:basedOn w:val="Normal"/>
    <w:uiPriority w:val="99"/>
    <w:pPr>
      <w:spacing w:before="100" w:beforeAutospacing="1" w:after="100" w:afterAutospacing="1"/>
      <w:jc w:val="left"/>
    </w:pPr>
    <w:rPr>
      <w:rFonts w:eastAsia="Times New Roman"/>
      <w:sz w:val="18"/>
      <w:szCs w:val="18"/>
      <w:lang w:eastAsia="en-GB"/>
    </w:rPr>
  </w:style>
  <w:style w:type="paragraph" w:customStyle="1" w:styleId="xl468">
    <w:name w:val="xl468"/>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69">
    <w:name w:val="xl469"/>
    <w:basedOn w:val="Normal"/>
    <w:uiPriority w:val="99"/>
    <w:pPr>
      <w:spacing w:before="100" w:beforeAutospacing="1" w:after="100" w:afterAutospacing="1"/>
      <w:jc w:val="left"/>
    </w:pPr>
    <w:rPr>
      <w:rFonts w:ascii="Calibri" w:eastAsia="Times New Roman" w:hAnsi="Calibri"/>
      <w:color w:val="000000"/>
      <w:sz w:val="18"/>
      <w:szCs w:val="18"/>
      <w:lang w:eastAsia="en-GB"/>
    </w:rPr>
  </w:style>
  <w:style w:type="paragraph" w:customStyle="1" w:styleId="xl470">
    <w:name w:val="xl470"/>
    <w:basedOn w:val="Normal"/>
    <w:uiPriority w:val="99"/>
    <w:pPr>
      <w:spacing w:before="100" w:beforeAutospacing="1" w:after="100" w:afterAutospacing="1"/>
      <w:jc w:val="left"/>
    </w:pPr>
    <w:rPr>
      <w:rFonts w:ascii="Calibri" w:eastAsia="Times New Roman" w:hAnsi="Calibri"/>
      <w:sz w:val="16"/>
      <w:szCs w:val="16"/>
      <w:lang w:eastAsia="en-GB"/>
    </w:rPr>
  </w:style>
  <w:style w:type="paragraph" w:customStyle="1" w:styleId="xl471">
    <w:name w:val="xl471"/>
    <w:basedOn w:val="Normal"/>
    <w:uiPriority w:val="99"/>
    <w:pPr>
      <w:spacing w:before="100" w:beforeAutospacing="1" w:after="100" w:afterAutospacing="1"/>
      <w:jc w:val="right"/>
    </w:pPr>
    <w:rPr>
      <w:rFonts w:ascii="Calibri" w:eastAsia="Times New Roman" w:hAnsi="Calibri"/>
      <w:color w:val="000000"/>
      <w:sz w:val="16"/>
      <w:szCs w:val="16"/>
      <w:lang w:eastAsia="en-GB"/>
    </w:rPr>
  </w:style>
  <w:style w:type="paragraph" w:customStyle="1" w:styleId="xl472">
    <w:name w:val="xl47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73">
    <w:name w:val="xl473"/>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474">
    <w:name w:val="xl474"/>
    <w:basedOn w:val="Normal"/>
    <w:uiPriority w:val="99"/>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475">
    <w:name w:val="xl475"/>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476">
    <w:name w:val="xl476"/>
    <w:basedOn w:val="Normal"/>
    <w:uiPriority w:val="99"/>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477">
    <w:name w:val="xl477"/>
    <w:basedOn w:val="Normal"/>
    <w:uiPriority w:val="99"/>
    <w:pPr>
      <w:pBdr>
        <w:top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478">
    <w:name w:val="xl478"/>
    <w:basedOn w:val="Normal"/>
    <w:uiPriority w:val="99"/>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79">
    <w:name w:val="xl479"/>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0">
    <w:name w:val="xl480"/>
    <w:basedOn w:val="Normal"/>
    <w:uiPriority w:val="99"/>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81">
    <w:name w:val="xl481"/>
    <w:basedOn w:val="Normal"/>
    <w:uiPriority w:val="99"/>
    <w:pPr>
      <w:spacing w:before="100" w:beforeAutospacing="1" w:after="100" w:afterAutospacing="1"/>
      <w:jc w:val="left"/>
    </w:pPr>
    <w:rPr>
      <w:rFonts w:eastAsia="Times New Roman"/>
      <w:b/>
      <w:bCs/>
      <w:sz w:val="18"/>
      <w:szCs w:val="18"/>
      <w:lang w:eastAsia="en-GB"/>
    </w:rPr>
  </w:style>
  <w:style w:type="paragraph" w:customStyle="1" w:styleId="xl482">
    <w:name w:val="xl48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83">
    <w:name w:val="xl48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4"/>
      <w:szCs w:val="14"/>
      <w:lang w:eastAsia="en-GB"/>
    </w:rPr>
  </w:style>
  <w:style w:type="paragraph" w:customStyle="1" w:styleId="xl484">
    <w:name w:val="xl48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5">
    <w:name w:val="xl48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4"/>
      <w:szCs w:val="14"/>
      <w:lang w:eastAsia="en-GB"/>
    </w:rPr>
  </w:style>
  <w:style w:type="paragraph" w:customStyle="1" w:styleId="xl486">
    <w:name w:val="xl48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7">
    <w:name w:val="xl48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14"/>
      <w:szCs w:val="14"/>
      <w:lang w:eastAsia="en-GB"/>
    </w:rPr>
  </w:style>
  <w:style w:type="paragraph" w:customStyle="1" w:styleId="xl488">
    <w:name w:val="xl48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489">
    <w:name w:val="xl48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4"/>
      <w:szCs w:val="14"/>
      <w:lang w:eastAsia="en-GB"/>
    </w:rPr>
  </w:style>
  <w:style w:type="paragraph" w:customStyle="1" w:styleId="xl490">
    <w:name w:val="xl49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4"/>
      <w:szCs w:val="14"/>
      <w:lang w:eastAsia="en-GB"/>
    </w:rPr>
  </w:style>
  <w:style w:type="paragraph" w:customStyle="1" w:styleId="xl491">
    <w:name w:val="xl49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4"/>
      <w:szCs w:val="14"/>
      <w:lang w:eastAsia="en-GB"/>
    </w:rPr>
  </w:style>
  <w:style w:type="paragraph" w:customStyle="1" w:styleId="xl492">
    <w:name w:val="xl492"/>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3">
    <w:name w:val="xl493"/>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494">
    <w:name w:val="xl494"/>
    <w:basedOn w:val="Normal"/>
    <w:uiPriority w:val="99"/>
    <w:pPr>
      <w:pBdr>
        <w:top w:val="single" w:sz="8" w:space="0" w:color="000000"/>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495">
    <w:name w:val="xl495"/>
    <w:basedOn w:val="Normal"/>
    <w:uiPriority w:val="99"/>
    <w:pPr>
      <w:pBdr>
        <w:top w:val="single" w:sz="8" w:space="0" w:color="000000"/>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496">
    <w:name w:val="xl49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497">
    <w:name w:val="xl497"/>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498">
    <w:name w:val="xl498"/>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499">
    <w:name w:val="xl499"/>
    <w:basedOn w:val="Normal"/>
    <w:uiPriority w:val="99"/>
    <w:pPr>
      <w:pBdr>
        <w:bottom w:val="single" w:sz="8" w:space="0" w:color="000000"/>
      </w:pBdr>
      <w:spacing w:before="100" w:beforeAutospacing="1" w:after="100" w:afterAutospacing="1"/>
      <w:jc w:val="left"/>
    </w:pPr>
    <w:rPr>
      <w:rFonts w:eastAsia="Times New Roman"/>
      <w:sz w:val="18"/>
      <w:szCs w:val="18"/>
      <w:lang w:eastAsia="en-GB"/>
    </w:rPr>
  </w:style>
  <w:style w:type="paragraph" w:customStyle="1" w:styleId="xl500">
    <w:name w:val="xl500"/>
    <w:basedOn w:val="Normal"/>
    <w:uiPriority w:val="99"/>
    <w:pPr>
      <w:pBdr>
        <w:bottom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01">
    <w:name w:val="xl501"/>
    <w:basedOn w:val="Normal"/>
    <w:uiPriority w:val="99"/>
    <w:pPr>
      <w:pBdr>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02">
    <w:name w:val="xl502"/>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03">
    <w:name w:val="xl503"/>
    <w:basedOn w:val="Normal"/>
    <w:uiPriority w:val="99"/>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04">
    <w:name w:val="xl504"/>
    <w:basedOn w:val="Normal"/>
    <w:uiPriority w:val="99"/>
    <w:pPr>
      <w:pBdr>
        <w:bottom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05">
    <w:name w:val="xl505"/>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06">
    <w:name w:val="xl506"/>
    <w:basedOn w:val="Normal"/>
    <w:uiPriority w:val="99"/>
    <w:pPr>
      <w:spacing w:before="100" w:beforeAutospacing="1" w:after="100" w:afterAutospacing="1"/>
      <w:jc w:val="right"/>
    </w:pPr>
    <w:rPr>
      <w:rFonts w:eastAsia="Times New Roman"/>
      <w:i/>
      <w:iCs/>
      <w:color w:val="000000"/>
      <w:sz w:val="18"/>
      <w:szCs w:val="18"/>
      <w:lang w:eastAsia="en-GB"/>
    </w:rPr>
  </w:style>
  <w:style w:type="paragraph" w:customStyle="1" w:styleId="xl507">
    <w:name w:val="xl507"/>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08">
    <w:name w:val="xl508"/>
    <w:basedOn w:val="Normal"/>
    <w:uiPriority w:val="99"/>
    <w:pPr>
      <w:pBdr>
        <w:bottom w:val="single" w:sz="8" w:space="0" w:color="auto"/>
      </w:pBdr>
      <w:spacing w:before="100" w:beforeAutospacing="1" w:after="100" w:afterAutospacing="1"/>
      <w:jc w:val="right"/>
    </w:pPr>
    <w:rPr>
      <w:rFonts w:eastAsia="Times New Roman"/>
      <w:i/>
      <w:iCs/>
      <w:color w:val="000000"/>
      <w:sz w:val="18"/>
      <w:szCs w:val="18"/>
      <w:lang w:eastAsia="en-GB"/>
    </w:rPr>
  </w:style>
  <w:style w:type="paragraph" w:customStyle="1" w:styleId="xl509">
    <w:name w:val="xl50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0">
    <w:name w:val="xl510"/>
    <w:basedOn w:val="Normal"/>
    <w:uiPriority w:val="99"/>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1">
    <w:name w:val="xl511"/>
    <w:basedOn w:val="Normal"/>
    <w:uiPriority w:val="99"/>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2">
    <w:name w:val="xl512"/>
    <w:basedOn w:val="Normal"/>
    <w:uiPriority w:val="99"/>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3">
    <w:name w:val="xl513"/>
    <w:basedOn w:val="Normal"/>
    <w:uiPriority w:val="99"/>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4">
    <w:name w:val="xl514"/>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5">
    <w:name w:val="xl515"/>
    <w:basedOn w:val="Normal"/>
    <w:uiPriority w:val="99"/>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6">
    <w:name w:val="xl516"/>
    <w:basedOn w:val="Normal"/>
    <w:uiPriority w:val="99"/>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7">
    <w:name w:val="xl5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18">
    <w:name w:val="xl518"/>
    <w:basedOn w:val="Normal"/>
    <w:uiPriority w:val="99"/>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
    <w:name w:val="xl519"/>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
    <w:name w:val="xl520"/>
    <w:basedOn w:val="Normal"/>
    <w:uiPriority w:val="99"/>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1">
    <w:name w:val="xl521"/>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2">
    <w:name w:val="xl52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3">
    <w:name w:val="xl523"/>
    <w:basedOn w:val="Normal"/>
    <w:uiPriority w:val="99"/>
    <w:pPr>
      <w:spacing w:before="100" w:beforeAutospacing="1" w:after="100" w:afterAutospacing="1"/>
      <w:jc w:val="right"/>
    </w:pPr>
    <w:rPr>
      <w:rFonts w:eastAsia="Times New Roman"/>
      <w:sz w:val="18"/>
      <w:szCs w:val="18"/>
      <w:lang w:eastAsia="en-GB"/>
    </w:rPr>
  </w:style>
  <w:style w:type="paragraph" w:customStyle="1" w:styleId="xl524">
    <w:name w:val="xl524"/>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5">
    <w:name w:val="xl525"/>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26">
    <w:name w:val="xl526"/>
    <w:basedOn w:val="Normal"/>
    <w:uiPriority w:val="99"/>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7">
    <w:name w:val="xl527"/>
    <w:basedOn w:val="Normal"/>
    <w:uiPriority w:val="99"/>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28">
    <w:name w:val="xl528"/>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9">
    <w:name w:val="xl529"/>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30">
    <w:name w:val="xl530"/>
    <w:basedOn w:val="Normal"/>
    <w:uiPriority w:val="99"/>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31">
    <w:name w:val="xl531"/>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32">
    <w:name w:val="xl532"/>
    <w:basedOn w:val="Normal"/>
    <w:uiPriority w:val="99"/>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33">
    <w:name w:val="xl533"/>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34">
    <w:name w:val="xl53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35">
    <w:name w:val="xl535"/>
    <w:basedOn w:val="Normal"/>
    <w:uiPriority w:val="99"/>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36">
    <w:name w:val="xl536"/>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37">
    <w:name w:val="xl537"/>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38">
    <w:name w:val="xl538"/>
    <w:basedOn w:val="Normal"/>
    <w:uiPriority w:val="99"/>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39">
    <w:name w:val="xl539"/>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40">
    <w:name w:val="xl540"/>
    <w:basedOn w:val="Normal"/>
    <w:uiPriority w:val="99"/>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41">
    <w:name w:val="xl54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42">
    <w:name w:val="xl54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43">
    <w:name w:val="xl543"/>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4">
    <w:name w:val="xl544"/>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45">
    <w:name w:val="xl545"/>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46">
    <w:name w:val="xl546"/>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47">
    <w:name w:val="xl54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48">
    <w:name w:val="xl54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49">
    <w:name w:val="xl54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0">
    <w:name w:val="xl55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51">
    <w:name w:val="xl551"/>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2">
    <w:name w:val="xl55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53">
    <w:name w:val="xl553"/>
    <w:basedOn w:val="Normal"/>
    <w:uiPriority w:val="99"/>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54">
    <w:name w:val="xl554"/>
    <w:basedOn w:val="Normal"/>
    <w:uiPriority w:val="99"/>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55">
    <w:name w:val="xl555"/>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6">
    <w:name w:val="xl556"/>
    <w:basedOn w:val="Normal"/>
    <w:uiPriority w:val="99"/>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57">
    <w:name w:val="xl557"/>
    <w:basedOn w:val="Normal"/>
    <w:uiPriority w:val="99"/>
    <w:pPr>
      <w:spacing w:before="100" w:beforeAutospacing="1" w:after="100" w:afterAutospacing="1"/>
      <w:jc w:val="left"/>
    </w:pPr>
    <w:rPr>
      <w:rFonts w:eastAsia="Times New Roman"/>
      <w:color w:val="000000"/>
      <w:sz w:val="12"/>
      <w:szCs w:val="12"/>
      <w:lang w:eastAsia="en-GB"/>
    </w:rPr>
  </w:style>
  <w:style w:type="paragraph" w:customStyle="1" w:styleId="xl558">
    <w:name w:val="xl558"/>
    <w:basedOn w:val="Normal"/>
    <w:uiPriority w:val="99"/>
    <w:pPr>
      <w:spacing w:before="100" w:beforeAutospacing="1" w:after="100" w:afterAutospacing="1"/>
      <w:jc w:val="left"/>
    </w:pPr>
    <w:rPr>
      <w:rFonts w:ascii="Calibri" w:eastAsia="Times New Roman" w:hAnsi="Calibri"/>
      <w:b/>
      <w:bCs/>
      <w:sz w:val="12"/>
      <w:szCs w:val="12"/>
      <w:lang w:eastAsia="en-GB"/>
    </w:rPr>
  </w:style>
  <w:style w:type="paragraph" w:customStyle="1" w:styleId="xl559">
    <w:name w:val="xl559"/>
    <w:basedOn w:val="Normal"/>
    <w:uiPriority w:val="99"/>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0">
    <w:name w:val="xl560"/>
    <w:basedOn w:val="Normal"/>
    <w:uiPriority w:val="99"/>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61">
    <w:name w:val="xl561"/>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2">
    <w:name w:val="xl562"/>
    <w:basedOn w:val="Normal"/>
    <w:uiPriority w:val="99"/>
    <w:pPr>
      <w:spacing w:before="100" w:beforeAutospacing="1" w:after="100" w:afterAutospacing="1"/>
      <w:jc w:val="center"/>
    </w:pPr>
    <w:rPr>
      <w:rFonts w:eastAsia="Times New Roman"/>
      <w:color w:val="000000"/>
      <w:sz w:val="12"/>
      <w:szCs w:val="12"/>
      <w:lang w:eastAsia="en-GB"/>
    </w:rPr>
  </w:style>
  <w:style w:type="paragraph" w:customStyle="1" w:styleId="xl563">
    <w:name w:val="xl563"/>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64">
    <w:name w:val="xl564"/>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5">
    <w:name w:val="xl565"/>
    <w:basedOn w:val="Normal"/>
    <w:uiPriority w:val="99"/>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6">
    <w:name w:val="xl566"/>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67">
    <w:name w:val="xl567"/>
    <w:basedOn w:val="Normal"/>
    <w:uiPriority w:val="99"/>
    <w:pPr>
      <w:spacing w:before="100" w:beforeAutospacing="1" w:after="100" w:afterAutospacing="1"/>
      <w:jc w:val="left"/>
    </w:pPr>
    <w:rPr>
      <w:rFonts w:eastAsia="Times New Roman"/>
      <w:b/>
      <w:bCs/>
      <w:color w:val="000000"/>
      <w:sz w:val="12"/>
      <w:szCs w:val="12"/>
      <w:lang w:eastAsia="en-GB"/>
    </w:rPr>
  </w:style>
  <w:style w:type="paragraph" w:customStyle="1" w:styleId="xl568">
    <w:name w:val="xl568"/>
    <w:basedOn w:val="Normal"/>
    <w:uiPriority w:val="99"/>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69">
    <w:name w:val="xl569"/>
    <w:basedOn w:val="Normal"/>
    <w:uiPriority w:val="99"/>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70">
    <w:name w:val="xl570"/>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71">
    <w:name w:val="xl57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72">
    <w:name w:val="xl572"/>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73">
    <w:name w:val="xl573"/>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4">
    <w:name w:val="xl574"/>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575">
    <w:name w:val="xl575"/>
    <w:basedOn w:val="Normal"/>
    <w:uiPriority w:val="99"/>
    <w:pPr>
      <w:spacing w:before="100" w:beforeAutospacing="1" w:after="100" w:afterAutospacing="1"/>
      <w:jc w:val="left"/>
    </w:pPr>
    <w:rPr>
      <w:rFonts w:ascii="Calibri" w:eastAsia="Times New Roman" w:hAnsi="Calibri"/>
      <w:sz w:val="18"/>
      <w:szCs w:val="18"/>
      <w:lang w:eastAsia="en-GB"/>
    </w:rPr>
  </w:style>
  <w:style w:type="paragraph" w:customStyle="1" w:styleId="xl576">
    <w:name w:val="xl57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77">
    <w:name w:val="xl577"/>
    <w:basedOn w:val="Normal"/>
    <w:uiPriority w:val="99"/>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78">
    <w:name w:val="xl578"/>
    <w:basedOn w:val="Normal"/>
    <w:uiPriority w:val="99"/>
    <w:pPr>
      <w:spacing w:before="100" w:beforeAutospacing="1" w:after="100" w:afterAutospacing="1"/>
      <w:jc w:val="right"/>
    </w:pPr>
    <w:rPr>
      <w:rFonts w:eastAsia="Times New Roman"/>
      <w:sz w:val="18"/>
      <w:szCs w:val="18"/>
      <w:lang w:eastAsia="en-GB"/>
    </w:rPr>
  </w:style>
  <w:style w:type="paragraph" w:customStyle="1" w:styleId="xl579">
    <w:name w:val="xl57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80">
    <w:name w:val="xl58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81">
    <w:name w:val="xl581"/>
    <w:basedOn w:val="Normal"/>
    <w:uiPriority w:val="99"/>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82">
    <w:name w:val="xl582"/>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83">
    <w:name w:val="xl583"/>
    <w:basedOn w:val="Normal"/>
    <w:uiPriority w:val="99"/>
    <w:pPr>
      <w:spacing w:before="100" w:beforeAutospacing="1" w:after="100" w:afterAutospacing="1"/>
      <w:jc w:val="right"/>
    </w:pPr>
    <w:rPr>
      <w:rFonts w:eastAsia="Times New Roman"/>
      <w:sz w:val="18"/>
      <w:szCs w:val="18"/>
      <w:lang w:eastAsia="en-GB"/>
    </w:rPr>
  </w:style>
  <w:style w:type="paragraph" w:customStyle="1" w:styleId="xl584">
    <w:name w:val="xl584"/>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85">
    <w:name w:val="xl585"/>
    <w:basedOn w:val="Normal"/>
    <w:uiPriority w:val="99"/>
    <w:pPr>
      <w:spacing w:before="100" w:beforeAutospacing="1" w:after="100" w:afterAutospacing="1"/>
      <w:jc w:val="left"/>
    </w:pPr>
    <w:rPr>
      <w:rFonts w:eastAsia="Times New Roman"/>
      <w:sz w:val="18"/>
      <w:szCs w:val="18"/>
      <w:lang w:eastAsia="en-GB"/>
    </w:rPr>
  </w:style>
  <w:style w:type="paragraph" w:customStyle="1" w:styleId="xl586">
    <w:name w:val="xl586"/>
    <w:basedOn w:val="Normal"/>
    <w:uiPriority w:val="99"/>
    <w:pPr>
      <w:spacing w:before="100" w:beforeAutospacing="1" w:after="100" w:afterAutospacing="1"/>
      <w:jc w:val="left"/>
    </w:pPr>
    <w:rPr>
      <w:rFonts w:eastAsia="Times New Roman"/>
      <w:color w:val="FF0000"/>
      <w:sz w:val="18"/>
      <w:szCs w:val="18"/>
      <w:lang w:eastAsia="en-GB"/>
    </w:rPr>
  </w:style>
  <w:style w:type="paragraph" w:customStyle="1" w:styleId="xl587">
    <w:name w:val="xl587"/>
    <w:basedOn w:val="Normal"/>
    <w:uiPriority w:val="99"/>
    <w:pPr>
      <w:spacing w:before="100" w:beforeAutospacing="1" w:after="100" w:afterAutospacing="1"/>
      <w:jc w:val="left"/>
    </w:pPr>
    <w:rPr>
      <w:rFonts w:eastAsia="Times New Roman"/>
      <w:i/>
      <w:iCs/>
      <w:color w:val="000000"/>
      <w:sz w:val="18"/>
      <w:szCs w:val="18"/>
      <w:lang w:eastAsia="en-GB"/>
    </w:rPr>
  </w:style>
  <w:style w:type="paragraph" w:customStyle="1" w:styleId="xl588">
    <w:name w:val="xl588"/>
    <w:basedOn w:val="Normal"/>
    <w:uiPriority w:val="99"/>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89">
    <w:name w:val="xl589"/>
    <w:basedOn w:val="Normal"/>
    <w:uiPriority w:val="99"/>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0">
    <w:name w:val="xl590"/>
    <w:basedOn w:val="Normal"/>
    <w:uiPriority w:val="99"/>
    <w:pPr>
      <w:spacing w:before="100" w:beforeAutospacing="1" w:after="100" w:afterAutospacing="1"/>
      <w:jc w:val="right"/>
    </w:pPr>
    <w:rPr>
      <w:rFonts w:eastAsia="Times New Roman"/>
      <w:color w:val="000000"/>
      <w:sz w:val="12"/>
      <w:szCs w:val="12"/>
      <w:lang w:eastAsia="en-GB"/>
    </w:rPr>
  </w:style>
  <w:style w:type="paragraph" w:customStyle="1" w:styleId="xl591">
    <w:name w:val="xl591"/>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2">
    <w:name w:val="xl592"/>
    <w:basedOn w:val="Normal"/>
    <w:uiPriority w:val="99"/>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3">
    <w:name w:val="xl593"/>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94">
    <w:name w:val="xl59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95">
    <w:name w:val="xl595"/>
    <w:basedOn w:val="Normal"/>
    <w:uiPriority w:val="99"/>
    <w:pPr>
      <w:spacing w:before="100" w:beforeAutospacing="1" w:after="100" w:afterAutospacing="1"/>
      <w:jc w:val="right"/>
    </w:pPr>
    <w:rPr>
      <w:rFonts w:eastAsia="Times New Roman"/>
      <w:sz w:val="18"/>
      <w:szCs w:val="18"/>
      <w:lang w:eastAsia="en-GB"/>
    </w:rPr>
  </w:style>
  <w:style w:type="paragraph" w:customStyle="1" w:styleId="xl596">
    <w:name w:val="xl596"/>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97">
    <w:name w:val="xl597"/>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98">
    <w:name w:val="xl598"/>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99">
    <w:name w:val="xl5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600">
    <w:name w:val="xl600"/>
    <w:basedOn w:val="Normal"/>
    <w:uiPriority w:val="99"/>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1">
    <w:name w:val="xl601"/>
    <w:basedOn w:val="Normal"/>
    <w:uiPriority w:val="99"/>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602">
    <w:name w:val="xl602"/>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3">
    <w:name w:val="xl603"/>
    <w:basedOn w:val="Normal"/>
    <w:uiPriority w:val="99"/>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4">
    <w:name w:val="xl604"/>
    <w:basedOn w:val="Normal"/>
    <w:uiPriority w:val="99"/>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5">
    <w:name w:val="xl605"/>
    <w:basedOn w:val="Normal"/>
    <w:uiPriority w:val="99"/>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606">
    <w:name w:val="xl606"/>
    <w:basedOn w:val="Normal"/>
    <w:uiPriority w:val="99"/>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607">
    <w:name w:val="xl607"/>
    <w:basedOn w:val="Normal"/>
    <w:uiPriority w:val="99"/>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08">
    <w:name w:val="xl608"/>
    <w:basedOn w:val="Normal"/>
    <w:uiPriority w:val="99"/>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609">
    <w:name w:val="xl609"/>
    <w:basedOn w:val="Normal"/>
    <w:uiPriority w:val="99"/>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0">
    <w:name w:val="xl610"/>
    <w:basedOn w:val="Normal"/>
    <w:uiPriority w:val="99"/>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611">
    <w:name w:val="xl611"/>
    <w:basedOn w:val="Normal"/>
    <w:uiPriority w:val="99"/>
    <w:pPr>
      <w:spacing w:before="100" w:beforeAutospacing="1" w:after="100" w:afterAutospacing="1"/>
      <w:jc w:val="left"/>
    </w:pPr>
    <w:rPr>
      <w:rFonts w:ascii="Calibri" w:eastAsia="Times New Roman" w:hAnsi="Calibri"/>
      <w:color w:val="1F497D"/>
      <w:sz w:val="22"/>
      <w:lang w:eastAsia="en-GB"/>
    </w:rPr>
  </w:style>
  <w:style w:type="paragraph" w:customStyle="1" w:styleId="xl612">
    <w:name w:val="xl612"/>
    <w:basedOn w:val="Normal"/>
    <w:uiPriority w:val="99"/>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613">
    <w:name w:val="xl613"/>
    <w:basedOn w:val="Normal"/>
    <w:uiPriority w:val="99"/>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614">
    <w:name w:val="xl614"/>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15">
    <w:name w:val="xl615"/>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6">
    <w:name w:val="xl616"/>
    <w:basedOn w:val="Normal"/>
    <w:uiPriority w:val="99"/>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17">
    <w:name w:val="xl617"/>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18">
    <w:name w:val="xl618"/>
    <w:basedOn w:val="Normal"/>
    <w:uiPriority w:val="99"/>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619">
    <w:name w:val="xl619"/>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0">
    <w:name w:val="xl620"/>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1">
    <w:name w:val="xl621"/>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22">
    <w:name w:val="xl622"/>
    <w:basedOn w:val="Normal"/>
    <w:uiPriority w:val="99"/>
    <w:pPr>
      <w:spacing w:before="100" w:beforeAutospacing="1" w:after="100" w:afterAutospacing="1"/>
      <w:jc w:val="right"/>
    </w:pPr>
    <w:rPr>
      <w:rFonts w:eastAsia="Times New Roman"/>
      <w:color w:val="000000"/>
      <w:sz w:val="18"/>
      <w:szCs w:val="18"/>
      <w:lang w:eastAsia="en-GB"/>
    </w:rPr>
  </w:style>
  <w:style w:type="paragraph" w:customStyle="1" w:styleId="xl623">
    <w:name w:val="xl623"/>
    <w:basedOn w:val="Normal"/>
    <w:uiPriority w:val="99"/>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4">
    <w:name w:val="xl624"/>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25">
    <w:name w:val="xl625"/>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6">
    <w:name w:val="xl626"/>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27">
    <w:name w:val="xl627"/>
    <w:basedOn w:val="Normal"/>
    <w:uiPriority w:val="99"/>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628">
    <w:name w:val="xl628"/>
    <w:basedOn w:val="Normal"/>
    <w:uiPriority w:val="99"/>
    <w:pPr>
      <w:spacing w:before="100" w:beforeAutospacing="1" w:after="100" w:afterAutospacing="1"/>
      <w:jc w:val="left"/>
    </w:pPr>
    <w:rPr>
      <w:rFonts w:eastAsia="Times New Roman"/>
      <w:sz w:val="18"/>
      <w:szCs w:val="18"/>
      <w:lang w:eastAsia="en-GB"/>
    </w:rPr>
  </w:style>
  <w:style w:type="paragraph" w:customStyle="1" w:styleId="xl629">
    <w:name w:val="xl629"/>
    <w:basedOn w:val="Normal"/>
    <w:uiPriority w:val="99"/>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630">
    <w:name w:val="xl630"/>
    <w:basedOn w:val="Normal"/>
    <w:uiPriority w:val="99"/>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631">
    <w:name w:val="xl631"/>
    <w:basedOn w:val="Normal"/>
    <w:uiPriority w:val="99"/>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32">
    <w:name w:val="xl632"/>
    <w:basedOn w:val="Normal"/>
    <w:uiPriority w:val="99"/>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3">
    <w:name w:val="xl633"/>
    <w:basedOn w:val="Normal"/>
    <w:uiPriority w:val="99"/>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4">
    <w:name w:val="xl634"/>
    <w:basedOn w:val="Normal"/>
    <w:uiPriority w:val="99"/>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5">
    <w:name w:val="xl635"/>
    <w:basedOn w:val="Normal"/>
    <w:uiPriority w:val="99"/>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6">
    <w:name w:val="xl636"/>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37">
    <w:name w:val="xl637"/>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638">
    <w:name w:val="xl638"/>
    <w:basedOn w:val="Normal"/>
    <w:uiPriority w:val="99"/>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639">
    <w:name w:val="xl639"/>
    <w:basedOn w:val="Normal"/>
    <w:uiPriority w:val="99"/>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640">
    <w:name w:val="xl640"/>
    <w:basedOn w:val="Normal"/>
    <w:uiPriority w:val="99"/>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41">
    <w:name w:val="xl641"/>
    <w:basedOn w:val="Normal"/>
    <w:uiPriority w:val="99"/>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42">
    <w:name w:val="xl642"/>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3">
    <w:name w:val="xl643"/>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644">
    <w:name w:val="xl644"/>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45">
    <w:name w:val="xl645"/>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46">
    <w:name w:val="xl646"/>
    <w:basedOn w:val="Normal"/>
    <w:uiPriority w:val="99"/>
    <w:pPr>
      <w:pBdr>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7">
    <w:name w:val="xl647"/>
    <w:basedOn w:val="Normal"/>
    <w:uiPriority w:val="99"/>
    <w:pPr>
      <w:pBdr>
        <w:left w:val="single" w:sz="4" w:space="0" w:color="auto"/>
        <w:bottom w:val="single" w:sz="8"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48">
    <w:name w:val="xl648"/>
    <w:basedOn w:val="Normal"/>
    <w:uiPriority w:val="99"/>
    <w:pPr>
      <w:pBdr>
        <w:left w:val="single" w:sz="4" w:space="0" w:color="auto"/>
        <w:right w:val="single" w:sz="4" w:space="0" w:color="auto"/>
      </w:pBdr>
      <w:spacing w:before="100" w:beforeAutospacing="1" w:after="100" w:afterAutospacing="1"/>
      <w:jc w:val="right"/>
    </w:pPr>
    <w:rPr>
      <w:rFonts w:eastAsia="Times New Roman"/>
      <w:szCs w:val="24"/>
      <w:lang w:eastAsia="en-GB"/>
    </w:rPr>
  </w:style>
  <w:style w:type="paragraph" w:customStyle="1" w:styleId="xl649">
    <w:name w:val="xl64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0">
    <w:name w:val="xl650"/>
    <w:basedOn w:val="Normal"/>
    <w:uiPriority w:val="99"/>
    <w:pPr>
      <w:pBdr>
        <w:top w:val="single" w:sz="8" w:space="0" w:color="auto"/>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1">
    <w:name w:val="xl651"/>
    <w:basedOn w:val="Normal"/>
    <w:uiPriority w:val="99"/>
    <w:pPr>
      <w:pBdr>
        <w:left w:val="single" w:sz="4"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652">
    <w:name w:val="xl652"/>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3">
    <w:name w:val="xl653"/>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54">
    <w:name w:val="xl65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55">
    <w:name w:val="xl655"/>
    <w:basedOn w:val="Normal"/>
    <w:uiPriority w:val="99"/>
    <w:pPr>
      <w:pBdr>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6">
    <w:name w:val="xl656"/>
    <w:basedOn w:val="Normal"/>
    <w:uiPriority w:val="99"/>
    <w:pPr>
      <w:pBdr>
        <w:left w:val="single" w:sz="4" w:space="0" w:color="auto"/>
        <w:bottom w:val="single" w:sz="8" w:space="0" w:color="auto"/>
      </w:pBdr>
      <w:shd w:val="clear" w:color="auto" w:fill="FFFF00"/>
      <w:spacing w:before="100" w:beforeAutospacing="1" w:after="100" w:afterAutospacing="1"/>
      <w:jc w:val="left"/>
    </w:pPr>
    <w:rPr>
      <w:rFonts w:eastAsia="Times New Roman"/>
      <w:color w:val="000000"/>
      <w:sz w:val="18"/>
      <w:szCs w:val="18"/>
      <w:lang w:eastAsia="en-GB"/>
    </w:rPr>
  </w:style>
  <w:style w:type="paragraph" w:customStyle="1" w:styleId="xl657">
    <w:name w:val="xl657"/>
    <w:basedOn w:val="Normal"/>
    <w:uiPriority w:val="99"/>
    <w:pPr>
      <w:pBdr>
        <w:top w:val="single" w:sz="8" w:space="0" w:color="auto"/>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58">
    <w:name w:val="xl658"/>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59">
    <w:name w:val="xl659"/>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60">
    <w:name w:val="xl660"/>
    <w:basedOn w:val="Normal"/>
    <w:uiPriority w:val="99"/>
    <w:pPr>
      <w:pBdr>
        <w:top w:val="single" w:sz="8" w:space="0" w:color="000000"/>
        <w:left w:val="single" w:sz="4" w:space="0" w:color="auto"/>
      </w:pBdr>
      <w:spacing w:before="100" w:beforeAutospacing="1" w:after="100" w:afterAutospacing="1"/>
      <w:jc w:val="left"/>
    </w:pPr>
    <w:rPr>
      <w:rFonts w:eastAsia="Times New Roman"/>
      <w:sz w:val="18"/>
      <w:szCs w:val="18"/>
      <w:lang w:eastAsia="en-GB"/>
    </w:rPr>
  </w:style>
  <w:style w:type="paragraph" w:customStyle="1" w:styleId="xl661">
    <w:name w:val="xl661"/>
    <w:basedOn w:val="Normal"/>
    <w:uiPriority w:val="99"/>
    <w:pPr>
      <w:pBdr>
        <w:left w:val="single" w:sz="4" w:space="0" w:color="auto"/>
        <w:bottom w:val="single" w:sz="8" w:space="0" w:color="000000"/>
      </w:pBdr>
      <w:spacing w:before="100" w:beforeAutospacing="1" w:after="100" w:afterAutospacing="1"/>
      <w:jc w:val="left"/>
    </w:pPr>
    <w:rPr>
      <w:rFonts w:eastAsia="Times New Roman"/>
      <w:i/>
      <w:iCs/>
      <w:sz w:val="18"/>
      <w:szCs w:val="18"/>
      <w:lang w:eastAsia="en-GB"/>
    </w:rPr>
  </w:style>
  <w:style w:type="paragraph" w:customStyle="1" w:styleId="xl662">
    <w:name w:val="xl662"/>
    <w:basedOn w:val="Normal"/>
    <w:uiPriority w:val="99"/>
    <w:pPr>
      <w:pBdr>
        <w:top w:val="single" w:sz="8" w:space="0" w:color="000000"/>
        <w:lef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3">
    <w:name w:val="xl663"/>
    <w:basedOn w:val="Normal"/>
    <w:uiPriority w:val="99"/>
    <w:pPr>
      <w:pBdr>
        <w:left w:val="single" w:sz="4" w:space="0" w:color="auto"/>
        <w:bottom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664">
    <w:name w:val="xl664"/>
    <w:basedOn w:val="Normal"/>
    <w:uiPriority w:val="99"/>
    <w:pPr>
      <w:pBdr>
        <w:lef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65">
    <w:name w:val="xl665"/>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66">
    <w:name w:val="xl666"/>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xl667">
    <w:name w:val="xl667"/>
    <w:basedOn w:val="Normal"/>
    <w:uiPriority w:val="99"/>
    <w:pPr>
      <w:pBdr>
        <w:top w:val="single" w:sz="8" w:space="0" w:color="000000"/>
        <w:left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8">
    <w:name w:val="xl668"/>
    <w:basedOn w:val="Normal"/>
    <w:uiPriority w:val="99"/>
    <w:pPr>
      <w:pBdr>
        <w:left w:val="single" w:sz="4" w:space="0" w:color="auto"/>
        <w:bottom w:val="single" w:sz="8" w:space="0" w:color="000000"/>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669">
    <w:name w:val="xl669"/>
    <w:basedOn w:val="Normal"/>
    <w:uiPriority w:val="99"/>
    <w:pPr>
      <w:pBdr>
        <w:left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0">
    <w:name w:val="xl670"/>
    <w:basedOn w:val="Normal"/>
    <w:uiPriority w:val="99"/>
    <w:pPr>
      <w:pBdr>
        <w:left w:val="single" w:sz="4" w:space="0" w:color="auto"/>
        <w:bottom w:val="single" w:sz="8"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671">
    <w:name w:val="xl671"/>
    <w:basedOn w:val="Normal"/>
    <w:uiPriority w:val="99"/>
    <w:pPr>
      <w:pBdr>
        <w:left w:val="single" w:sz="4" w:space="0" w:color="auto"/>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672">
    <w:name w:val="xl672"/>
    <w:basedOn w:val="Normal"/>
    <w:uiPriority w:val="99"/>
    <w:pPr>
      <w:pBdr>
        <w:top w:val="single" w:sz="8" w:space="0" w:color="auto"/>
        <w:left w:val="single" w:sz="4" w:space="0" w:color="auto"/>
      </w:pBdr>
      <w:spacing w:before="100" w:beforeAutospacing="1" w:after="100" w:afterAutospacing="1"/>
      <w:jc w:val="left"/>
    </w:pPr>
    <w:rPr>
      <w:rFonts w:eastAsia="Times New Roman"/>
      <w:sz w:val="18"/>
      <w:szCs w:val="18"/>
      <w:lang w:eastAsia="en-GB"/>
    </w:rPr>
  </w:style>
  <w:style w:type="paragraph" w:customStyle="1" w:styleId="xl673">
    <w:name w:val="xl673"/>
    <w:basedOn w:val="Normal"/>
    <w:uiPriority w:val="99"/>
    <w:pPr>
      <w:pBdr>
        <w:top w:val="single" w:sz="8"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674">
    <w:name w:val="xl674"/>
    <w:basedOn w:val="Normal"/>
    <w:uiPriority w:val="99"/>
    <w:pPr>
      <w:pBdr>
        <w:left w:val="single" w:sz="4" w:space="0" w:color="auto"/>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675">
    <w:name w:val="xl675"/>
    <w:basedOn w:val="Normal"/>
    <w:uiPriority w:val="99"/>
    <w:pPr>
      <w:pBdr>
        <w:bottom w:val="single" w:sz="8" w:space="0" w:color="auto"/>
        <w:right w:val="single" w:sz="4" w:space="0" w:color="auto"/>
      </w:pBdr>
      <w:spacing w:before="100" w:beforeAutospacing="1" w:after="100" w:afterAutospacing="1"/>
      <w:jc w:val="left"/>
    </w:pPr>
    <w:rPr>
      <w:rFonts w:eastAsia="Times New Roman"/>
      <w:i/>
      <w:iCs/>
      <w:sz w:val="18"/>
      <w:szCs w:val="18"/>
      <w:lang w:eastAsia="en-GB"/>
    </w:rPr>
  </w:style>
  <w:style w:type="paragraph" w:customStyle="1" w:styleId="DESignature">
    <w:name w:val="DE Signature"/>
    <w:basedOn w:val="Normal"/>
    <w:next w:val="Normal"/>
    <w:uiPriority w:val="99"/>
    <w:pPr>
      <w:tabs>
        <w:tab w:val="center" w:pos="5953"/>
      </w:tabs>
      <w:spacing w:before="720" w:line="360" w:lineRule="auto"/>
      <w:jc w:val="left"/>
    </w:pPr>
  </w:style>
  <w:style w:type="paragraph" w:customStyle="1" w:styleId="xl51867">
    <w:name w:val="xl51867"/>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8">
    <w:name w:val="xl51868"/>
    <w:basedOn w:val="Normal"/>
    <w:uiPriority w:val="99"/>
    <w:pPr>
      <w:spacing w:before="100" w:beforeAutospacing="1" w:after="100" w:afterAutospacing="1"/>
      <w:jc w:val="left"/>
    </w:pPr>
    <w:rPr>
      <w:rFonts w:eastAsia="Times New Roman"/>
      <w:color w:val="000000"/>
      <w:sz w:val="18"/>
      <w:szCs w:val="18"/>
      <w:lang w:eastAsia="en-GB"/>
    </w:rPr>
  </w:style>
  <w:style w:type="paragraph" w:customStyle="1" w:styleId="xl51869">
    <w:name w:val="xl5186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0">
    <w:name w:val="xl51870"/>
    <w:basedOn w:val="Normal"/>
    <w:pPr>
      <w:spacing w:before="100" w:beforeAutospacing="1" w:after="100" w:afterAutospacing="1"/>
      <w:jc w:val="left"/>
    </w:pPr>
    <w:rPr>
      <w:rFonts w:eastAsia="Times New Roman"/>
      <w:color w:val="000000"/>
      <w:sz w:val="18"/>
      <w:szCs w:val="18"/>
      <w:lang w:eastAsia="en-GB"/>
    </w:rPr>
  </w:style>
  <w:style w:type="paragraph" w:customStyle="1" w:styleId="xl51871">
    <w:name w:val="xl51871"/>
    <w:basedOn w:val="Normal"/>
    <w:pPr>
      <w:spacing w:before="100" w:beforeAutospacing="1" w:after="100" w:afterAutospacing="1"/>
      <w:jc w:val="left"/>
    </w:pPr>
    <w:rPr>
      <w:rFonts w:eastAsia="Times New Roman"/>
      <w:sz w:val="18"/>
      <w:szCs w:val="18"/>
      <w:lang w:eastAsia="en-GB"/>
    </w:rPr>
  </w:style>
  <w:style w:type="paragraph" w:customStyle="1" w:styleId="xl51872">
    <w:name w:val="xl51872"/>
    <w:basedOn w:val="Normal"/>
    <w:pPr>
      <w:pBdr>
        <w:top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1873">
    <w:name w:val="xl51873"/>
    <w:basedOn w:val="Normal"/>
    <w:pPr>
      <w:pBdr>
        <w:top w:val="single" w:sz="4"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4">
    <w:name w:val="xl51874"/>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875">
    <w:name w:val="xl51875"/>
    <w:basedOn w:val="Normal"/>
    <w:pPr>
      <w:spacing w:before="100" w:beforeAutospacing="1" w:after="100" w:afterAutospacing="1"/>
      <w:jc w:val="left"/>
    </w:pPr>
    <w:rPr>
      <w:rFonts w:ascii="Calibri" w:eastAsia="Times New Roman" w:hAnsi="Calibri"/>
      <w:color w:val="000000"/>
      <w:sz w:val="18"/>
      <w:szCs w:val="18"/>
      <w:lang w:eastAsia="en-GB"/>
    </w:rPr>
  </w:style>
  <w:style w:type="paragraph" w:customStyle="1" w:styleId="xl51876">
    <w:name w:val="xl5187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77">
    <w:name w:val="xl51877"/>
    <w:basedOn w:val="Normal"/>
    <w:pPr>
      <w:spacing w:before="100" w:beforeAutospacing="1" w:after="100" w:afterAutospacing="1"/>
      <w:jc w:val="right"/>
    </w:pPr>
    <w:rPr>
      <w:rFonts w:ascii="Calibri" w:eastAsia="Times New Roman" w:hAnsi="Calibri"/>
      <w:color w:val="000000"/>
      <w:sz w:val="18"/>
      <w:szCs w:val="18"/>
      <w:lang w:eastAsia="en-GB"/>
    </w:rPr>
  </w:style>
  <w:style w:type="paragraph" w:customStyle="1" w:styleId="xl51878">
    <w:name w:val="xl51878"/>
    <w:basedOn w:val="Normal"/>
    <w:pPr>
      <w:spacing w:before="100" w:beforeAutospacing="1" w:after="100" w:afterAutospacing="1"/>
      <w:jc w:val="left"/>
    </w:pPr>
    <w:rPr>
      <w:rFonts w:eastAsia="Times New Roman"/>
      <w:color w:val="000000"/>
      <w:sz w:val="18"/>
      <w:szCs w:val="18"/>
      <w:lang w:eastAsia="en-GB"/>
    </w:rPr>
  </w:style>
  <w:style w:type="paragraph" w:customStyle="1" w:styleId="xl51879">
    <w:name w:val="xl51879"/>
    <w:basedOn w:val="Normal"/>
    <w:pPr>
      <w:spacing w:before="100" w:beforeAutospacing="1" w:after="100" w:afterAutospacing="1"/>
      <w:jc w:val="left"/>
    </w:pPr>
    <w:rPr>
      <w:rFonts w:eastAsia="Times New Roman"/>
      <w:color w:val="000000"/>
      <w:sz w:val="18"/>
      <w:szCs w:val="18"/>
      <w:lang w:eastAsia="en-GB"/>
    </w:rPr>
  </w:style>
  <w:style w:type="paragraph" w:customStyle="1" w:styleId="xl51880">
    <w:name w:val="xl51880"/>
    <w:basedOn w:val="Normal"/>
    <w:pPr>
      <w:spacing w:before="100" w:beforeAutospacing="1" w:after="100" w:afterAutospacing="1"/>
      <w:jc w:val="left"/>
    </w:pPr>
    <w:rPr>
      <w:rFonts w:eastAsia="Times New Roman"/>
      <w:color w:val="000000"/>
      <w:sz w:val="18"/>
      <w:szCs w:val="18"/>
      <w:lang w:eastAsia="en-GB"/>
    </w:rPr>
  </w:style>
  <w:style w:type="paragraph" w:customStyle="1" w:styleId="xl51881">
    <w:name w:val="xl51881"/>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2">
    <w:name w:val="xl51882"/>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3">
    <w:name w:val="xl51883"/>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4">
    <w:name w:val="xl51884"/>
    <w:basedOn w:val="Normal"/>
    <w:pPr>
      <w:pBdr>
        <w:top w:val="single" w:sz="8" w:space="0" w:color="auto"/>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5">
    <w:name w:val="xl5188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6">
    <w:name w:val="xl51886"/>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7">
    <w:name w:val="xl5188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8">
    <w:name w:val="xl51888"/>
    <w:basedOn w:val="Normal"/>
    <w:pPr>
      <w:pBdr>
        <w:left w:val="single" w:sz="8" w:space="0" w:color="auto"/>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89">
    <w:name w:val="xl51889"/>
    <w:basedOn w:val="Normal"/>
    <w:pPr>
      <w:pBdr>
        <w:top w:val="single" w:sz="8" w:space="0" w:color="000000"/>
      </w:pBdr>
      <w:spacing w:before="100" w:beforeAutospacing="1" w:after="100" w:afterAutospacing="1"/>
      <w:jc w:val="right"/>
    </w:pPr>
    <w:rPr>
      <w:rFonts w:eastAsia="Times New Roman"/>
      <w:color w:val="000000"/>
      <w:sz w:val="18"/>
      <w:szCs w:val="18"/>
      <w:lang w:eastAsia="en-GB"/>
    </w:rPr>
  </w:style>
  <w:style w:type="paragraph" w:customStyle="1" w:styleId="xl51890">
    <w:name w:val="xl51890"/>
    <w:basedOn w:val="Normal"/>
    <w:pPr>
      <w:spacing w:before="100" w:beforeAutospacing="1" w:after="100" w:afterAutospacing="1"/>
      <w:jc w:val="right"/>
    </w:pPr>
    <w:rPr>
      <w:rFonts w:eastAsia="Times New Roman"/>
      <w:color w:val="000000"/>
      <w:sz w:val="18"/>
      <w:szCs w:val="18"/>
      <w:lang w:eastAsia="en-GB"/>
    </w:rPr>
  </w:style>
  <w:style w:type="paragraph" w:customStyle="1" w:styleId="xl51891">
    <w:name w:val="xl51891"/>
    <w:basedOn w:val="Normal"/>
    <w:pPr>
      <w:spacing w:before="100" w:beforeAutospacing="1" w:after="100" w:afterAutospacing="1"/>
      <w:jc w:val="right"/>
    </w:pPr>
    <w:rPr>
      <w:rFonts w:eastAsia="Times New Roman"/>
      <w:color w:val="000000"/>
      <w:sz w:val="18"/>
      <w:szCs w:val="18"/>
      <w:lang w:eastAsia="en-GB"/>
    </w:rPr>
  </w:style>
  <w:style w:type="paragraph" w:customStyle="1" w:styleId="xl51892">
    <w:name w:val="xl51892"/>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3">
    <w:name w:val="xl51893"/>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894">
    <w:name w:val="xl51894"/>
    <w:basedOn w:val="Normal"/>
    <w:pPr>
      <w:spacing w:before="100" w:beforeAutospacing="1" w:after="100" w:afterAutospacing="1"/>
      <w:jc w:val="left"/>
    </w:pPr>
    <w:rPr>
      <w:rFonts w:eastAsia="Times New Roman"/>
      <w:color w:val="000000"/>
      <w:sz w:val="18"/>
      <w:szCs w:val="18"/>
      <w:lang w:eastAsia="en-GB"/>
    </w:rPr>
  </w:style>
  <w:style w:type="paragraph" w:customStyle="1" w:styleId="xl51895">
    <w:name w:val="xl5189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896">
    <w:name w:val="xl51896"/>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897">
    <w:name w:val="xl51897"/>
    <w:basedOn w:val="Normal"/>
    <w:pPr>
      <w:spacing w:before="100" w:beforeAutospacing="1" w:after="100" w:afterAutospacing="1"/>
      <w:jc w:val="left"/>
    </w:pPr>
    <w:rPr>
      <w:rFonts w:eastAsia="Times New Roman"/>
      <w:sz w:val="18"/>
      <w:szCs w:val="18"/>
      <w:lang w:eastAsia="en-GB"/>
    </w:rPr>
  </w:style>
  <w:style w:type="paragraph" w:customStyle="1" w:styleId="xl51898">
    <w:name w:val="xl51898"/>
    <w:basedOn w:val="Normal"/>
    <w:pPr>
      <w:spacing w:before="100" w:beforeAutospacing="1" w:after="100" w:afterAutospacing="1"/>
      <w:jc w:val="right"/>
    </w:pPr>
    <w:rPr>
      <w:rFonts w:eastAsia="Times New Roman"/>
      <w:sz w:val="18"/>
      <w:szCs w:val="18"/>
      <w:lang w:eastAsia="en-GB"/>
    </w:rPr>
  </w:style>
  <w:style w:type="paragraph" w:customStyle="1" w:styleId="xl51899">
    <w:name w:val="xl51899"/>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00">
    <w:name w:val="xl5190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01">
    <w:name w:val="xl51901"/>
    <w:basedOn w:val="Normal"/>
    <w:pPr>
      <w:spacing w:before="100" w:beforeAutospacing="1" w:after="100" w:afterAutospacing="1"/>
      <w:jc w:val="left"/>
    </w:pPr>
    <w:rPr>
      <w:rFonts w:eastAsia="Times New Roman"/>
      <w:color w:val="FF0000"/>
      <w:sz w:val="18"/>
      <w:szCs w:val="18"/>
      <w:lang w:eastAsia="en-GB"/>
    </w:rPr>
  </w:style>
  <w:style w:type="paragraph" w:customStyle="1" w:styleId="xl51902">
    <w:name w:val="xl51902"/>
    <w:basedOn w:val="Normal"/>
    <w:pPr>
      <w:spacing w:before="100" w:beforeAutospacing="1" w:after="100" w:afterAutospacing="1"/>
      <w:jc w:val="right"/>
    </w:pPr>
    <w:rPr>
      <w:rFonts w:eastAsia="Times New Roman"/>
      <w:color w:val="FF0000"/>
      <w:sz w:val="18"/>
      <w:szCs w:val="18"/>
      <w:lang w:eastAsia="en-GB"/>
    </w:rPr>
  </w:style>
  <w:style w:type="paragraph" w:customStyle="1" w:styleId="xl51903">
    <w:name w:val="xl51903"/>
    <w:basedOn w:val="Normal"/>
    <w:pPr>
      <w:spacing w:before="100" w:beforeAutospacing="1" w:after="100" w:afterAutospacing="1"/>
      <w:jc w:val="left"/>
    </w:pPr>
    <w:rPr>
      <w:rFonts w:eastAsia="Times New Roman"/>
      <w:b/>
      <w:bCs/>
      <w:color w:val="FF0000"/>
      <w:sz w:val="18"/>
      <w:szCs w:val="18"/>
      <w:lang w:eastAsia="en-GB"/>
    </w:rPr>
  </w:style>
  <w:style w:type="paragraph" w:customStyle="1" w:styleId="xl51904">
    <w:name w:val="xl51904"/>
    <w:basedOn w:val="Normal"/>
    <w:pPr>
      <w:spacing w:before="100" w:beforeAutospacing="1" w:after="100" w:afterAutospacing="1"/>
      <w:jc w:val="left"/>
    </w:pPr>
    <w:rPr>
      <w:rFonts w:eastAsia="Times New Roman"/>
      <w:b/>
      <w:bCs/>
      <w:color w:val="000000"/>
      <w:sz w:val="18"/>
      <w:szCs w:val="18"/>
      <w:lang w:eastAsia="en-GB"/>
    </w:rPr>
  </w:style>
  <w:style w:type="paragraph" w:customStyle="1" w:styleId="xl51905">
    <w:name w:val="xl51905"/>
    <w:basedOn w:val="Normal"/>
    <w:pPr>
      <w:spacing w:before="100" w:beforeAutospacing="1" w:after="100" w:afterAutospacing="1"/>
      <w:jc w:val="left"/>
    </w:pPr>
    <w:rPr>
      <w:rFonts w:eastAsia="Times New Roman"/>
      <w:b/>
      <w:bCs/>
      <w:sz w:val="18"/>
      <w:szCs w:val="18"/>
      <w:lang w:eastAsia="en-GB"/>
    </w:rPr>
  </w:style>
  <w:style w:type="paragraph" w:customStyle="1" w:styleId="xl51906">
    <w:name w:val="xl51906"/>
    <w:basedOn w:val="Normal"/>
    <w:pPr>
      <w:spacing w:before="100" w:beforeAutospacing="1" w:after="100" w:afterAutospacing="1"/>
      <w:jc w:val="left"/>
    </w:pPr>
    <w:rPr>
      <w:rFonts w:eastAsia="Times New Roman"/>
      <w:sz w:val="18"/>
      <w:szCs w:val="18"/>
      <w:lang w:eastAsia="en-GB"/>
    </w:rPr>
  </w:style>
  <w:style w:type="paragraph" w:customStyle="1" w:styleId="xl51907">
    <w:name w:val="xl51907"/>
    <w:basedOn w:val="Normal"/>
    <w:pPr>
      <w:spacing w:before="100" w:beforeAutospacing="1" w:after="100" w:afterAutospacing="1"/>
      <w:jc w:val="left"/>
    </w:pPr>
    <w:rPr>
      <w:rFonts w:eastAsia="Times New Roman"/>
      <w:sz w:val="18"/>
      <w:szCs w:val="18"/>
      <w:lang w:eastAsia="en-GB"/>
    </w:rPr>
  </w:style>
  <w:style w:type="paragraph" w:customStyle="1" w:styleId="xl51908">
    <w:name w:val="xl51908"/>
    <w:basedOn w:val="Normal"/>
    <w:pPr>
      <w:spacing w:before="100" w:beforeAutospacing="1" w:after="100" w:afterAutospacing="1"/>
      <w:jc w:val="right"/>
    </w:pPr>
    <w:rPr>
      <w:rFonts w:eastAsia="Times New Roman"/>
      <w:b/>
      <w:bCs/>
      <w:sz w:val="18"/>
      <w:szCs w:val="18"/>
      <w:lang w:eastAsia="en-GB"/>
    </w:rPr>
  </w:style>
  <w:style w:type="paragraph" w:customStyle="1" w:styleId="xl51909">
    <w:name w:val="xl51909"/>
    <w:basedOn w:val="Normal"/>
    <w:pPr>
      <w:pBdr>
        <w:top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10">
    <w:name w:val="xl51910"/>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11">
    <w:name w:val="xl51911"/>
    <w:basedOn w:val="Normal"/>
    <w:pPr>
      <w:spacing w:before="100" w:beforeAutospacing="1" w:after="100" w:afterAutospacing="1"/>
      <w:jc w:val="right"/>
    </w:pPr>
    <w:rPr>
      <w:rFonts w:eastAsia="Times New Roman"/>
      <w:color w:val="000000"/>
      <w:sz w:val="18"/>
      <w:szCs w:val="18"/>
      <w:lang w:eastAsia="en-GB"/>
    </w:rPr>
  </w:style>
  <w:style w:type="paragraph" w:customStyle="1" w:styleId="xl51912">
    <w:name w:val="xl51912"/>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1913">
    <w:name w:val="xl51913"/>
    <w:basedOn w:val="Normal"/>
    <w:pPr>
      <w:pBdr>
        <w:lef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14">
    <w:name w:val="xl51914"/>
    <w:basedOn w:val="Normal"/>
    <w:pPr>
      <w:pBdr>
        <w:bottom w:val="single" w:sz="8" w:space="0" w:color="auto"/>
      </w:pBdr>
      <w:spacing w:before="100" w:beforeAutospacing="1" w:after="100" w:afterAutospacing="1"/>
      <w:jc w:val="left"/>
    </w:pPr>
    <w:rPr>
      <w:rFonts w:eastAsia="Times New Roman"/>
      <w:color w:val="FF0000"/>
      <w:sz w:val="18"/>
      <w:szCs w:val="18"/>
      <w:lang w:eastAsia="en-GB"/>
    </w:rPr>
  </w:style>
  <w:style w:type="paragraph" w:customStyle="1" w:styleId="xl51915">
    <w:name w:val="xl51915"/>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16">
    <w:name w:val="xl51916"/>
    <w:basedOn w:val="Normal"/>
    <w:pPr>
      <w:spacing w:before="100" w:beforeAutospacing="1" w:after="100" w:afterAutospacing="1"/>
      <w:jc w:val="left"/>
    </w:pPr>
    <w:rPr>
      <w:rFonts w:eastAsia="Times New Roman"/>
      <w:color w:val="FF0000"/>
      <w:sz w:val="18"/>
      <w:szCs w:val="18"/>
      <w:lang w:eastAsia="en-GB"/>
    </w:rPr>
  </w:style>
  <w:style w:type="paragraph" w:customStyle="1" w:styleId="xl51917">
    <w:name w:val="xl51917"/>
    <w:basedOn w:val="Normal"/>
    <w:pPr>
      <w:spacing w:before="100" w:beforeAutospacing="1" w:after="100" w:afterAutospacing="1"/>
      <w:jc w:val="left"/>
    </w:pPr>
    <w:rPr>
      <w:rFonts w:eastAsia="Times New Roman"/>
      <w:color w:val="000000"/>
      <w:sz w:val="18"/>
      <w:szCs w:val="18"/>
      <w:lang w:eastAsia="en-GB"/>
    </w:rPr>
  </w:style>
  <w:style w:type="paragraph" w:customStyle="1" w:styleId="xl51918">
    <w:name w:val="xl51918"/>
    <w:basedOn w:val="Normal"/>
    <w:pPr>
      <w:spacing w:before="100" w:beforeAutospacing="1" w:after="100" w:afterAutospacing="1"/>
      <w:jc w:val="left"/>
    </w:pPr>
    <w:rPr>
      <w:rFonts w:eastAsia="Times New Roman"/>
      <w:color w:val="000000"/>
      <w:sz w:val="18"/>
      <w:szCs w:val="18"/>
      <w:lang w:eastAsia="en-GB"/>
    </w:rPr>
  </w:style>
  <w:style w:type="paragraph" w:customStyle="1" w:styleId="xl51919">
    <w:name w:val="xl51919"/>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1920">
    <w:name w:val="xl51920"/>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1">
    <w:name w:val="xl51921"/>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2">
    <w:name w:val="xl51922"/>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3">
    <w:name w:val="xl51923"/>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4">
    <w:name w:val="xl5192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25">
    <w:name w:val="xl51925"/>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26">
    <w:name w:val="xl51926"/>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27">
    <w:name w:val="xl51927"/>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28">
    <w:name w:val="xl51928"/>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Sous-titreobjet">
    <w:name w:val="Sous-titre objet"/>
    <w:basedOn w:val="Normal"/>
    <w:uiPriority w:val="99"/>
    <w:pPr>
      <w:spacing w:before="0" w:after="0"/>
      <w:jc w:val="center"/>
    </w:pPr>
    <w:rPr>
      <w:b/>
    </w:rPr>
  </w:style>
  <w:style w:type="paragraph" w:customStyle="1" w:styleId="Titreobjet">
    <w:name w:val="Titre objet"/>
    <w:basedOn w:val="Normal"/>
    <w:next w:val="Sous-titreobjet"/>
    <w:uiPriority w:val="99"/>
    <w:pPr>
      <w:spacing w:before="180" w:after="180"/>
      <w:jc w:val="center"/>
    </w:pPr>
    <w:rPr>
      <w:b/>
    </w:rPr>
  </w:style>
  <w:style w:type="paragraph" w:customStyle="1" w:styleId="Sous-titreobjetPagedecouverture">
    <w:name w:val="Sous-titre objet (Page de couverture)"/>
    <w:basedOn w:val="Sous-titreobjet"/>
    <w:uiPriority w:val="99"/>
  </w:style>
  <w:style w:type="paragraph" w:customStyle="1" w:styleId="TitreobjetPagedecouverture">
    <w:name w:val="Titre objet (Page de couverture)"/>
    <w:basedOn w:val="Titreobjet"/>
    <w:next w:val="Sous-titreobjetPagedecouverture"/>
  </w:style>
  <w:style w:type="character" w:styleId="PlaceholderText">
    <w:name w:val="Placeholder Text"/>
    <w:basedOn w:val="DefaultParagraphFont"/>
    <w:uiPriority w:val="99"/>
    <w:semiHidden/>
    <w:rPr>
      <w:color w:val="808080"/>
    </w:rPr>
  </w:style>
  <w:style w:type="paragraph" w:customStyle="1" w:styleId="Jardin">
    <w:name w:val="Jardin"/>
    <w:basedOn w:val="Normal"/>
    <w:uiPriority w:val="99"/>
    <w:pPr>
      <w:spacing w:before="200" w:after="0"/>
      <w:jc w:val="center"/>
    </w:pPr>
    <w:rPr>
      <w:rFonts w:eastAsia="Times New Roman"/>
      <w:szCs w:val="24"/>
    </w:rPr>
  </w:style>
  <w:style w:type="paragraph" w:customStyle="1" w:styleId="NormalCompact">
    <w:name w:val="Normal Compact"/>
    <w:basedOn w:val="Normal"/>
    <w:next w:val="Normal"/>
    <w:uiPriority w:val="99"/>
    <w:pPr>
      <w:jc w:val="left"/>
    </w:pPr>
    <w:rPr>
      <w:rFonts w:eastAsia="Times New Roman"/>
      <w:szCs w:val="24"/>
    </w:rPr>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numbering" w:customStyle="1" w:styleId="NoList1111">
    <w:name w:val="No List1111"/>
    <w:next w:val="NoList"/>
    <w:uiPriority w:val="99"/>
    <w:semiHidden/>
    <w:unhideWhenUsed/>
  </w:style>
  <w:style w:type="paragraph" w:customStyle="1" w:styleId="xl51929">
    <w:name w:val="xl51929"/>
    <w:basedOn w:val="Normal"/>
    <w:pPr>
      <w:pBdr>
        <w:left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30">
    <w:name w:val="xl51930"/>
    <w:basedOn w:val="Normal"/>
    <w:pPr>
      <w:pBdr>
        <w:bottom w:val="single" w:sz="8" w:space="0" w:color="auto"/>
      </w:pBdr>
      <w:spacing w:before="100" w:beforeAutospacing="1" w:after="100" w:afterAutospacing="1"/>
      <w:jc w:val="left"/>
    </w:pPr>
    <w:rPr>
      <w:rFonts w:eastAsia="Times New Roman"/>
      <w:i/>
      <w:iCs/>
      <w:sz w:val="18"/>
      <w:szCs w:val="18"/>
      <w:lang w:eastAsia="en-GB"/>
    </w:rPr>
  </w:style>
  <w:style w:type="paragraph" w:customStyle="1" w:styleId="xl51931">
    <w:name w:val="xl51931"/>
    <w:basedOn w:val="Normal"/>
    <w:pPr>
      <w:pBdr>
        <w:top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1932">
    <w:name w:val="xl51932"/>
    <w:basedOn w:val="Normal"/>
    <w:pPr>
      <w:pBdr>
        <w:top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33">
    <w:name w:val="xl51933"/>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4">
    <w:name w:val="xl51934"/>
    <w:basedOn w:val="Normal"/>
    <w:pPr>
      <w:pBdr>
        <w:left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5">
    <w:name w:val="xl51935"/>
    <w:basedOn w:val="Normal"/>
    <w:pPr>
      <w:pBdr>
        <w:left w:val="single" w:sz="8" w:space="0" w:color="000000"/>
        <w:bottom w:val="single" w:sz="8" w:space="0" w:color="000000"/>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36">
    <w:name w:val="xl51936"/>
    <w:basedOn w:val="Normal"/>
    <w:pPr>
      <w:spacing w:before="100" w:beforeAutospacing="1" w:after="100" w:afterAutospacing="1"/>
      <w:jc w:val="right"/>
    </w:pPr>
    <w:rPr>
      <w:rFonts w:eastAsia="Times New Roman"/>
      <w:color w:val="000000"/>
      <w:sz w:val="18"/>
      <w:szCs w:val="18"/>
      <w:lang w:eastAsia="en-GB"/>
    </w:rPr>
  </w:style>
  <w:style w:type="paragraph" w:customStyle="1" w:styleId="xl51937">
    <w:name w:val="xl5193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38">
    <w:name w:val="xl51938"/>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1939">
    <w:name w:val="xl51939"/>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1940">
    <w:name w:val="xl5194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1">
    <w:name w:val="xl51941"/>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1942">
    <w:name w:val="xl51942"/>
    <w:basedOn w:val="Normal"/>
    <w:pPr>
      <w:spacing w:before="100" w:beforeAutospacing="1" w:after="100" w:afterAutospacing="1"/>
      <w:jc w:val="right"/>
    </w:pPr>
    <w:rPr>
      <w:rFonts w:eastAsia="Times New Roman"/>
      <w:sz w:val="18"/>
      <w:szCs w:val="18"/>
      <w:lang w:eastAsia="en-GB"/>
    </w:rPr>
  </w:style>
  <w:style w:type="paragraph" w:customStyle="1" w:styleId="xl51943">
    <w:name w:val="xl51943"/>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44">
    <w:name w:val="xl51944"/>
    <w:basedOn w:val="Normal"/>
    <w:pPr>
      <w:spacing w:before="100" w:beforeAutospacing="1" w:after="100" w:afterAutospacing="1"/>
      <w:jc w:val="left"/>
    </w:pPr>
    <w:rPr>
      <w:rFonts w:eastAsia="Times New Roman"/>
      <w:color w:val="000000"/>
      <w:sz w:val="18"/>
      <w:szCs w:val="18"/>
      <w:lang w:eastAsia="en-GB"/>
    </w:rPr>
  </w:style>
  <w:style w:type="paragraph" w:customStyle="1" w:styleId="xl51945">
    <w:name w:val="xl51945"/>
    <w:basedOn w:val="Normal"/>
    <w:pPr>
      <w:pBdr>
        <w:left w:val="single" w:sz="8" w:space="0" w:color="000000"/>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6">
    <w:name w:val="xl51946"/>
    <w:basedOn w:val="Normal"/>
    <w:pPr>
      <w:pBdr>
        <w:bottom w:val="single" w:sz="8" w:space="0" w:color="auto"/>
      </w:pBdr>
      <w:spacing w:before="100" w:beforeAutospacing="1" w:after="100" w:afterAutospacing="1"/>
      <w:jc w:val="left"/>
    </w:pPr>
    <w:rPr>
      <w:rFonts w:eastAsia="Times New Roman"/>
      <w:i/>
      <w:iCs/>
      <w:color w:val="000000"/>
      <w:sz w:val="18"/>
      <w:szCs w:val="18"/>
      <w:lang w:eastAsia="en-GB"/>
    </w:rPr>
  </w:style>
  <w:style w:type="paragraph" w:customStyle="1" w:styleId="xl51947">
    <w:name w:val="xl51947"/>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8">
    <w:name w:val="xl51948"/>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1949">
    <w:name w:val="xl51949"/>
    <w:basedOn w:val="Normal"/>
    <w:pPr>
      <w:pBdr>
        <w:bottom w:val="single" w:sz="8" w:space="0" w:color="auto"/>
        <w:right w:val="single" w:sz="8" w:space="0" w:color="000000"/>
      </w:pBdr>
      <w:spacing w:before="100" w:beforeAutospacing="1" w:after="100" w:afterAutospacing="1"/>
      <w:jc w:val="left"/>
    </w:pPr>
    <w:rPr>
      <w:rFonts w:eastAsia="Times New Roman"/>
      <w:i/>
      <w:iCs/>
      <w:color w:val="000000"/>
      <w:sz w:val="18"/>
      <w:szCs w:val="18"/>
      <w:lang w:eastAsia="en-GB"/>
    </w:rPr>
  </w:style>
  <w:style w:type="paragraph" w:customStyle="1" w:styleId="xl51950">
    <w:name w:val="xl51950"/>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1951">
    <w:name w:val="xl51951"/>
    <w:basedOn w:val="Normal"/>
    <w:pPr>
      <w:spacing w:before="100" w:beforeAutospacing="1" w:after="100" w:afterAutospacing="1"/>
      <w:jc w:val="left"/>
    </w:pPr>
    <w:rPr>
      <w:rFonts w:ascii="Calibri" w:eastAsia="Times New Roman" w:hAnsi="Calibri"/>
      <w:color w:val="000000"/>
      <w:sz w:val="16"/>
      <w:szCs w:val="16"/>
      <w:lang w:eastAsia="en-GB"/>
    </w:rPr>
  </w:style>
  <w:style w:type="paragraph" w:customStyle="1" w:styleId="xl51952">
    <w:name w:val="xl51952"/>
    <w:basedOn w:val="Normal"/>
    <w:pPr>
      <w:pBdr>
        <w:top w:val="single" w:sz="8" w:space="0" w:color="000000"/>
      </w:pBdr>
      <w:spacing w:before="100" w:beforeAutospacing="1" w:after="100" w:afterAutospacing="1"/>
      <w:jc w:val="left"/>
    </w:pPr>
    <w:rPr>
      <w:rFonts w:eastAsia="Times New Roman"/>
      <w:color w:val="000000"/>
      <w:sz w:val="18"/>
      <w:szCs w:val="18"/>
      <w:lang w:eastAsia="en-GB"/>
    </w:rPr>
  </w:style>
  <w:style w:type="paragraph" w:customStyle="1" w:styleId="xl51953">
    <w:name w:val="xl51953"/>
    <w:basedOn w:val="Normal"/>
    <w:pPr>
      <w:spacing w:before="100" w:beforeAutospacing="1" w:after="100" w:afterAutospacing="1"/>
      <w:jc w:val="left"/>
    </w:pPr>
    <w:rPr>
      <w:rFonts w:eastAsia="Times New Roman"/>
      <w:color w:val="000000"/>
      <w:sz w:val="18"/>
      <w:szCs w:val="18"/>
      <w:lang w:eastAsia="en-GB"/>
    </w:rPr>
  </w:style>
  <w:style w:type="paragraph" w:customStyle="1" w:styleId="xl51954">
    <w:name w:val="xl51954"/>
    <w:basedOn w:val="Normal"/>
    <w:pPr>
      <w:pBdr>
        <w:bottom w:val="single" w:sz="8" w:space="0" w:color="000000"/>
      </w:pBdr>
      <w:spacing w:before="100" w:beforeAutospacing="1" w:after="100" w:afterAutospacing="1"/>
      <w:jc w:val="right"/>
    </w:pPr>
    <w:rPr>
      <w:rFonts w:eastAsia="Times New Roman"/>
      <w:i/>
      <w:iCs/>
      <w:sz w:val="18"/>
      <w:szCs w:val="18"/>
      <w:lang w:eastAsia="en-GB"/>
    </w:rPr>
  </w:style>
  <w:style w:type="paragraph" w:customStyle="1" w:styleId="xl51955">
    <w:name w:val="xl51955"/>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56">
    <w:name w:val="xl51956"/>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7">
    <w:name w:val="xl51957"/>
    <w:basedOn w:val="Normal"/>
    <w:pPr>
      <w:pBdr>
        <w:bottom w:val="single" w:sz="8"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1958">
    <w:name w:val="xl51958"/>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1959">
    <w:name w:val="xl51959"/>
    <w:basedOn w:val="Normal"/>
    <w:pPr>
      <w:spacing w:before="100" w:beforeAutospacing="1" w:after="100" w:afterAutospacing="1"/>
      <w:jc w:val="left"/>
    </w:pPr>
    <w:rPr>
      <w:rFonts w:ascii="Calibri" w:eastAsia="Times New Roman" w:hAnsi="Calibri"/>
      <w:color w:val="FF0000"/>
      <w:sz w:val="16"/>
      <w:szCs w:val="16"/>
      <w:lang w:eastAsia="en-GB"/>
    </w:rPr>
  </w:style>
  <w:style w:type="paragraph" w:customStyle="1" w:styleId="xl51960">
    <w:name w:val="xl519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1">
    <w:name w:val="xl519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2"/>
      <w:szCs w:val="12"/>
      <w:lang w:eastAsia="en-GB"/>
    </w:rPr>
  </w:style>
  <w:style w:type="paragraph" w:customStyle="1" w:styleId="xl51962">
    <w:name w:val="xl519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3">
    <w:name w:val="xl5196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64">
    <w:name w:val="xl519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65">
    <w:name w:val="xl51965"/>
    <w:basedOn w:val="Normal"/>
    <w:pPr>
      <w:spacing w:before="100" w:beforeAutospacing="1" w:after="100" w:afterAutospacing="1"/>
      <w:jc w:val="left"/>
    </w:pPr>
    <w:rPr>
      <w:rFonts w:eastAsia="Times New Roman"/>
      <w:color w:val="000000"/>
      <w:sz w:val="12"/>
      <w:szCs w:val="12"/>
      <w:lang w:eastAsia="en-GB"/>
    </w:rPr>
  </w:style>
  <w:style w:type="paragraph" w:customStyle="1" w:styleId="xl51966">
    <w:name w:val="xl5196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1967">
    <w:name w:val="xl5196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2"/>
      <w:szCs w:val="12"/>
      <w:lang w:eastAsia="en-GB"/>
    </w:rPr>
  </w:style>
  <w:style w:type="paragraph" w:customStyle="1" w:styleId="xl51968">
    <w:name w:val="xl5196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69">
    <w:name w:val="xl5196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70">
    <w:name w:val="xl51970"/>
    <w:basedOn w:val="Normal"/>
    <w:pPr>
      <w:spacing w:before="100" w:beforeAutospacing="1" w:after="100" w:afterAutospacing="1"/>
      <w:jc w:val="left"/>
    </w:pPr>
    <w:rPr>
      <w:rFonts w:eastAsia="Times New Roman"/>
      <w:color w:val="000000"/>
      <w:sz w:val="12"/>
      <w:szCs w:val="12"/>
      <w:lang w:eastAsia="en-GB"/>
    </w:rPr>
  </w:style>
  <w:style w:type="paragraph" w:customStyle="1" w:styleId="xl51971">
    <w:name w:val="xl5197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1972">
    <w:name w:val="xl51972"/>
    <w:basedOn w:val="Normal"/>
    <w:pPr>
      <w:pBdr>
        <w:bottom w:val="single" w:sz="8" w:space="0" w:color="auto"/>
      </w:pBdr>
      <w:spacing w:before="100" w:beforeAutospacing="1" w:after="100" w:afterAutospacing="1"/>
      <w:jc w:val="left"/>
    </w:pPr>
    <w:rPr>
      <w:rFonts w:eastAsia="Times New Roman"/>
      <w:color w:val="000000"/>
      <w:sz w:val="12"/>
      <w:szCs w:val="12"/>
      <w:lang w:eastAsia="en-GB"/>
    </w:rPr>
  </w:style>
  <w:style w:type="paragraph" w:customStyle="1" w:styleId="xl51973">
    <w:name w:val="xl51973"/>
    <w:basedOn w:val="Normal"/>
    <w:pPr>
      <w:pBdr>
        <w:bottom w:val="single" w:sz="8" w:space="0" w:color="auto"/>
      </w:pBdr>
      <w:spacing w:before="100" w:beforeAutospacing="1" w:after="100" w:afterAutospacing="1"/>
      <w:jc w:val="right"/>
    </w:pPr>
    <w:rPr>
      <w:rFonts w:eastAsia="Times New Roman"/>
      <w:sz w:val="12"/>
      <w:szCs w:val="12"/>
      <w:lang w:eastAsia="en-GB"/>
    </w:rPr>
  </w:style>
  <w:style w:type="paragraph" w:customStyle="1" w:styleId="xl51974">
    <w:name w:val="xl51974"/>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5">
    <w:name w:val="xl51975"/>
    <w:basedOn w:val="Normal"/>
    <w:pPr>
      <w:pBdr>
        <w:bottom w:val="single" w:sz="8" w:space="0" w:color="auto"/>
      </w:pBdr>
      <w:spacing w:before="100" w:beforeAutospacing="1" w:after="100" w:afterAutospacing="1"/>
      <w:jc w:val="right"/>
    </w:pPr>
    <w:rPr>
      <w:rFonts w:eastAsia="Times New Roman"/>
      <w:color w:val="000000"/>
      <w:sz w:val="12"/>
      <w:szCs w:val="12"/>
      <w:lang w:eastAsia="en-GB"/>
    </w:rPr>
  </w:style>
  <w:style w:type="paragraph" w:customStyle="1" w:styleId="xl51976">
    <w:name w:val="xl51976"/>
    <w:basedOn w:val="Normal"/>
    <w:pPr>
      <w:spacing w:before="100" w:beforeAutospacing="1" w:after="100" w:afterAutospacing="1"/>
      <w:jc w:val="left"/>
    </w:pPr>
    <w:rPr>
      <w:rFonts w:eastAsia="Times New Roman"/>
      <w:color w:val="000000"/>
      <w:sz w:val="12"/>
      <w:szCs w:val="12"/>
      <w:lang w:eastAsia="en-GB"/>
    </w:rPr>
  </w:style>
  <w:style w:type="paragraph" w:customStyle="1" w:styleId="xl51977">
    <w:name w:val="xl51977"/>
    <w:basedOn w:val="Normal"/>
    <w:pPr>
      <w:spacing w:before="100" w:beforeAutospacing="1" w:after="100" w:afterAutospacing="1"/>
      <w:jc w:val="left"/>
    </w:pPr>
    <w:rPr>
      <w:rFonts w:ascii="Calibri" w:eastAsia="Times New Roman" w:hAnsi="Calibri"/>
      <w:b/>
      <w:bCs/>
      <w:sz w:val="12"/>
      <w:szCs w:val="12"/>
      <w:lang w:eastAsia="en-GB"/>
    </w:rPr>
  </w:style>
  <w:style w:type="paragraph" w:customStyle="1" w:styleId="xl51978">
    <w:name w:val="xl51978"/>
    <w:basedOn w:val="Normal"/>
    <w:pPr>
      <w:pBdr>
        <w:righ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79">
    <w:name w:val="xl51979"/>
    <w:basedOn w:val="Normal"/>
    <w:pPr>
      <w:pBdr>
        <w:left w:val="single" w:sz="4" w:space="0" w:color="auto"/>
      </w:pBdr>
      <w:spacing w:before="100" w:beforeAutospacing="1" w:after="100" w:afterAutospacing="1"/>
      <w:jc w:val="left"/>
    </w:pPr>
    <w:rPr>
      <w:rFonts w:ascii="Calibri" w:eastAsia="Times New Roman" w:hAnsi="Calibri"/>
      <w:b/>
      <w:bCs/>
      <w:color w:val="000000"/>
      <w:sz w:val="12"/>
      <w:szCs w:val="12"/>
      <w:lang w:eastAsia="en-GB"/>
    </w:rPr>
  </w:style>
  <w:style w:type="paragraph" w:customStyle="1" w:styleId="xl51980">
    <w:name w:val="xl51980"/>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1">
    <w:name w:val="xl51981"/>
    <w:basedOn w:val="Normal"/>
    <w:pPr>
      <w:spacing w:before="100" w:beforeAutospacing="1" w:after="100" w:afterAutospacing="1"/>
      <w:jc w:val="center"/>
    </w:pPr>
    <w:rPr>
      <w:rFonts w:eastAsia="Times New Roman"/>
      <w:color w:val="000000"/>
      <w:sz w:val="12"/>
      <w:szCs w:val="12"/>
      <w:lang w:eastAsia="en-GB"/>
    </w:rPr>
  </w:style>
  <w:style w:type="paragraph" w:customStyle="1" w:styleId="xl51982">
    <w:name w:val="xl51982"/>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sz w:val="12"/>
      <w:szCs w:val="12"/>
      <w:lang w:eastAsia="en-GB"/>
    </w:rPr>
  </w:style>
  <w:style w:type="paragraph" w:customStyle="1" w:styleId="xl51983">
    <w:name w:val="xl51983"/>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4">
    <w:name w:val="xl51984"/>
    <w:basedOn w:val="Normal"/>
    <w:pPr>
      <w:pBdr>
        <w:top w:val="single" w:sz="4" w:space="0" w:color="auto"/>
        <w:left w:val="single" w:sz="4" w:space="0" w:color="auto"/>
        <w:bottom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5">
    <w:name w:val="xl51985"/>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1986">
    <w:name w:val="xl51986"/>
    <w:basedOn w:val="Normal"/>
    <w:pPr>
      <w:spacing w:before="100" w:beforeAutospacing="1" w:after="100" w:afterAutospacing="1"/>
      <w:jc w:val="left"/>
    </w:pPr>
    <w:rPr>
      <w:rFonts w:eastAsia="Times New Roman"/>
      <w:b/>
      <w:bCs/>
      <w:color w:val="000000"/>
      <w:sz w:val="12"/>
      <w:szCs w:val="12"/>
      <w:lang w:eastAsia="en-GB"/>
    </w:rPr>
  </w:style>
  <w:style w:type="paragraph" w:customStyle="1" w:styleId="xl51987">
    <w:name w:val="xl51987"/>
    <w:basedOn w:val="Normal"/>
    <w:pPr>
      <w:pBdr>
        <w:top w:val="single" w:sz="4" w:space="0" w:color="auto"/>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8">
    <w:name w:val="xl51988"/>
    <w:basedOn w:val="Normal"/>
    <w:pPr>
      <w:pBdr>
        <w:left w:val="single" w:sz="4" w:space="0" w:color="auto"/>
      </w:pBdr>
      <w:spacing w:before="100" w:beforeAutospacing="1" w:after="100" w:afterAutospacing="1"/>
      <w:jc w:val="right"/>
    </w:pPr>
    <w:rPr>
      <w:rFonts w:eastAsia="Times New Roman"/>
      <w:sz w:val="12"/>
      <w:szCs w:val="12"/>
      <w:lang w:eastAsia="en-GB"/>
    </w:rPr>
  </w:style>
  <w:style w:type="paragraph" w:customStyle="1" w:styleId="xl51989">
    <w:name w:val="xl51989"/>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1990">
    <w:name w:val="xl5199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b/>
      <w:bCs/>
      <w:sz w:val="18"/>
      <w:szCs w:val="18"/>
      <w:lang w:eastAsia="en-GB"/>
    </w:rPr>
  </w:style>
  <w:style w:type="paragraph" w:customStyle="1" w:styleId="xl51991">
    <w:name w:val="xl5199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1992">
    <w:name w:val="xl51992"/>
    <w:basedOn w:val="Normal"/>
    <w:pPr>
      <w:spacing w:before="100" w:beforeAutospacing="1" w:after="100" w:afterAutospacing="1"/>
      <w:jc w:val="right"/>
    </w:pPr>
    <w:rPr>
      <w:rFonts w:eastAsia="Times New Roman"/>
      <w:color w:val="000000"/>
      <w:sz w:val="18"/>
      <w:szCs w:val="18"/>
      <w:lang w:eastAsia="en-GB"/>
    </w:rPr>
  </w:style>
  <w:style w:type="paragraph" w:customStyle="1" w:styleId="xl51993">
    <w:name w:val="xl51993"/>
    <w:basedOn w:val="Normal"/>
    <w:pPr>
      <w:spacing w:before="100" w:beforeAutospacing="1" w:after="100" w:afterAutospacing="1"/>
      <w:jc w:val="right"/>
    </w:pPr>
    <w:rPr>
      <w:rFonts w:eastAsia="Times New Roman"/>
      <w:color w:val="000000"/>
      <w:sz w:val="18"/>
      <w:szCs w:val="18"/>
      <w:lang w:eastAsia="en-GB"/>
    </w:rPr>
  </w:style>
  <w:style w:type="paragraph" w:customStyle="1" w:styleId="xl51994">
    <w:name w:val="xl51994"/>
    <w:basedOn w:val="Normal"/>
    <w:pPr>
      <w:spacing w:before="100" w:beforeAutospacing="1" w:after="100" w:afterAutospacing="1"/>
      <w:jc w:val="left"/>
    </w:pPr>
    <w:rPr>
      <w:rFonts w:ascii="Calibri" w:eastAsia="Times New Roman" w:hAnsi="Calibri"/>
      <w:sz w:val="18"/>
      <w:szCs w:val="18"/>
      <w:lang w:eastAsia="en-GB"/>
    </w:rPr>
  </w:style>
  <w:style w:type="paragraph" w:customStyle="1" w:styleId="xl51995">
    <w:name w:val="xl51995"/>
    <w:basedOn w:val="Normal"/>
    <w:pPr>
      <w:spacing w:before="100" w:beforeAutospacing="1" w:after="100" w:afterAutospacing="1"/>
      <w:jc w:val="left"/>
    </w:pPr>
    <w:rPr>
      <w:rFonts w:eastAsia="Times New Roman"/>
      <w:color w:val="FF0000"/>
      <w:sz w:val="18"/>
      <w:szCs w:val="18"/>
      <w:lang w:eastAsia="en-GB"/>
    </w:rPr>
  </w:style>
  <w:style w:type="paragraph" w:customStyle="1" w:styleId="xl51996">
    <w:name w:val="xl51996"/>
    <w:basedOn w:val="Normal"/>
    <w:pPr>
      <w:spacing w:before="100" w:beforeAutospacing="1" w:after="100" w:afterAutospacing="1"/>
      <w:jc w:val="left"/>
    </w:pPr>
    <w:rPr>
      <w:rFonts w:ascii="Calibri" w:eastAsia="Times New Roman" w:hAnsi="Calibri"/>
      <w:color w:val="FF0000"/>
      <w:sz w:val="18"/>
      <w:szCs w:val="18"/>
      <w:lang w:eastAsia="en-GB"/>
    </w:rPr>
  </w:style>
  <w:style w:type="paragraph" w:customStyle="1" w:styleId="xl51997">
    <w:name w:val="xl51997"/>
    <w:basedOn w:val="Normal"/>
    <w:pPr>
      <w:spacing w:before="100" w:beforeAutospacing="1" w:after="100" w:afterAutospacing="1"/>
      <w:jc w:val="right"/>
    </w:pPr>
    <w:rPr>
      <w:rFonts w:eastAsia="Times New Roman"/>
      <w:sz w:val="18"/>
      <w:szCs w:val="18"/>
      <w:lang w:eastAsia="en-GB"/>
    </w:rPr>
  </w:style>
  <w:style w:type="paragraph" w:customStyle="1" w:styleId="xl51998">
    <w:name w:val="xl5199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1999">
    <w:name w:val="xl5199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Times New Roman"/>
      <w:sz w:val="18"/>
      <w:szCs w:val="18"/>
      <w:lang w:eastAsia="en-GB"/>
    </w:rPr>
  </w:style>
  <w:style w:type="paragraph" w:customStyle="1" w:styleId="xl52000">
    <w:name w:val="xl52000"/>
    <w:basedOn w:val="Normal"/>
    <w:pPr>
      <w:pBdr>
        <w:top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01">
    <w:name w:val="xl52001"/>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02">
    <w:name w:val="xl52002"/>
    <w:basedOn w:val="Normal"/>
    <w:pPr>
      <w:spacing w:before="100" w:beforeAutospacing="1" w:after="100" w:afterAutospacing="1"/>
      <w:jc w:val="right"/>
    </w:pPr>
    <w:rPr>
      <w:rFonts w:eastAsia="Times New Roman"/>
      <w:sz w:val="18"/>
      <w:szCs w:val="18"/>
      <w:lang w:eastAsia="en-GB"/>
    </w:rPr>
  </w:style>
  <w:style w:type="paragraph" w:customStyle="1" w:styleId="xl52003">
    <w:name w:val="xl52003"/>
    <w:basedOn w:val="Normal"/>
    <w:pPr>
      <w:spacing w:before="100" w:beforeAutospacing="1" w:after="100" w:afterAutospacing="1"/>
      <w:jc w:val="left"/>
    </w:pPr>
    <w:rPr>
      <w:rFonts w:eastAsia="Times New Roman"/>
      <w:color w:val="000000"/>
      <w:sz w:val="18"/>
      <w:szCs w:val="18"/>
      <w:lang w:eastAsia="en-GB"/>
    </w:rPr>
  </w:style>
  <w:style w:type="paragraph" w:customStyle="1" w:styleId="xl52004">
    <w:name w:val="xl52004"/>
    <w:basedOn w:val="Normal"/>
    <w:pPr>
      <w:spacing w:before="100" w:beforeAutospacing="1" w:after="100" w:afterAutospacing="1"/>
      <w:jc w:val="left"/>
    </w:pPr>
    <w:rPr>
      <w:rFonts w:eastAsia="Times New Roman"/>
      <w:sz w:val="18"/>
      <w:szCs w:val="18"/>
      <w:lang w:eastAsia="en-GB"/>
    </w:rPr>
  </w:style>
  <w:style w:type="paragraph" w:customStyle="1" w:styleId="xl52005">
    <w:name w:val="xl52005"/>
    <w:basedOn w:val="Normal"/>
    <w:pPr>
      <w:spacing w:before="100" w:beforeAutospacing="1" w:after="100" w:afterAutospacing="1"/>
      <w:jc w:val="left"/>
    </w:pPr>
    <w:rPr>
      <w:rFonts w:eastAsia="Times New Roman"/>
      <w:color w:val="FF0000"/>
      <w:sz w:val="18"/>
      <w:szCs w:val="18"/>
      <w:lang w:eastAsia="en-GB"/>
    </w:rPr>
  </w:style>
  <w:style w:type="paragraph" w:customStyle="1" w:styleId="xl52006">
    <w:name w:val="xl52006"/>
    <w:basedOn w:val="Normal"/>
    <w:pPr>
      <w:spacing w:before="100" w:beforeAutospacing="1" w:after="100" w:afterAutospacing="1"/>
      <w:jc w:val="left"/>
    </w:pPr>
    <w:rPr>
      <w:rFonts w:eastAsia="Times New Roman"/>
      <w:i/>
      <w:iCs/>
      <w:color w:val="000000"/>
      <w:sz w:val="18"/>
      <w:szCs w:val="18"/>
      <w:lang w:eastAsia="en-GB"/>
    </w:rPr>
  </w:style>
  <w:style w:type="paragraph" w:customStyle="1" w:styleId="xl52007">
    <w:name w:val="xl52007"/>
    <w:basedOn w:val="Normal"/>
    <w:pPr>
      <w:pBdr>
        <w:top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08">
    <w:name w:val="xl52008"/>
    <w:basedOn w:val="Normal"/>
    <w:pPr>
      <w:pBdr>
        <w:top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09">
    <w:name w:val="xl52009"/>
    <w:basedOn w:val="Normal"/>
    <w:pPr>
      <w:spacing w:before="100" w:beforeAutospacing="1" w:after="100" w:afterAutospacing="1"/>
      <w:jc w:val="right"/>
    </w:pPr>
    <w:rPr>
      <w:rFonts w:eastAsia="Times New Roman"/>
      <w:color w:val="000000"/>
      <w:sz w:val="12"/>
      <w:szCs w:val="12"/>
      <w:lang w:eastAsia="en-GB"/>
    </w:rPr>
  </w:style>
  <w:style w:type="paragraph" w:customStyle="1" w:styleId="xl52010">
    <w:name w:val="xl52010"/>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1">
    <w:name w:val="xl52011"/>
    <w:basedOn w:val="Normal"/>
    <w:pPr>
      <w:pBdr>
        <w:bottom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2">
    <w:name w:val="xl52012"/>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13">
    <w:name w:val="xl5201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14">
    <w:name w:val="xl52014"/>
    <w:basedOn w:val="Normal"/>
    <w:pPr>
      <w:spacing w:before="100" w:beforeAutospacing="1" w:after="100" w:afterAutospacing="1"/>
      <w:jc w:val="right"/>
    </w:pPr>
    <w:rPr>
      <w:rFonts w:eastAsia="Times New Roman"/>
      <w:sz w:val="18"/>
      <w:szCs w:val="18"/>
      <w:lang w:eastAsia="en-GB"/>
    </w:rPr>
  </w:style>
  <w:style w:type="paragraph" w:customStyle="1" w:styleId="xl52015">
    <w:name w:val="xl52015"/>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sz w:val="12"/>
      <w:szCs w:val="12"/>
      <w:lang w:eastAsia="en-GB"/>
    </w:rPr>
  </w:style>
  <w:style w:type="paragraph" w:customStyle="1" w:styleId="xl52016">
    <w:name w:val="xl5201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eastAsia="Times New Roman" w:hAnsi="Calibri"/>
      <w:color w:val="000000"/>
      <w:sz w:val="12"/>
      <w:szCs w:val="12"/>
      <w:lang w:eastAsia="en-GB"/>
    </w:rPr>
  </w:style>
  <w:style w:type="paragraph" w:customStyle="1" w:styleId="xl52017">
    <w:name w:val="xl52017"/>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12"/>
      <w:szCs w:val="12"/>
      <w:lang w:eastAsia="en-GB"/>
    </w:rPr>
  </w:style>
  <w:style w:type="paragraph" w:customStyle="1" w:styleId="xl52018">
    <w:name w:val="xl52018"/>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12"/>
      <w:szCs w:val="12"/>
      <w:lang w:eastAsia="en-GB"/>
    </w:rPr>
  </w:style>
  <w:style w:type="paragraph" w:customStyle="1" w:styleId="xl52019">
    <w:name w:val="xl52019"/>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0">
    <w:name w:val="xl52020"/>
    <w:basedOn w:val="Normal"/>
    <w:pPr>
      <w:pBdr>
        <w:bottom w:val="single" w:sz="4" w:space="0" w:color="auto"/>
      </w:pBdr>
      <w:spacing w:before="100" w:beforeAutospacing="1" w:after="100" w:afterAutospacing="1"/>
      <w:jc w:val="center"/>
    </w:pPr>
    <w:rPr>
      <w:rFonts w:eastAsia="Times New Roman"/>
      <w:b/>
      <w:bCs/>
      <w:sz w:val="18"/>
      <w:szCs w:val="18"/>
      <w:lang w:eastAsia="en-GB"/>
    </w:rPr>
  </w:style>
  <w:style w:type="paragraph" w:customStyle="1" w:styleId="xl52021">
    <w:name w:val="xl52021"/>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2">
    <w:name w:val="xl52022"/>
    <w:basedOn w:val="Normal"/>
    <w:pPr>
      <w:pBdr>
        <w:top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3">
    <w:name w:val="xl52023"/>
    <w:basedOn w:val="Normal"/>
    <w:pPr>
      <w:pBdr>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4">
    <w:name w:val="xl52024"/>
    <w:basedOn w:val="Normal"/>
    <w:pPr>
      <w:pBdr>
        <w:bottom w:val="single" w:sz="4" w:space="0" w:color="auto"/>
        <w:right w:val="single" w:sz="4" w:space="0" w:color="auto"/>
      </w:pBdr>
      <w:spacing w:before="100" w:beforeAutospacing="1" w:after="100" w:afterAutospacing="1"/>
      <w:jc w:val="left"/>
    </w:pPr>
    <w:rPr>
      <w:rFonts w:eastAsia="Times New Roman"/>
      <w:color w:val="000000"/>
      <w:sz w:val="12"/>
      <w:szCs w:val="12"/>
      <w:lang w:eastAsia="en-GB"/>
    </w:rPr>
  </w:style>
  <w:style w:type="paragraph" w:customStyle="1" w:styleId="xl52025">
    <w:name w:val="xl52025"/>
    <w:basedOn w:val="Normal"/>
    <w:pPr>
      <w:pBdr>
        <w:left w:val="single" w:sz="4" w:space="0" w:color="auto"/>
        <w:bottom w:val="single" w:sz="4" w:space="0" w:color="auto"/>
      </w:pBdr>
      <w:spacing w:before="100" w:beforeAutospacing="1" w:after="100" w:afterAutospacing="1"/>
      <w:jc w:val="right"/>
    </w:pPr>
    <w:rPr>
      <w:rFonts w:eastAsia="Times New Roman"/>
      <w:sz w:val="12"/>
      <w:szCs w:val="12"/>
      <w:lang w:eastAsia="en-GB"/>
    </w:rPr>
  </w:style>
  <w:style w:type="paragraph" w:customStyle="1" w:styleId="xl52026">
    <w:name w:val="xl52026"/>
    <w:basedOn w:val="Normal"/>
    <w:pPr>
      <w:pBdr>
        <w:top w:val="single" w:sz="4" w:space="0" w:color="auto"/>
        <w:bottom w:val="single" w:sz="4" w:space="0" w:color="auto"/>
        <w:right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27">
    <w:name w:val="xl52027"/>
    <w:basedOn w:val="Normal"/>
    <w:pPr>
      <w:pBdr>
        <w:right w:val="single" w:sz="4" w:space="0" w:color="auto"/>
      </w:pBdr>
      <w:spacing w:before="100" w:beforeAutospacing="1" w:after="100" w:afterAutospacing="1"/>
      <w:jc w:val="left"/>
    </w:pPr>
    <w:rPr>
      <w:rFonts w:eastAsia="Times New Roman"/>
      <w:b/>
      <w:bCs/>
      <w:color w:val="000000"/>
      <w:sz w:val="12"/>
      <w:szCs w:val="12"/>
      <w:lang w:eastAsia="en-GB"/>
    </w:rPr>
  </w:style>
  <w:style w:type="paragraph" w:customStyle="1" w:styleId="xl52028">
    <w:name w:val="xl52028"/>
    <w:basedOn w:val="Normal"/>
    <w:pPr>
      <w:pBdr>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29">
    <w:name w:val="xl52029"/>
    <w:basedOn w:val="Normal"/>
    <w:pPr>
      <w:pBdr>
        <w:bottom w:val="single" w:sz="4" w:space="0" w:color="auto"/>
        <w:right w:val="single" w:sz="4" w:space="0" w:color="auto"/>
      </w:pBdr>
      <w:spacing w:before="100" w:beforeAutospacing="1" w:after="100" w:afterAutospacing="1"/>
      <w:jc w:val="left"/>
    </w:pPr>
    <w:rPr>
      <w:rFonts w:ascii="Calibri" w:eastAsia="Times New Roman" w:hAnsi="Calibri"/>
      <w:color w:val="000000"/>
      <w:sz w:val="12"/>
      <w:szCs w:val="12"/>
      <w:lang w:eastAsia="en-GB"/>
    </w:rPr>
  </w:style>
  <w:style w:type="paragraph" w:customStyle="1" w:styleId="xl52030">
    <w:name w:val="xl52030"/>
    <w:basedOn w:val="Normal"/>
    <w:pPr>
      <w:spacing w:before="100" w:beforeAutospacing="1" w:after="100" w:afterAutospacing="1"/>
      <w:jc w:val="left"/>
    </w:pPr>
    <w:rPr>
      <w:rFonts w:ascii="Calibri" w:eastAsia="Times New Roman" w:hAnsi="Calibri"/>
      <w:color w:val="1F497D"/>
      <w:sz w:val="22"/>
      <w:szCs w:val="24"/>
      <w:lang w:eastAsia="en-GB"/>
    </w:rPr>
  </w:style>
  <w:style w:type="paragraph" w:customStyle="1" w:styleId="xl52031">
    <w:name w:val="xl52031"/>
    <w:basedOn w:val="Normal"/>
    <w:pPr>
      <w:pBdr>
        <w:bottom w:val="single" w:sz="4" w:space="0" w:color="auto"/>
      </w:pBdr>
      <w:spacing w:before="100" w:beforeAutospacing="1" w:after="100" w:afterAutospacing="1"/>
      <w:jc w:val="left"/>
    </w:pPr>
    <w:rPr>
      <w:rFonts w:eastAsia="Times New Roman"/>
      <w:b/>
      <w:bCs/>
      <w:sz w:val="18"/>
      <w:szCs w:val="18"/>
      <w:lang w:eastAsia="en-GB"/>
    </w:rPr>
  </w:style>
  <w:style w:type="paragraph" w:customStyle="1" w:styleId="xl52032">
    <w:name w:val="xl52032"/>
    <w:basedOn w:val="Normal"/>
    <w:pPr>
      <w:pBdr>
        <w:top w:val="single" w:sz="4" w:space="0" w:color="auto"/>
        <w:left w:val="single" w:sz="4" w:space="0" w:color="auto"/>
        <w:bottom w:val="single" w:sz="4" w:space="0" w:color="auto"/>
      </w:pBdr>
      <w:spacing w:before="100" w:beforeAutospacing="1" w:after="100" w:afterAutospacing="1"/>
      <w:jc w:val="center"/>
    </w:pPr>
    <w:rPr>
      <w:rFonts w:eastAsia="Times New Roman"/>
      <w:color w:val="000000"/>
      <w:sz w:val="12"/>
      <w:szCs w:val="12"/>
      <w:lang w:eastAsia="en-GB"/>
    </w:rPr>
  </w:style>
  <w:style w:type="paragraph" w:customStyle="1" w:styleId="xl52033">
    <w:name w:val="xl52033"/>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34">
    <w:name w:val="xl52034"/>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5">
    <w:name w:val="xl52035"/>
    <w:basedOn w:val="Normal"/>
    <w:pPr>
      <w:pBdr>
        <w:bottom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36">
    <w:name w:val="xl52036"/>
    <w:basedOn w:val="Normal"/>
    <w:pPr>
      <w:pBdr>
        <w:bottom w:val="single" w:sz="8" w:space="0" w:color="auto"/>
      </w:pBdr>
      <w:spacing w:before="100" w:beforeAutospacing="1" w:after="100" w:afterAutospacing="1"/>
      <w:jc w:val="left"/>
    </w:pPr>
    <w:rPr>
      <w:rFonts w:eastAsia="Times New Roman"/>
      <w:color w:val="000000"/>
      <w:sz w:val="16"/>
      <w:szCs w:val="16"/>
      <w:lang w:eastAsia="en-GB"/>
    </w:rPr>
  </w:style>
  <w:style w:type="paragraph" w:customStyle="1" w:styleId="xl52037">
    <w:name w:val="xl52037"/>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8">
    <w:name w:val="xl52038"/>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39">
    <w:name w:val="xl52039"/>
    <w:basedOn w:val="Normal"/>
    <w:pPr>
      <w:spacing w:before="100" w:beforeAutospacing="1" w:after="100" w:afterAutospacing="1"/>
      <w:jc w:val="right"/>
    </w:pPr>
    <w:rPr>
      <w:rFonts w:eastAsia="Times New Roman"/>
      <w:color w:val="000000"/>
      <w:sz w:val="18"/>
      <w:szCs w:val="18"/>
      <w:lang w:eastAsia="en-GB"/>
    </w:rPr>
  </w:style>
  <w:style w:type="paragraph" w:customStyle="1" w:styleId="xl52040">
    <w:name w:val="xl52040"/>
    <w:basedOn w:val="Normal"/>
    <w:pPr>
      <w:pBdr>
        <w:top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1">
    <w:name w:val="xl52041"/>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42">
    <w:name w:val="xl52042"/>
    <w:basedOn w:val="Normal"/>
    <w:pPr>
      <w:pBdr>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43">
    <w:name w:val="xl52043"/>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4">
    <w:name w:val="xl52044"/>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45">
    <w:name w:val="xl52045"/>
    <w:basedOn w:val="Normal"/>
    <w:pPr>
      <w:pBdr>
        <w:bottom w:val="single" w:sz="8" w:space="0" w:color="000000"/>
      </w:pBdr>
      <w:spacing w:before="100" w:beforeAutospacing="1" w:after="100" w:afterAutospacing="1"/>
      <w:jc w:val="left"/>
    </w:pPr>
    <w:rPr>
      <w:rFonts w:ascii="Calibri" w:eastAsia="Times New Roman" w:hAnsi="Calibri"/>
      <w:sz w:val="18"/>
      <w:szCs w:val="18"/>
      <w:lang w:eastAsia="en-GB"/>
    </w:rPr>
  </w:style>
  <w:style w:type="paragraph" w:customStyle="1" w:styleId="xl52046">
    <w:name w:val="xl52046"/>
    <w:basedOn w:val="Normal"/>
    <w:pPr>
      <w:spacing w:before="100" w:beforeAutospacing="1" w:after="100" w:afterAutospacing="1"/>
      <w:jc w:val="left"/>
    </w:pPr>
    <w:rPr>
      <w:rFonts w:eastAsia="Times New Roman"/>
      <w:sz w:val="18"/>
      <w:szCs w:val="18"/>
      <w:lang w:eastAsia="en-GB"/>
    </w:rPr>
  </w:style>
  <w:style w:type="paragraph" w:customStyle="1" w:styleId="xl52047">
    <w:name w:val="xl52047"/>
    <w:basedOn w:val="Normal"/>
    <w:pPr>
      <w:pBdr>
        <w:bottom w:val="single" w:sz="8" w:space="0" w:color="auto"/>
      </w:pBdr>
      <w:spacing w:before="100" w:beforeAutospacing="1" w:after="100" w:afterAutospacing="1"/>
      <w:jc w:val="left"/>
    </w:pPr>
    <w:rPr>
      <w:rFonts w:eastAsia="Times New Roman"/>
      <w:sz w:val="18"/>
      <w:szCs w:val="18"/>
      <w:lang w:eastAsia="en-GB"/>
    </w:rPr>
  </w:style>
  <w:style w:type="paragraph" w:customStyle="1" w:styleId="xl52048">
    <w:name w:val="xl52048"/>
    <w:basedOn w:val="Normal"/>
    <w:pPr>
      <w:pBdr>
        <w:bottom w:val="single" w:sz="8" w:space="0" w:color="auto"/>
      </w:pBdr>
      <w:spacing w:before="100" w:beforeAutospacing="1" w:after="100" w:afterAutospacing="1"/>
      <w:jc w:val="right"/>
    </w:pPr>
    <w:rPr>
      <w:rFonts w:eastAsia="Times New Roman"/>
      <w:sz w:val="18"/>
      <w:szCs w:val="18"/>
      <w:lang w:eastAsia="en-GB"/>
    </w:rPr>
  </w:style>
  <w:style w:type="paragraph" w:customStyle="1" w:styleId="xl52049">
    <w:name w:val="xl52049"/>
    <w:basedOn w:val="Normal"/>
    <w:pPr>
      <w:pBdr>
        <w:bottom w:val="single" w:sz="8" w:space="0" w:color="auto"/>
      </w:pBdr>
      <w:spacing w:before="100" w:beforeAutospacing="1" w:after="100" w:afterAutospacing="1"/>
      <w:jc w:val="right"/>
    </w:pPr>
    <w:rPr>
      <w:rFonts w:eastAsia="Times New Roman"/>
      <w:color w:val="000000"/>
      <w:sz w:val="18"/>
      <w:szCs w:val="18"/>
      <w:lang w:eastAsia="en-GB"/>
    </w:rPr>
  </w:style>
  <w:style w:type="paragraph" w:customStyle="1" w:styleId="xl52050">
    <w:name w:val="xl52050"/>
    <w:basedOn w:val="Normal"/>
    <w:pPr>
      <w:pBdr>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1">
    <w:name w:val="xl52051"/>
    <w:basedOn w:val="Normal"/>
    <w:pPr>
      <w:pBdr>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2">
    <w:name w:val="xl52052"/>
    <w:basedOn w:val="Normal"/>
    <w:pPr>
      <w:pBdr>
        <w:bottom w:val="single" w:sz="8" w:space="0" w:color="000000"/>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3">
    <w:name w:val="xl52053"/>
    <w:basedOn w:val="Normal"/>
    <w:pPr>
      <w:pBdr>
        <w:bottom w:val="single" w:sz="8" w:space="0" w:color="000000"/>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4">
    <w:name w:val="xl52054"/>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5">
    <w:name w:val="xl52055"/>
    <w:basedOn w:val="Normal"/>
    <w:pPr>
      <w:pBdr>
        <w:top w:val="single" w:sz="8" w:space="0" w:color="auto"/>
        <w:bottom w:val="single" w:sz="8"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56">
    <w:name w:val="xl52056"/>
    <w:basedOn w:val="Normal"/>
    <w:pPr>
      <w:pBdr>
        <w:top w:val="single" w:sz="8" w:space="0" w:color="auto"/>
        <w:bottom w:val="single" w:sz="8" w:space="0" w:color="auto"/>
      </w:pBdr>
      <w:spacing w:before="100" w:beforeAutospacing="1" w:after="100" w:afterAutospacing="1"/>
      <w:jc w:val="right"/>
    </w:pPr>
    <w:rPr>
      <w:rFonts w:ascii="Calibri" w:eastAsia="Times New Roman" w:hAnsi="Calibri"/>
      <w:color w:val="000000"/>
      <w:sz w:val="18"/>
      <w:szCs w:val="18"/>
      <w:lang w:eastAsia="en-GB"/>
    </w:rPr>
  </w:style>
  <w:style w:type="paragraph" w:customStyle="1" w:styleId="xl52057">
    <w:name w:val="xl52057"/>
    <w:basedOn w:val="Normal"/>
    <w:pPr>
      <w:pBdr>
        <w:top w:val="single" w:sz="8" w:space="0" w:color="auto"/>
        <w:bottom w:val="single" w:sz="8"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58">
    <w:name w:val="xl52058"/>
    <w:basedOn w:val="Normal"/>
    <w:pPr>
      <w:pBdr>
        <w:top w:val="single" w:sz="8" w:space="0" w:color="auto"/>
        <w:right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59">
    <w:name w:val="xl52059"/>
    <w:basedOn w:val="Normal"/>
    <w:pPr>
      <w:spacing w:before="100" w:beforeAutospacing="1" w:after="100" w:afterAutospacing="1"/>
      <w:jc w:val="right"/>
    </w:pPr>
    <w:rPr>
      <w:rFonts w:eastAsia="Times New Roman"/>
      <w:color w:val="000000"/>
      <w:sz w:val="18"/>
      <w:szCs w:val="18"/>
      <w:lang w:eastAsia="en-GB"/>
    </w:rPr>
  </w:style>
  <w:style w:type="paragraph" w:customStyle="1" w:styleId="xl52060">
    <w:name w:val="xl5206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sz w:val="14"/>
      <w:szCs w:val="14"/>
      <w:lang w:eastAsia="en-GB"/>
    </w:rPr>
  </w:style>
  <w:style w:type="paragraph" w:customStyle="1" w:styleId="xl52061">
    <w:name w:val="xl5206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2">
    <w:name w:val="xl52062"/>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sz w:val="14"/>
      <w:szCs w:val="14"/>
      <w:lang w:eastAsia="en-GB"/>
    </w:rPr>
  </w:style>
  <w:style w:type="paragraph" w:customStyle="1" w:styleId="xl52063">
    <w:name w:val="xl52063"/>
    <w:basedOn w:val="Normal"/>
    <w:pPr>
      <w:pBdr>
        <w:bottom w:val="single" w:sz="4" w:space="0" w:color="auto"/>
      </w:pBdr>
      <w:spacing w:before="100" w:beforeAutospacing="1" w:after="100" w:afterAutospacing="1"/>
      <w:jc w:val="left"/>
    </w:pPr>
    <w:rPr>
      <w:rFonts w:ascii="Calibri" w:eastAsia="Times New Roman" w:hAnsi="Calibri"/>
      <w:sz w:val="16"/>
      <w:szCs w:val="16"/>
      <w:lang w:eastAsia="en-GB"/>
    </w:rPr>
  </w:style>
  <w:style w:type="paragraph" w:customStyle="1" w:styleId="xl52064">
    <w:name w:val="xl5206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olor w:val="000000"/>
      <w:sz w:val="14"/>
      <w:szCs w:val="14"/>
      <w:lang w:eastAsia="en-GB"/>
    </w:rPr>
  </w:style>
  <w:style w:type="paragraph" w:customStyle="1" w:styleId="xl52065">
    <w:name w:val="xl52065"/>
    <w:basedOn w:val="Normal"/>
    <w:pPr>
      <w:pBdr>
        <w:bottom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6">
    <w:name w:val="xl52066"/>
    <w:basedOn w:val="Normal"/>
    <w:pPr>
      <w:pBdr>
        <w:top w:val="single" w:sz="8" w:space="0" w:color="auto"/>
      </w:pBdr>
      <w:spacing w:before="100" w:beforeAutospacing="1" w:after="100" w:afterAutospacing="1"/>
      <w:jc w:val="right"/>
    </w:pPr>
    <w:rPr>
      <w:rFonts w:eastAsia="Times New Roman"/>
      <w:sz w:val="18"/>
      <w:szCs w:val="18"/>
      <w:lang w:eastAsia="en-GB"/>
    </w:rPr>
  </w:style>
  <w:style w:type="paragraph" w:customStyle="1" w:styleId="xl52067">
    <w:name w:val="xl52067"/>
    <w:basedOn w:val="Normal"/>
    <w:pPr>
      <w:pBdr>
        <w:top w:val="single" w:sz="8"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68">
    <w:name w:val="xl52068"/>
    <w:basedOn w:val="Normal"/>
    <w:pPr>
      <w:pBdr>
        <w:top w:val="single" w:sz="8" w:space="0" w:color="auto"/>
      </w:pBdr>
      <w:spacing w:before="100" w:beforeAutospacing="1" w:after="100" w:afterAutospacing="1"/>
      <w:jc w:val="left"/>
    </w:pPr>
    <w:rPr>
      <w:rFonts w:eastAsia="Times New Roman"/>
      <w:color w:val="000000"/>
      <w:sz w:val="18"/>
      <w:szCs w:val="18"/>
      <w:lang w:eastAsia="en-GB"/>
    </w:rPr>
  </w:style>
  <w:style w:type="paragraph" w:customStyle="1" w:styleId="xl52069">
    <w:name w:val="xl52069"/>
    <w:basedOn w:val="Normal"/>
    <w:pPr>
      <w:pBdr>
        <w:bottom w:val="single" w:sz="8" w:space="0" w:color="auto"/>
      </w:pBdr>
      <w:spacing w:before="100" w:beforeAutospacing="1" w:after="100" w:afterAutospacing="1"/>
      <w:jc w:val="center"/>
    </w:pPr>
    <w:rPr>
      <w:rFonts w:eastAsia="Times New Roman"/>
      <w:sz w:val="18"/>
      <w:szCs w:val="18"/>
      <w:lang w:eastAsia="en-GB"/>
    </w:rPr>
  </w:style>
  <w:style w:type="paragraph" w:customStyle="1" w:styleId="xl52070">
    <w:name w:val="xl52070"/>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1">
    <w:name w:val="xl52071"/>
    <w:basedOn w:val="Normal"/>
    <w:pPr>
      <w:pBdr>
        <w:bottom w:val="single" w:sz="4" w:space="0" w:color="auto"/>
      </w:pBdr>
      <w:spacing w:before="100" w:beforeAutospacing="1" w:after="100" w:afterAutospacing="1"/>
      <w:jc w:val="left"/>
    </w:pPr>
    <w:rPr>
      <w:rFonts w:ascii="Calibri" w:eastAsia="Times New Roman" w:hAnsi="Calibri"/>
      <w:sz w:val="18"/>
      <w:szCs w:val="18"/>
      <w:lang w:eastAsia="en-GB"/>
    </w:rPr>
  </w:style>
  <w:style w:type="paragraph" w:customStyle="1" w:styleId="xl52072">
    <w:name w:val="xl52072"/>
    <w:basedOn w:val="Normal"/>
    <w:pPr>
      <w:pBdr>
        <w:bottom w:val="single" w:sz="4" w:space="0" w:color="auto"/>
      </w:pBdr>
      <w:spacing w:before="100" w:beforeAutospacing="1" w:after="100" w:afterAutospacing="1"/>
      <w:jc w:val="right"/>
    </w:pPr>
    <w:rPr>
      <w:rFonts w:eastAsia="Times New Roman"/>
      <w:color w:val="000000"/>
      <w:sz w:val="18"/>
      <w:szCs w:val="18"/>
      <w:lang w:eastAsia="en-GB"/>
    </w:rPr>
  </w:style>
  <w:style w:type="paragraph" w:customStyle="1" w:styleId="xl52073">
    <w:name w:val="xl52073"/>
    <w:basedOn w:val="Normal"/>
    <w:pPr>
      <w:pBdr>
        <w:bottom w:val="single" w:sz="4" w:space="0" w:color="auto"/>
      </w:pBdr>
      <w:spacing w:before="100" w:beforeAutospacing="1" w:after="100" w:afterAutospacing="1"/>
      <w:jc w:val="left"/>
    </w:pPr>
    <w:rPr>
      <w:rFonts w:eastAsia="Times New Roman"/>
      <w:color w:val="000000"/>
      <w:sz w:val="18"/>
      <w:szCs w:val="18"/>
      <w:lang w:eastAsia="en-GB"/>
    </w:rPr>
  </w:style>
  <w:style w:type="paragraph" w:customStyle="1" w:styleId="xl52074">
    <w:name w:val="xl52074"/>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5">
    <w:name w:val="xl52075"/>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numbering" w:customStyle="1" w:styleId="NoList3">
    <w:name w:val="No List3"/>
    <w:next w:val="NoList"/>
    <w:uiPriority w:val="99"/>
    <w:semiHidden/>
    <w:unhideWhenUsed/>
  </w:style>
  <w:style w:type="numbering" w:customStyle="1" w:styleId="NoList12">
    <w:name w:val="No List12"/>
    <w:next w:val="NoList"/>
    <w:uiPriority w:val="99"/>
    <w:semiHidden/>
    <w:unhideWhenUsed/>
  </w:style>
  <w:style w:type="numbering" w:customStyle="1" w:styleId="NoList112">
    <w:name w:val="No List112"/>
    <w:next w:val="NoList"/>
    <w:uiPriority w:val="99"/>
    <w:semiHidden/>
    <w:unhideWhenUsed/>
  </w:style>
  <w:style w:type="numbering" w:customStyle="1" w:styleId="NoList21">
    <w:name w:val="No List21"/>
    <w:next w:val="NoList"/>
    <w:uiPriority w:val="99"/>
    <w:semiHidden/>
    <w:unhideWhenUsed/>
  </w:style>
  <w:style w:type="numbering" w:customStyle="1" w:styleId="NoList1112">
    <w:name w:val="No List1112"/>
    <w:next w:val="NoList"/>
    <w:uiPriority w:val="99"/>
    <w:semiHidden/>
    <w:unhideWhenUsed/>
  </w:style>
  <w:style w:type="paragraph" w:customStyle="1" w:styleId="xl52076">
    <w:name w:val="xl52076"/>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7">
    <w:name w:val="xl52077"/>
    <w:basedOn w:val="Normal"/>
    <w:pPr>
      <w:pBdr>
        <w:bottom w:val="single" w:sz="4" w:space="0" w:color="auto"/>
      </w:pBdr>
      <w:spacing w:before="100" w:beforeAutospacing="1" w:after="100" w:afterAutospacing="1"/>
      <w:jc w:val="left"/>
    </w:pPr>
    <w:rPr>
      <w:rFonts w:ascii="Calibri" w:eastAsia="Times New Roman" w:hAnsi="Calibri"/>
      <w:color w:val="000000"/>
      <w:sz w:val="18"/>
      <w:szCs w:val="18"/>
      <w:lang w:eastAsia="en-GB"/>
    </w:rPr>
  </w:style>
  <w:style w:type="paragraph" w:customStyle="1" w:styleId="xl52078">
    <w:name w:val="xl52078"/>
    <w:basedOn w:val="Normal"/>
    <w:pPr>
      <w:pBdr>
        <w:bottom w:val="single" w:sz="4" w:space="0" w:color="auto"/>
      </w:pBdr>
      <w:spacing w:before="100" w:beforeAutospacing="1" w:after="100" w:afterAutospacing="1"/>
      <w:jc w:val="left"/>
    </w:pPr>
    <w:rPr>
      <w:rFonts w:ascii="Calibri" w:eastAsia="Times New Roman" w:hAnsi="Calibri"/>
      <w:color w:val="000000"/>
      <w:sz w:val="16"/>
      <w:szCs w:val="16"/>
      <w:lang w:eastAsia="en-GB"/>
    </w:rPr>
  </w:style>
  <w:style w:type="paragraph" w:customStyle="1" w:styleId="xl52079">
    <w:name w:val="xl52079"/>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0">
    <w:name w:val="xl52080"/>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1">
    <w:name w:val="xl52081"/>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082">
    <w:name w:val="xl52082"/>
    <w:basedOn w:val="Normal"/>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83">
    <w:name w:val="xl52083"/>
    <w:basedOn w:val="Normal"/>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84">
    <w:name w:val="xl52084"/>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085">
    <w:name w:val="xl52085"/>
    <w:basedOn w:val="Normal"/>
    <w:pPr>
      <w:pBdr>
        <w:bottom w:val="single" w:sz="4" w:space="0" w:color="auto"/>
      </w:pBdr>
      <w:spacing w:before="100" w:beforeAutospacing="1" w:after="100" w:afterAutospacing="1"/>
      <w:jc w:val="left"/>
      <w:textAlignment w:val="top"/>
    </w:pPr>
    <w:rPr>
      <w:rFonts w:ascii="Calibri" w:eastAsia="Times New Roman" w:hAnsi="Calibri"/>
      <w:sz w:val="16"/>
      <w:szCs w:val="16"/>
      <w:lang w:eastAsia="en-GB"/>
    </w:rPr>
  </w:style>
  <w:style w:type="paragraph" w:customStyle="1" w:styleId="xl52086">
    <w:name w:val="xl5208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087">
    <w:name w:val="xl52087"/>
    <w:basedOn w:val="Normal"/>
    <w:pPr>
      <w:pBdr>
        <w:bottom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88">
    <w:name w:val="xl52088"/>
    <w:basedOn w:val="Normal"/>
    <w:pPr>
      <w:pBdr>
        <w:top w:val="single" w:sz="8" w:space="0" w:color="auto"/>
      </w:pBdr>
      <w:spacing w:before="100" w:beforeAutospacing="1" w:after="100" w:afterAutospacing="1"/>
      <w:jc w:val="right"/>
      <w:textAlignment w:val="top"/>
    </w:pPr>
    <w:rPr>
      <w:rFonts w:eastAsia="Times New Roman"/>
      <w:sz w:val="18"/>
      <w:szCs w:val="18"/>
      <w:lang w:eastAsia="en-GB"/>
    </w:rPr>
  </w:style>
  <w:style w:type="paragraph" w:customStyle="1" w:styleId="xl52089">
    <w:name w:val="xl52089"/>
    <w:basedOn w:val="Normal"/>
    <w:pPr>
      <w:pBdr>
        <w:top w:val="single" w:sz="8"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0">
    <w:name w:val="xl52090"/>
    <w:basedOn w:val="Normal"/>
    <w:pPr>
      <w:pBdr>
        <w:top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1">
    <w:name w:val="xl52091"/>
    <w:basedOn w:val="Normal"/>
    <w:pPr>
      <w:pBdr>
        <w:bottom w:val="single" w:sz="8" w:space="0" w:color="auto"/>
      </w:pBdr>
      <w:spacing w:before="100" w:beforeAutospacing="1" w:after="100" w:afterAutospacing="1"/>
      <w:jc w:val="center"/>
      <w:textAlignment w:val="top"/>
    </w:pPr>
    <w:rPr>
      <w:rFonts w:eastAsia="Times New Roman"/>
      <w:sz w:val="18"/>
      <w:szCs w:val="18"/>
      <w:lang w:eastAsia="en-GB"/>
    </w:rPr>
  </w:style>
  <w:style w:type="paragraph" w:customStyle="1" w:styleId="xl52092">
    <w:name w:val="xl52092"/>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3">
    <w:name w:val="xl52093"/>
    <w:basedOn w:val="Normal"/>
    <w:pPr>
      <w:pBdr>
        <w:bottom w:val="single" w:sz="4" w:space="0" w:color="auto"/>
      </w:pBdr>
      <w:spacing w:before="100" w:beforeAutospacing="1" w:after="100" w:afterAutospacing="1"/>
      <w:jc w:val="left"/>
      <w:textAlignment w:val="top"/>
    </w:pPr>
    <w:rPr>
      <w:rFonts w:ascii="Calibri" w:eastAsia="Times New Roman" w:hAnsi="Calibri"/>
      <w:sz w:val="18"/>
      <w:szCs w:val="18"/>
      <w:lang w:eastAsia="en-GB"/>
    </w:rPr>
  </w:style>
  <w:style w:type="paragraph" w:customStyle="1" w:styleId="xl52094">
    <w:name w:val="xl52094"/>
    <w:basedOn w:val="Normal"/>
    <w:pPr>
      <w:pBdr>
        <w:bottom w:val="single" w:sz="4"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095">
    <w:name w:val="xl52095"/>
    <w:basedOn w:val="Normal"/>
    <w:pPr>
      <w:pBdr>
        <w:bottom w:val="single" w:sz="4"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096">
    <w:name w:val="xl52096"/>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7">
    <w:name w:val="xl52097"/>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098">
    <w:name w:val="xl52098"/>
    <w:basedOn w:val="Normal"/>
    <w:uiPriority w:val="99"/>
    <w:pPr>
      <w:pBdr>
        <w:bottom w:val="single" w:sz="4" w:space="0" w:color="auto"/>
      </w:pBdr>
      <w:spacing w:before="100" w:beforeAutospacing="1" w:after="100" w:afterAutospacing="1"/>
      <w:jc w:val="left"/>
      <w:textAlignment w:val="top"/>
    </w:pPr>
    <w:rPr>
      <w:rFonts w:ascii="Calibri" w:eastAsia="Times New Roman" w:hAnsi="Calibri"/>
      <w:color w:val="000000"/>
      <w:sz w:val="16"/>
      <w:szCs w:val="16"/>
      <w:lang w:eastAsia="en-GB"/>
    </w:rPr>
  </w:style>
  <w:style w:type="paragraph" w:customStyle="1" w:styleId="xl52099">
    <w:name w:val="xl52099"/>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14"/>
      <w:szCs w:val="14"/>
      <w:lang w:eastAsia="en-GB"/>
    </w:rPr>
  </w:style>
  <w:style w:type="paragraph" w:customStyle="1" w:styleId="xl52100">
    <w:name w:val="xl52100"/>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14"/>
      <w:szCs w:val="14"/>
      <w:lang w:eastAsia="en-GB"/>
    </w:rPr>
  </w:style>
  <w:style w:type="paragraph" w:customStyle="1" w:styleId="xl52101">
    <w:name w:val="xl52101"/>
    <w:basedOn w:val="Normal"/>
    <w:uiPriority w:val="9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 w:val="14"/>
      <w:szCs w:val="14"/>
      <w:lang w:eastAsia="en-GB"/>
    </w:rPr>
  </w:style>
  <w:style w:type="paragraph" w:customStyle="1" w:styleId="xl52102">
    <w:name w:val="xl52102"/>
    <w:basedOn w:val="Normal"/>
    <w:uiPriority w:val="99"/>
    <w:pPr>
      <w:pBdr>
        <w:top w:val="single" w:sz="8" w:space="0" w:color="auto"/>
        <w:left w:val="single" w:sz="8" w:space="0" w:color="auto"/>
        <w:bottom w:val="single" w:sz="8" w:space="0" w:color="auto"/>
      </w:pBdr>
      <w:spacing w:before="100" w:beforeAutospacing="1" w:after="100" w:afterAutospacing="1"/>
      <w:jc w:val="left"/>
      <w:textAlignment w:val="top"/>
    </w:pPr>
    <w:rPr>
      <w:rFonts w:ascii="Calibri" w:eastAsia="Times New Roman" w:hAnsi="Calibri"/>
      <w:color w:val="000000"/>
      <w:sz w:val="18"/>
      <w:szCs w:val="18"/>
      <w:lang w:eastAsia="en-GB"/>
    </w:rPr>
  </w:style>
  <w:style w:type="paragraph" w:customStyle="1" w:styleId="xl52103">
    <w:name w:val="xl52103"/>
    <w:basedOn w:val="Normal"/>
    <w:uiPriority w:val="99"/>
    <w:pPr>
      <w:pBdr>
        <w:top w:val="single" w:sz="8" w:space="0" w:color="auto"/>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4">
    <w:name w:val="xl52104"/>
    <w:basedOn w:val="Normal"/>
    <w:uiPriority w:val="99"/>
    <w:pPr>
      <w:pBdr>
        <w:bottom w:val="single" w:sz="8" w:space="0" w:color="auto"/>
      </w:pBdr>
      <w:shd w:val="clear" w:color="000000" w:fill="808080"/>
      <w:spacing w:before="100" w:beforeAutospacing="1" w:after="100" w:afterAutospacing="1"/>
      <w:jc w:val="left"/>
      <w:textAlignment w:val="top"/>
    </w:pPr>
    <w:rPr>
      <w:rFonts w:eastAsia="Times New Roman"/>
      <w:sz w:val="18"/>
      <w:szCs w:val="18"/>
      <w:lang w:eastAsia="en-GB"/>
    </w:rPr>
  </w:style>
  <w:style w:type="paragraph" w:customStyle="1" w:styleId="xl52105">
    <w:name w:val="xl52105"/>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xl52106">
    <w:name w:val="xl52106"/>
    <w:basedOn w:val="Normal"/>
    <w:uiPriority w:val="99"/>
    <w:pPr>
      <w:pBdr>
        <w:bottom w:val="single" w:sz="8" w:space="0" w:color="auto"/>
      </w:pBdr>
      <w:spacing w:before="100" w:beforeAutospacing="1" w:after="100" w:afterAutospacing="1"/>
      <w:jc w:val="left"/>
      <w:textAlignment w:val="top"/>
    </w:pPr>
    <w:rPr>
      <w:rFonts w:eastAsia="Times New Roman"/>
      <w:sz w:val="18"/>
      <w:szCs w:val="18"/>
      <w:lang w:eastAsia="en-GB"/>
    </w:rPr>
  </w:style>
  <w:style w:type="paragraph" w:customStyle="1" w:styleId="xl52107">
    <w:name w:val="xl52107"/>
    <w:basedOn w:val="Normal"/>
    <w:uiPriority w:val="99"/>
    <w:pPr>
      <w:pBdr>
        <w:bottom w:val="single" w:sz="8" w:space="0" w:color="auto"/>
      </w:pBdr>
      <w:spacing w:before="100" w:beforeAutospacing="1" w:after="100" w:afterAutospacing="1"/>
      <w:jc w:val="right"/>
      <w:textAlignment w:val="top"/>
    </w:pPr>
    <w:rPr>
      <w:rFonts w:eastAsia="Times New Roman"/>
      <w:color w:val="000000"/>
      <w:sz w:val="18"/>
      <w:szCs w:val="18"/>
      <w:lang w:eastAsia="en-GB"/>
    </w:rPr>
  </w:style>
  <w:style w:type="paragraph" w:customStyle="1" w:styleId="xl52108">
    <w:name w:val="xl52108"/>
    <w:basedOn w:val="Normal"/>
    <w:uiPriority w:val="99"/>
    <w:pPr>
      <w:pBdr>
        <w:bottom w:val="single" w:sz="8" w:space="0" w:color="auto"/>
      </w:pBdr>
      <w:spacing w:before="100" w:beforeAutospacing="1" w:after="100" w:afterAutospacing="1"/>
      <w:jc w:val="left"/>
      <w:textAlignment w:val="top"/>
    </w:pPr>
    <w:rPr>
      <w:rFonts w:eastAsia="Times New Roman"/>
      <w:color w:val="000000"/>
      <w:sz w:val="18"/>
      <w:szCs w:val="18"/>
      <w:lang w:eastAsia="en-GB"/>
    </w:rPr>
  </w:style>
  <w:style w:type="paragraph" w:customStyle="1" w:styleId="msonormal0">
    <w:name w:val="msonormal"/>
    <w:basedOn w:val="Normal"/>
    <w:pPr>
      <w:spacing w:before="100" w:beforeAutospacing="1" w:after="100" w:afterAutospacing="1"/>
      <w:jc w:val="left"/>
    </w:pPr>
    <w:rPr>
      <w:rFonts w:eastAsia="Times New Roman"/>
      <w:szCs w:val="24"/>
      <w:lang w:eastAsia="en-GB"/>
    </w:rPr>
  </w:style>
  <w:style w:type="paragraph" w:customStyle="1" w:styleId="CMMLevel1">
    <w:name w:val="CMM Level1"/>
    <w:link w:val="CMMLevel1Char"/>
    <w:autoRedefine/>
    <w:uiPriority w:val="99"/>
    <w:qFormat/>
    <w:pPr>
      <w:numPr>
        <w:numId w:val="35"/>
      </w:numPr>
      <w:tabs>
        <w:tab w:val="left" w:pos="586"/>
      </w:tabs>
      <w:spacing w:after="160" w:line="240" w:lineRule="auto"/>
      <w:ind w:left="357" w:hanging="357"/>
    </w:pPr>
    <w:rPr>
      <w:rFonts w:ascii="Cambria" w:eastAsia="Cambria" w:hAnsi="Cambria"/>
      <w:spacing w:val="-2"/>
    </w:rPr>
  </w:style>
  <w:style w:type="character" w:customStyle="1" w:styleId="CMMLevel1Char">
    <w:name w:val="CMM Level1 Char"/>
    <w:basedOn w:val="DefaultParagraphFont"/>
    <w:link w:val="CMMLevel1"/>
    <w:uiPriority w:val="99"/>
    <w:rPr>
      <w:rFonts w:ascii="Cambria" w:eastAsia="Cambria" w:hAnsi="Cambria"/>
      <w:spacing w:val="-2"/>
    </w:rPr>
  </w:style>
  <w:style w:type="paragraph" w:styleId="Quote">
    <w:name w:val="Quote"/>
    <w:basedOn w:val="Normal"/>
    <w:next w:val="Normal"/>
    <w:link w:val="QuoteChar"/>
    <w:uiPriority w:val="29"/>
    <w:qFormat/>
    <w:pPr>
      <w:spacing w:before="0" w:after="0"/>
      <w:jc w:val="left"/>
    </w:pPr>
    <w:rPr>
      <w:rFonts w:ascii="Calibri" w:eastAsia="Times New Roman" w:hAnsi="Calibri"/>
      <w:i/>
      <w:iCs/>
      <w:color w:val="000000" w:themeColor="text1"/>
      <w:sz w:val="22"/>
      <w:szCs w:val="24"/>
    </w:rPr>
  </w:style>
  <w:style w:type="character" w:customStyle="1" w:styleId="QuoteChar">
    <w:name w:val="Quote Char"/>
    <w:basedOn w:val="DefaultParagraphFont"/>
    <w:link w:val="Quote"/>
    <w:uiPriority w:val="29"/>
    <w:rPr>
      <w:rFonts w:ascii="Calibri" w:eastAsia="Times New Roman" w:hAnsi="Calibri" w:cs="Times New Roman"/>
      <w:i/>
      <w:iCs/>
      <w:color w:val="000000" w:themeColor="text1"/>
      <w:szCs w:val="24"/>
      <w:lang w:val="en-GB"/>
    </w:rPr>
  </w:style>
  <w:style w:type="paragraph" w:customStyle="1" w:styleId="hidden">
    <w:name w:val="hidden"/>
    <w:basedOn w:val="Normal"/>
    <w:uiPriority w:val="99"/>
    <w:pPr>
      <w:spacing w:before="0" w:after="150"/>
      <w:jc w:val="left"/>
    </w:pPr>
    <w:rPr>
      <w:rFonts w:eastAsia="Times New Roman"/>
      <w:vanish/>
      <w:szCs w:val="24"/>
      <w:lang w:eastAsia="en-GB"/>
    </w:rPr>
  </w:style>
  <w:style w:type="character" w:customStyle="1" w:styleId="nbborderedChar">
    <w:name w:val="nb bordered Char"/>
    <w:basedOn w:val="TechnicalBlockChar"/>
    <w:link w:val="nbbordered"/>
    <w:locked/>
    <w:rPr>
      <w:rFonts w:ascii="Times New Roman" w:eastAsia="Times New Roman" w:hAnsi="Times New Roman" w:cs="Times New Roman"/>
      <w:b/>
      <w:sz w:val="24"/>
      <w:szCs w:val="24"/>
      <w:lang w:val="en-GB"/>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szCs w:val="24"/>
    </w:rPr>
  </w:style>
  <w:style w:type="paragraph" w:customStyle="1" w:styleId="TableParagraph">
    <w:name w:val="Table Paragraph"/>
    <w:basedOn w:val="Normal"/>
    <w:uiPriority w:val="1"/>
    <w:qFormat/>
    <w:pPr>
      <w:widowControl w:val="0"/>
      <w:autoSpaceDE w:val="0"/>
      <w:autoSpaceDN w:val="0"/>
      <w:spacing w:before="0" w:after="0"/>
      <w:jc w:val="left"/>
    </w:pPr>
    <w:rPr>
      <w:rFonts w:eastAsia="Times New Roman"/>
      <w:sz w:val="22"/>
      <w:szCs w:val="24"/>
      <w:lang w:eastAsia="en-GB" w:bidi="en-GB"/>
    </w:rPr>
  </w:style>
  <w:style w:type="paragraph" w:customStyle="1" w:styleId="Tiret00">
    <w:name w:val="Tiret 00"/>
    <w:basedOn w:val="Normal"/>
    <w:autoRedefine/>
    <w:uiPriority w:val="99"/>
    <w:qFormat/>
    <w:pPr>
      <w:numPr>
        <w:numId w:val="36"/>
      </w:numPr>
      <w:spacing w:line="360" w:lineRule="auto"/>
      <w:jc w:val="left"/>
      <w:outlineLvl w:val="0"/>
    </w:pPr>
    <w:rPr>
      <w:rFonts w:eastAsia="Times New Roman"/>
      <w:szCs w:val="24"/>
    </w:rPr>
  </w:style>
  <w:style w:type="character" w:styleId="BookTitle">
    <w:name w:val="Book Title"/>
    <w:basedOn w:val="DefaultParagraphFont"/>
    <w:uiPriority w:val="33"/>
    <w:qFormat/>
    <w:rPr>
      <w:b/>
      <w:bCs/>
      <w:smallCaps/>
      <w:spacing w:val="5"/>
    </w:rPr>
  </w:style>
  <w:style w:type="character" w:customStyle="1" w:styleId="HeaderChar1">
    <w:name w:val="Header Char1"/>
    <w:basedOn w:val="DefaultParagraphFont"/>
    <w:uiPriority w:val="99"/>
    <w:semiHidden/>
    <w:locked/>
    <w:rPr>
      <w:rFonts w:ascii="Times New Roman" w:eastAsia="Times New Roman" w:hAnsi="Times New Roman" w:cs="Times New Roman"/>
      <w:sz w:val="24"/>
      <w:szCs w:val="24"/>
      <w:lang w:val="en-GB"/>
    </w:rPr>
  </w:style>
  <w:style w:type="character" w:customStyle="1" w:styleId="FooterChar1">
    <w:name w:val="Footer Char1"/>
    <w:basedOn w:val="DefaultParagraphFont"/>
    <w:uiPriority w:val="99"/>
    <w:semiHidden/>
    <w:locked/>
    <w:rPr>
      <w:rFonts w:ascii="Times New Roman" w:eastAsia="Times New Roman" w:hAnsi="Times New Roman" w:cs="Times New Roman"/>
      <w:sz w:val="24"/>
      <w:szCs w:val="24"/>
      <w:lang w:val="en-GB"/>
    </w:rPr>
  </w:style>
  <w:style w:type="character" w:customStyle="1" w:styleId="FootnoteTextChar1">
    <w:name w:val="Footnote Text Char1"/>
    <w:basedOn w:val="DefaultParagraphFont"/>
    <w:uiPriority w:val="99"/>
    <w:semiHidden/>
    <w:locked/>
    <w:rPr>
      <w:rFonts w:ascii="Times New Roman" w:eastAsia="Times New Roman" w:hAnsi="Times New Roman" w:cs="Times New Roman"/>
      <w:sz w:val="24"/>
      <w:szCs w:val="20"/>
      <w:lang w:val="en-GB"/>
    </w:rPr>
  </w:style>
  <w:style w:type="table" w:customStyle="1" w:styleId="TableGrid0">
    <w:name w:val="TableGrid"/>
    <w:pPr>
      <w:spacing w:after="0" w:line="240" w:lineRule="auto"/>
    </w:pPr>
    <w:rPr>
      <w:rFonts w:ascii="Times New Roman" w:eastAsiaTheme="minorEastAsia" w:hAnsi="Times New Roman" w:cs="Times New Roman"/>
      <w:sz w:val="20"/>
      <w:szCs w:val="20"/>
      <w:lang w:val="de-DE" w:eastAsia="de-DE"/>
    </w:rPr>
    <w:tblPr>
      <w:tblCellMar>
        <w:top w:w="0" w:type="dxa"/>
        <w:left w:w="0" w:type="dxa"/>
        <w:bottom w:w="0" w:type="dxa"/>
        <w:right w:w="0" w:type="dxa"/>
      </w:tblCellMar>
    </w:tblPr>
  </w:style>
  <w:style w:type="paragraph" w:customStyle="1" w:styleId="Numpar">
    <w:name w:val="Numpar"/>
    <w:basedOn w:val="ManualNumPar1"/>
    <w:uiPriority w:val="99"/>
    <w:pPr>
      <w:outlineLvl w:val="0"/>
    </w:pPr>
    <w:rPr>
      <w:rFonts w:eastAsia="Times New Roman"/>
      <w:szCs w:val="24"/>
    </w:rPr>
  </w:style>
  <w:style w:type="character" w:styleId="Emphasis">
    <w:name w:val="Emphasis"/>
    <w:basedOn w:val="DefaultParagraphFont"/>
    <w:uiPriority w:val="20"/>
    <w:qFormat/>
    <w:rPr>
      <w:i/>
      <w:iCs/>
    </w:rPr>
  </w:style>
  <w:style w:type="paragraph" w:customStyle="1" w:styleId="norm">
    <w:name w:val="norm"/>
    <w:basedOn w:val="Normal"/>
    <w:pPr>
      <w:spacing w:before="100" w:beforeAutospacing="1" w:after="100" w:afterAutospacing="1"/>
      <w:jc w:val="left"/>
    </w:pPr>
    <w:rPr>
      <w:rFonts w:eastAsia="Times New Roman"/>
      <w:szCs w:val="24"/>
      <w:lang w:val="fr-BE" w:eastAsia="fr-BE"/>
    </w:rPr>
  </w:style>
  <w:style w:type="paragraph" w:customStyle="1" w:styleId="tbl-norm">
    <w:name w:val="tbl-norm"/>
    <w:basedOn w:val="Normal"/>
    <w:pPr>
      <w:spacing w:before="100" w:beforeAutospacing="1" w:after="100" w:afterAutospacing="1"/>
      <w:jc w:val="left"/>
    </w:pPr>
    <w:rPr>
      <w:rFonts w:eastAsia="Times New Roman"/>
      <w:szCs w:val="24"/>
      <w:lang w:val="fr-BE" w:eastAsia="fr-BE"/>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7"/>
      </w:numPr>
    </w:pPr>
  </w:style>
  <w:style w:type="paragraph" w:customStyle="1" w:styleId="Tiret1">
    <w:name w:val="Tiret 1"/>
    <w:basedOn w:val="Point1"/>
    <w:pPr>
      <w:numPr>
        <w:numId w:val="38"/>
      </w:numPr>
    </w:pPr>
  </w:style>
  <w:style w:type="paragraph" w:customStyle="1" w:styleId="Tiret2">
    <w:name w:val="Tiret 2"/>
    <w:basedOn w:val="Point2"/>
    <w:pPr>
      <w:numPr>
        <w:numId w:val="39"/>
      </w:numPr>
    </w:pPr>
  </w:style>
  <w:style w:type="paragraph" w:customStyle="1" w:styleId="Tiret3">
    <w:name w:val="Tiret 3"/>
    <w:basedOn w:val="Point3"/>
    <w:pPr>
      <w:numPr>
        <w:numId w:val="40"/>
      </w:numPr>
    </w:pPr>
  </w:style>
  <w:style w:type="paragraph" w:customStyle="1" w:styleId="Tiret4">
    <w:name w:val="Tiret 4"/>
    <w:basedOn w:val="Point4"/>
    <w:pPr>
      <w:numPr>
        <w:numId w:val="41"/>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2"/>
      </w:numPr>
    </w:pPr>
  </w:style>
  <w:style w:type="paragraph" w:customStyle="1" w:styleId="NumPar2">
    <w:name w:val="NumPar 2"/>
    <w:basedOn w:val="Normal"/>
    <w:next w:val="Text1"/>
    <w:pPr>
      <w:numPr>
        <w:ilvl w:val="1"/>
        <w:numId w:val="42"/>
      </w:numPr>
    </w:pPr>
  </w:style>
  <w:style w:type="paragraph" w:customStyle="1" w:styleId="NumPar3">
    <w:name w:val="NumPar 3"/>
    <w:basedOn w:val="Normal"/>
    <w:next w:val="Text1"/>
    <w:pPr>
      <w:numPr>
        <w:ilvl w:val="2"/>
        <w:numId w:val="42"/>
      </w:numPr>
    </w:pPr>
  </w:style>
  <w:style w:type="paragraph" w:customStyle="1" w:styleId="NumPar4">
    <w:name w:val="NumPar 4"/>
    <w:basedOn w:val="Normal"/>
    <w:next w:val="Text1"/>
    <w:pPr>
      <w:numPr>
        <w:ilvl w:val="3"/>
        <w:numId w:val="42"/>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4"/>
      </w:numPr>
    </w:pPr>
  </w:style>
  <w:style w:type="paragraph" w:customStyle="1" w:styleId="Point1number">
    <w:name w:val="Point 1 (number)"/>
    <w:basedOn w:val="Normal"/>
    <w:pPr>
      <w:numPr>
        <w:ilvl w:val="2"/>
        <w:numId w:val="44"/>
      </w:numPr>
    </w:pPr>
  </w:style>
  <w:style w:type="paragraph" w:customStyle="1" w:styleId="Point2number">
    <w:name w:val="Point 2 (number)"/>
    <w:basedOn w:val="Normal"/>
    <w:pPr>
      <w:numPr>
        <w:ilvl w:val="4"/>
        <w:numId w:val="44"/>
      </w:numPr>
    </w:pPr>
  </w:style>
  <w:style w:type="paragraph" w:customStyle="1" w:styleId="Point3number">
    <w:name w:val="Point 3 (number)"/>
    <w:basedOn w:val="Normal"/>
    <w:pPr>
      <w:numPr>
        <w:ilvl w:val="6"/>
        <w:numId w:val="44"/>
      </w:numPr>
    </w:pPr>
  </w:style>
  <w:style w:type="paragraph" w:customStyle="1" w:styleId="Point0letter">
    <w:name w:val="Point 0 (letter)"/>
    <w:basedOn w:val="Normal"/>
    <w:pPr>
      <w:numPr>
        <w:ilvl w:val="1"/>
        <w:numId w:val="44"/>
      </w:numPr>
    </w:pPr>
  </w:style>
  <w:style w:type="paragraph" w:customStyle="1" w:styleId="Point1letter">
    <w:name w:val="Point 1 (letter)"/>
    <w:basedOn w:val="Normal"/>
    <w:pPr>
      <w:numPr>
        <w:ilvl w:val="3"/>
        <w:numId w:val="44"/>
      </w:numPr>
    </w:pPr>
  </w:style>
  <w:style w:type="paragraph" w:customStyle="1" w:styleId="Point2letter">
    <w:name w:val="Point 2 (letter)"/>
    <w:basedOn w:val="Normal"/>
    <w:pPr>
      <w:numPr>
        <w:ilvl w:val="5"/>
        <w:numId w:val="44"/>
      </w:numPr>
    </w:pPr>
  </w:style>
  <w:style w:type="paragraph" w:customStyle="1" w:styleId="Point3letter">
    <w:name w:val="Point 3 (letter)"/>
    <w:basedOn w:val="Normal"/>
    <w:pPr>
      <w:numPr>
        <w:ilvl w:val="7"/>
        <w:numId w:val="44"/>
      </w:numPr>
    </w:pPr>
  </w:style>
  <w:style w:type="paragraph" w:customStyle="1" w:styleId="Point4letter">
    <w:name w:val="Point 4 (letter)"/>
    <w:basedOn w:val="Normal"/>
    <w:pPr>
      <w:numPr>
        <w:ilvl w:val="8"/>
        <w:numId w:val="44"/>
      </w:numPr>
    </w:pPr>
  </w:style>
  <w:style w:type="paragraph" w:customStyle="1" w:styleId="Bullet0">
    <w:name w:val="Bullet 0"/>
    <w:basedOn w:val="Normal"/>
    <w:pPr>
      <w:numPr>
        <w:numId w:val="45"/>
      </w:numPr>
    </w:pPr>
  </w:style>
  <w:style w:type="paragraph" w:customStyle="1" w:styleId="Bullet1">
    <w:name w:val="Bullet 1"/>
    <w:basedOn w:val="Normal"/>
    <w:pPr>
      <w:numPr>
        <w:numId w:val="46"/>
      </w:numPr>
    </w:pPr>
  </w:style>
  <w:style w:type="paragraph" w:customStyle="1" w:styleId="Bullet2">
    <w:name w:val="Bullet 2"/>
    <w:basedOn w:val="Normal"/>
    <w:pPr>
      <w:numPr>
        <w:numId w:val="47"/>
      </w:numPr>
    </w:pPr>
  </w:style>
  <w:style w:type="paragraph" w:customStyle="1" w:styleId="Bullet3">
    <w:name w:val="Bullet 3"/>
    <w:basedOn w:val="Normal"/>
    <w:pPr>
      <w:numPr>
        <w:numId w:val="48"/>
      </w:numPr>
    </w:pPr>
  </w:style>
  <w:style w:type="paragraph" w:customStyle="1" w:styleId="Bullet4">
    <w:name w:val="Bullet 4"/>
    <w:basedOn w:val="Normal"/>
    <w:pPr>
      <w:numPr>
        <w:numId w:val="49"/>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0"/>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709926">
      <w:bodyDiv w:val="1"/>
      <w:marLeft w:val="0"/>
      <w:marRight w:val="0"/>
      <w:marTop w:val="0"/>
      <w:marBottom w:val="0"/>
      <w:divBdr>
        <w:top w:val="none" w:sz="0" w:space="0" w:color="auto"/>
        <w:left w:val="none" w:sz="0" w:space="0" w:color="auto"/>
        <w:bottom w:val="none" w:sz="0" w:space="0" w:color="auto"/>
        <w:right w:val="none" w:sz="0" w:space="0" w:color="auto"/>
      </w:divBdr>
    </w:div>
    <w:div w:id="264534699">
      <w:bodyDiv w:val="1"/>
      <w:marLeft w:val="0"/>
      <w:marRight w:val="0"/>
      <w:marTop w:val="0"/>
      <w:marBottom w:val="0"/>
      <w:divBdr>
        <w:top w:val="none" w:sz="0" w:space="0" w:color="auto"/>
        <w:left w:val="none" w:sz="0" w:space="0" w:color="auto"/>
        <w:bottom w:val="none" w:sz="0" w:space="0" w:color="auto"/>
        <w:right w:val="none" w:sz="0" w:space="0" w:color="auto"/>
      </w:divBdr>
    </w:div>
    <w:div w:id="452215208">
      <w:bodyDiv w:val="1"/>
      <w:marLeft w:val="0"/>
      <w:marRight w:val="0"/>
      <w:marTop w:val="0"/>
      <w:marBottom w:val="0"/>
      <w:divBdr>
        <w:top w:val="none" w:sz="0" w:space="0" w:color="auto"/>
        <w:left w:val="none" w:sz="0" w:space="0" w:color="auto"/>
        <w:bottom w:val="none" w:sz="0" w:space="0" w:color="auto"/>
        <w:right w:val="none" w:sz="0" w:space="0" w:color="auto"/>
      </w:divBdr>
    </w:div>
    <w:div w:id="521280103">
      <w:bodyDiv w:val="1"/>
      <w:marLeft w:val="0"/>
      <w:marRight w:val="0"/>
      <w:marTop w:val="0"/>
      <w:marBottom w:val="0"/>
      <w:divBdr>
        <w:top w:val="none" w:sz="0" w:space="0" w:color="auto"/>
        <w:left w:val="none" w:sz="0" w:space="0" w:color="auto"/>
        <w:bottom w:val="none" w:sz="0" w:space="0" w:color="auto"/>
        <w:right w:val="none" w:sz="0" w:space="0" w:color="auto"/>
      </w:divBdr>
    </w:div>
    <w:div w:id="560554067">
      <w:bodyDiv w:val="1"/>
      <w:marLeft w:val="0"/>
      <w:marRight w:val="0"/>
      <w:marTop w:val="0"/>
      <w:marBottom w:val="0"/>
      <w:divBdr>
        <w:top w:val="none" w:sz="0" w:space="0" w:color="auto"/>
        <w:left w:val="none" w:sz="0" w:space="0" w:color="auto"/>
        <w:bottom w:val="none" w:sz="0" w:space="0" w:color="auto"/>
        <w:right w:val="none" w:sz="0" w:space="0" w:color="auto"/>
      </w:divBdr>
    </w:div>
    <w:div w:id="625426111">
      <w:bodyDiv w:val="1"/>
      <w:marLeft w:val="0"/>
      <w:marRight w:val="0"/>
      <w:marTop w:val="0"/>
      <w:marBottom w:val="0"/>
      <w:divBdr>
        <w:top w:val="none" w:sz="0" w:space="0" w:color="auto"/>
        <w:left w:val="none" w:sz="0" w:space="0" w:color="auto"/>
        <w:bottom w:val="none" w:sz="0" w:space="0" w:color="auto"/>
        <w:right w:val="none" w:sz="0" w:space="0" w:color="auto"/>
      </w:divBdr>
    </w:div>
    <w:div w:id="934050381">
      <w:bodyDiv w:val="1"/>
      <w:marLeft w:val="0"/>
      <w:marRight w:val="0"/>
      <w:marTop w:val="0"/>
      <w:marBottom w:val="0"/>
      <w:divBdr>
        <w:top w:val="none" w:sz="0" w:space="0" w:color="auto"/>
        <w:left w:val="none" w:sz="0" w:space="0" w:color="auto"/>
        <w:bottom w:val="none" w:sz="0" w:space="0" w:color="auto"/>
        <w:right w:val="none" w:sz="0" w:space="0" w:color="auto"/>
      </w:divBdr>
    </w:div>
    <w:div w:id="1052778395">
      <w:bodyDiv w:val="1"/>
      <w:marLeft w:val="0"/>
      <w:marRight w:val="0"/>
      <w:marTop w:val="0"/>
      <w:marBottom w:val="0"/>
      <w:divBdr>
        <w:top w:val="none" w:sz="0" w:space="0" w:color="auto"/>
        <w:left w:val="none" w:sz="0" w:space="0" w:color="auto"/>
        <w:bottom w:val="none" w:sz="0" w:space="0" w:color="auto"/>
        <w:right w:val="none" w:sz="0" w:space="0" w:color="auto"/>
      </w:divBdr>
    </w:div>
    <w:div w:id="1113355678">
      <w:bodyDiv w:val="1"/>
      <w:marLeft w:val="0"/>
      <w:marRight w:val="0"/>
      <w:marTop w:val="0"/>
      <w:marBottom w:val="0"/>
      <w:divBdr>
        <w:top w:val="none" w:sz="0" w:space="0" w:color="auto"/>
        <w:left w:val="none" w:sz="0" w:space="0" w:color="auto"/>
        <w:bottom w:val="none" w:sz="0" w:space="0" w:color="auto"/>
        <w:right w:val="none" w:sz="0" w:space="0" w:color="auto"/>
      </w:divBdr>
    </w:div>
    <w:div w:id="1125076257">
      <w:bodyDiv w:val="1"/>
      <w:marLeft w:val="0"/>
      <w:marRight w:val="0"/>
      <w:marTop w:val="0"/>
      <w:marBottom w:val="0"/>
      <w:divBdr>
        <w:top w:val="none" w:sz="0" w:space="0" w:color="auto"/>
        <w:left w:val="none" w:sz="0" w:space="0" w:color="auto"/>
        <w:bottom w:val="none" w:sz="0" w:space="0" w:color="auto"/>
        <w:right w:val="none" w:sz="0" w:space="0" w:color="auto"/>
      </w:divBdr>
    </w:div>
    <w:div w:id="1196499002">
      <w:bodyDiv w:val="1"/>
      <w:marLeft w:val="0"/>
      <w:marRight w:val="0"/>
      <w:marTop w:val="0"/>
      <w:marBottom w:val="0"/>
      <w:divBdr>
        <w:top w:val="none" w:sz="0" w:space="0" w:color="auto"/>
        <w:left w:val="none" w:sz="0" w:space="0" w:color="auto"/>
        <w:bottom w:val="none" w:sz="0" w:space="0" w:color="auto"/>
        <w:right w:val="none" w:sz="0" w:space="0" w:color="auto"/>
      </w:divBdr>
    </w:div>
    <w:div w:id="1218052149">
      <w:bodyDiv w:val="1"/>
      <w:marLeft w:val="0"/>
      <w:marRight w:val="0"/>
      <w:marTop w:val="0"/>
      <w:marBottom w:val="0"/>
      <w:divBdr>
        <w:top w:val="none" w:sz="0" w:space="0" w:color="auto"/>
        <w:left w:val="none" w:sz="0" w:space="0" w:color="auto"/>
        <w:bottom w:val="none" w:sz="0" w:space="0" w:color="auto"/>
        <w:right w:val="none" w:sz="0" w:space="0" w:color="auto"/>
      </w:divBdr>
    </w:div>
    <w:div w:id="1365790157">
      <w:bodyDiv w:val="1"/>
      <w:marLeft w:val="0"/>
      <w:marRight w:val="0"/>
      <w:marTop w:val="0"/>
      <w:marBottom w:val="0"/>
      <w:divBdr>
        <w:top w:val="none" w:sz="0" w:space="0" w:color="auto"/>
        <w:left w:val="none" w:sz="0" w:space="0" w:color="auto"/>
        <w:bottom w:val="none" w:sz="0" w:space="0" w:color="auto"/>
        <w:right w:val="none" w:sz="0" w:space="0" w:color="auto"/>
      </w:divBdr>
    </w:div>
    <w:div w:id="1703050843">
      <w:bodyDiv w:val="1"/>
      <w:marLeft w:val="0"/>
      <w:marRight w:val="0"/>
      <w:marTop w:val="0"/>
      <w:marBottom w:val="0"/>
      <w:divBdr>
        <w:top w:val="none" w:sz="0" w:space="0" w:color="auto"/>
        <w:left w:val="none" w:sz="0" w:space="0" w:color="auto"/>
        <w:bottom w:val="none" w:sz="0" w:space="0" w:color="auto"/>
        <w:right w:val="none" w:sz="0" w:space="0" w:color="auto"/>
      </w:divBdr>
    </w:div>
    <w:div w:id="1880170039">
      <w:bodyDiv w:val="1"/>
      <w:marLeft w:val="0"/>
      <w:marRight w:val="0"/>
      <w:marTop w:val="0"/>
      <w:marBottom w:val="0"/>
      <w:divBdr>
        <w:top w:val="none" w:sz="0" w:space="0" w:color="auto"/>
        <w:left w:val="none" w:sz="0" w:space="0" w:color="auto"/>
        <w:bottom w:val="none" w:sz="0" w:space="0" w:color="auto"/>
        <w:right w:val="none" w:sz="0" w:space="0" w:color="auto"/>
      </w:divBdr>
    </w:div>
    <w:div w:id="2050446745">
      <w:bodyDiv w:val="1"/>
      <w:marLeft w:val="0"/>
      <w:marRight w:val="0"/>
      <w:marTop w:val="0"/>
      <w:marBottom w:val="0"/>
      <w:divBdr>
        <w:top w:val="none" w:sz="0" w:space="0" w:color="auto"/>
        <w:left w:val="none" w:sz="0" w:space="0" w:color="auto"/>
        <w:bottom w:val="none" w:sz="0" w:space="0" w:color="auto"/>
        <w:right w:val="none" w:sz="0" w:space="0" w:color="auto"/>
      </w:divBdr>
    </w:div>
    <w:div w:id="2115439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A3E270-ADA2-4D80-B7B8-C412BE85D5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ANNEX.dotm</Template>
  <TotalTime>2</TotalTime>
  <Pages>113</Pages>
  <Words>21529</Words>
  <Characters>105066</Characters>
  <Application>Microsoft Office Word</Application>
  <DocSecurity>0</DocSecurity>
  <Lines>21013</Lines>
  <Paragraphs>9042</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117553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KISIELIAUSKAS Mindaugas (HR)</dc:creator>
  <cp:lastModifiedBy>WES PDFC Administrator</cp:lastModifiedBy>
  <cp:revision>9</cp:revision>
  <cp:lastPrinted>2017-10-20T14:02:00Z</cp:lastPrinted>
  <dcterms:created xsi:type="dcterms:W3CDTF">2020-10-14T08:51:00Z</dcterms:created>
  <dcterms:modified xsi:type="dcterms:W3CDTF">2020-10-20T12:18:00Z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vt:lpwstr>
  </property>
  <property fmtid="{D5CDD505-2E9C-101B-9397-08002B2CF9AE}" pid="3" name="Version">
    <vt:lpwstr>5.84.2.0</vt:lpwstr>
  </property>
  <property fmtid="{D5CDD505-2E9C-101B-9397-08002B2CF9AE}" pid="4" name="Last edited using">
    <vt:lpwstr>LW 7.0, Build 20190717</vt:lpwstr>
  </property>
  <property fmtid="{D5CDD505-2E9C-101B-9397-08002B2CF9AE}" pid="5" name="Created using">
    <vt:lpwstr>LW 5.8.4, Build 20150407</vt:lpwstr>
  </property>
  <property fmtid="{D5CDD505-2E9C-101B-9397-08002B2CF9AE}" pid="6" name="First annex">
    <vt:lpwstr>1</vt:lpwstr>
  </property>
  <property fmtid="{D5CDD505-2E9C-101B-9397-08002B2CF9AE}" pid="7" name="Last annex">
    <vt:lpwstr>1</vt:lpwstr>
  </property>
  <property fmtid="{D5CDD505-2E9C-101B-9397-08002B2CF9AE}" pid="8" name="Part">
    <vt:lpwstr>1</vt:lpwstr>
  </property>
  <property fmtid="{D5CDD505-2E9C-101B-9397-08002B2CF9AE}" pid="9" name="Total parts">
    <vt:lpwstr>1</vt:lpwstr>
  </property>
  <property fmtid="{D5CDD505-2E9C-101B-9397-08002B2CF9AE}" pid="10" name="LWTemplateID">
    <vt:lpwstr>SG-017</vt:lpwstr>
  </property>
  <property fmtid="{D5CDD505-2E9C-101B-9397-08002B2CF9AE}" pid="11" name="Level of sensitivity">
    <vt:lpwstr>Standard treatment</vt:lpwstr>
  </property>
  <property fmtid="{D5CDD505-2E9C-101B-9397-08002B2CF9AE}" pid="12" name="Unique annex">
    <vt:lpwstr>0</vt:lpwstr>
  </property>
  <property fmtid="{D5CDD505-2E9C-101B-9397-08002B2CF9AE}" pid="13" name="DQCStatus">
    <vt:lpwstr>Green (DQC version 03)</vt:lpwstr>
  </property>
</Properties>
</file>