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87" w:rsidRPr="007622D0" w:rsidRDefault="00627570" w:rsidP="0062757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16E03BD-DCD3-440F-A934-F1F601ED19A3" style="width:455.25pt;height:369.75pt">
            <v:imagedata r:id="rId11" o:title=""/>
          </v:shape>
        </w:pict>
      </w:r>
    </w:p>
    <w:p w:rsidR="00D72587" w:rsidRPr="007622D0" w:rsidRDefault="00D72587" w:rsidP="00D72587">
      <w:pPr>
        <w:rPr>
          <w:noProof/>
        </w:rPr>
        <w:sectPr w:rsidR="00D72587" w:rsidRPr="007622D0" w:rsidSect="00627570">
          <w:footerReference w:type="even" r:id="rId12"/>
          <w:footerReference w:type="default" r:id="rId13"/>
          <w:pgSz w:w="11907" w:h="16839"/>
          <w:pgMar w:top="1134" w:right="1417" w:bottom="1134" w:left="1417" w:header="709" w:footer="709" w:gutter="0"/>
          <w:pgNumType w:start="0"/>
          <w:cols w:space="720"/>
          <w:docGrid w:linePitch="360"/>
        </w:sectPr>
      </w:pPr>
    </w:p>
    <w:p w:rsidR="00D72587" w:rsidRPr="007622D0" w:rsidRDefault="00D72587">
      <w:pPr>
        <w:pStyle w:val="Exposdesmotifstitre"/>
        <w:rPr>
          <w:noProof/>
        </w:rPr>
      </w:pPr>
      <w:bookmarkStart w:id="0" w:name="_GoBack"/>
      <w:bookmarkEnd w:id="0"/>
      <w:r w:rsidRPr="007622D0">
        <w:rPr>
          <w:noProof/>
        </w:rPr>
        <w:lastRenderedPageBreak/>
        <w:t>EXPOSÉ DES MOTIFS</w:t>
      </w:r>
    </w:p>
    <w:p w:rsidR="00D72587" w:rsidRPr="007622D0" w:rsidRDefault="00F950FE" w:rsidP="00F950FE">
      <w:pPr>
        <w:pStyle w:val="ManualHeading1"/>
        <w:rPr>
          <w:noProof/>
        </w:rPr>
      </w:pPr>
      <w:r w:rsidRPr="00F950FE">
        <w:rPr>
          <w:noProof/>
        </w:rPr>
        <w:t>1.</w:t>
      </w:r>
      <w:r w:rsidRPr="00F950FE">
        <w:rPr>
          <w:noProof/>
        </w:rPr>
        <w:tab/>
      </w:r>
      <w:r w:rsidR="00D72587" w:rsidRPr="007622D0">
        <w:rPr>
          <w:noProof/>
        </w:rPr>
        <w:t>CONTEXTE DE LA PROPOSITION</w:t>
      </w:r>
    </w:p>
    <w:p w:rsidR="00D72587" w:rsidRPr="007622D0" w:rsidRDefault="00D72587" w:rsidP="008B4786">
      <w:pPr>
        <w:pStyle w:val="Bullet0"/>
        <w:numPr>
          <w:ilvl w:val="0"/>
          <w:numId w:val="11"/>
        </w:numPr>
        <w:rPr>
          <w:b/>
          <w:bCs/>
          <w:noProof/>
        </w:rPr>
      </w:pPr>
      <w:r w:rsidRPr="007622D0">
        <w:rPr>
          <w:b/>
          <w:noProof/>
        </w:rPr>
        <w:t>Justification et objectifs de la proposition</w:t>
      </w:r>
    </w:p>
    <w:p w:rsidR="00B43A22" w:rsidRPr="007622D0" w:rsidRDefault="00B43A22" w:rsidP="00B43A22">
      <w:pPr>
        <w:rPr>
          <w:noProof/>
        </w:rPr>
      </w:pPr>
      <w:r w:rsidRPr="007622D0">
        <w:rPr>
          <w:noProof/>
        </w:rPr>
        <w:t>Les récentes catastrophes naturelles qui ont touché l’Europe centrale et orientale ainsi que l’Europe méridionale ont eu un effet dévastateur sur les populations vivant et travaillant dans ces régions. Un important potentiel de production agricole et forestière a été détruit, entraînant d’énormes pertes de revenus. Afin de remédier rapidement à la vulnérabilité du système alimentaire européen et des communautés rurales résultant de ces catastrophes, l’Europe doit être en mesure de déployer rapidement un dispositif de soutien efficace grâce aux programmes de développement rural en plus des ressources disponibles au titre d’autres fonds européens.</w:t>
      </w:r>
    </w:p>
    <w:p w:rsidR="65AB4D0D" w:rsidRPr="007622D0" w:rsidRDefault="007706E7" w:rsidP="6A3454D7">
      <w:pPr>
        <w:rPr>
          <w:noProof/>
        </w:rPr>
      </w:pPr>
      <w:r w:rsidRPr="007622D0">
        <w:rPr>
          <w:noProof/>
        </w:rPr>
        <w:t xml:space="preserve">La politique agricole commune (PAC) soutient déjà les investissements dans la reconstitution du potentiel agricole et forestier et l’aide au revenu. Toutefois, ces mesures de soutien peuvent se révéler sous-financées face aux besoins des agriculteurs et des exploitants forestiers dans les pays touchés par des catastrophes naturelles. </w:t>
      </w:r>
    </w:p>
    <w:p w:rsidR="007706E7" w:rsidRPr="007622D0" w:rsidRDefault="43968F53" w:rsidP="5BA2C678">
      <w:pPr>
        <w:rPr>
          <w:noProof/>
        </w:rPr>
      </w:pPr>
      <w:r w:rsidRPr="007622D0">
        <w:rPr>
          <w:noProof/>
        </w:rPr>
        <w:t>Afin d’apporter une aide supplémentaire et des éléments de flexibilité supplémentaires aux États membres touchés par des catastrophes naturelles, la Commission propose une nouvelle mesure et une plus grande souplesse en ce qui concerne le seuil de non-régression, pour un renforcement budgétaire des investissements dans la reconstitution du potentiel agricole ainsi que pour le financement de la nouvelle mesure.</w:t>
      </w:r>
    </w:p>
    <w:p w:rsidR="2837AE30" w:rsidRPr="007622D0" w:rsidRDefault="2837AE30" w:rsidP="4D8ECF4D">
      <w:pPr>
        <w:rPr>
          <w:noProof/>
        </w:rPr>
      </w:pPr>
      <w:r w:rsidRPr="007622D0">
        <w:rPr>
          <w:noProof/>
        </w:rPr>
        <w:t>La nouvelle mesure, financée par le Fonds européen agricole pour le développement rural (Feader) et mise en œuvre dans le cadre de programmes de développement rural, permet aux États membres d’apporter un soutien de trésorerie ciblé aux agriculteurs, aux exploitants forestiers et aux PME exerçant des activités dans la transformation, la commercialisation ou le développement de produits agricoles ou forestiers, touchés par des catastrophes naturelles survenues à partir du 1</w:t>
      </w:r>
      <w:r w:rsidRPr="007622D0">
        <w:rPr>
          <w:noProof/>
          <w:vertAlign w:val="superscript"/>
        </w:rPr>
        <w:t>er</w:t>
      </w:r>
      <w:r w:rsidRPr="007622D0">
        <w:rPr>
          <w:noProof/>
        </w:rPr>
        <w:t xml:space="preserve"> janvier 2024. </w:t>
      </w:r>
    </w:p>
    <w:p w:rsidR="2837AE30" w:rsidRPr="007622D0" w:rsidRDefault="007706E7" w:rsidP="1C7075D9">
      <w:pPr>
        <w:rPr>
          <w:noProof/>
        </w:rPr>
      </w:pPr>
      <w:r w:rsidRPr="007622D0">
        <w:rPr>
          <w:noProof/>
        </w:rPr>
        <w:t xml:space="preserve">En s’attaquant directement et rapidement aux problèmes de trésorerie des entreprises touchées, le soutien apporté par la nouvelle mesure contribuera à la sécurité alimentaire et permettra de remédier d’emblée aux perturbations potentielles du marché résultant des catastrophes naturelles. Afin d’atteindre ces objectifs tout en prévoyant une administration raisonnablement simple permettant un déploiement rapide, le soutien prendra la forme d’un montant forfaitaire unique pour les agriculteurs, les exploitants forestiers et les PME. </w:t>
      </w:r>
    </w:p>
    <w:p w:rsidR="10ABE300" w:rsidRPr="007622D0" w:rsidRDefault="0EB9B764" w:rsidP="62AECE06">
      <w:pPr>
        <w:rPr>
          <w:noProof/>
        </w:rPr>
      </w:pPr>
      <w:r w:rsidRPr="007622D0">
        <w:rPr>
          <w:noProof/>
        </w:rPr>
        <w:t xml:space="preserve">En outre, les investissements dans la reconstitution du potentiel agricole devraient être renforcés en offrant davantage de souplesse budgétaire en ce qui concerne le seuil de non-régression dans l’utilisation des fonds du Feader. </w:t>
      </w:r>
    </w:p>
    <w:p w:rsidR="10ABE300" w:rsidRPr="007622D0" w:rsidRDefault="18E0D3CC" w:rsidP="7E3E0121">
      <w:pPr>
        <w:rPr>
          <w:noProof/>
        </w:rPr>
      </w:pPr>
      <w:r w:rsidRPr="007622D0">
        <w:rPr>
          <w:noProof/>
        </w:rPr>
        <w:t>Dans ce contexte, tout en prévoyant une souplesse budgétaire en ce qui concerne le seuil de non-régression, il importe de poursuivre et de renforcer les investissements et les actions prévus dans la prévention des catastrophes et la préparation à celles-ci, ainsi que l’adaptation au changement climatique afin d’atténuer les effets des catastrophes de plus en plus fréquentes qui y sont liées. Les efforts de reconstitution du potentiel de production et les paiements de liquidités devraient être mis en correspondance autant que possible avec la nécessité de poursuivre les investissements et les actions actuellement prévus dans la prévention des catastrophes et la préparation à celles-ci.</w:t>
      </w:r>
    </w:p>
    <w:p w:rsidR="007706E7" w:rsidRPr="007622D0" w:rsidRDefault="003C6A41" w:rsidP="3213E825">
      <w:pPr>
        <w:rPr>
          <w:noProof/>
        </w:rPr>
      </w:pPr>
      <w:r w:rsidRPr="007622D0">
        <w:rPr>
          <w:noProof/>
        </w:rPr>
        <w:t xml:space="preserve">De plus, afin de garantir l’utilisation la plus efficiente possible des ressources disponibles au titre des programmes de développement rural existants, les États membres seront tenus de prouver que l’aide est bien destinée aux plus touchés, selon des critères objectifs et non discriminatoires. Il convient également de fixer la part maximale de la contribution de l’Union à cette nouvelle mesure. </w:t>
      </w:r>
    </w:p>
    <w:p w:rsidR="007706E7" w:rsidRPr="007622D0" w:rsidRDefault="00EDE528" w:rsidP="00B43A22">
      <w:pPr>
        <w:rPr>
          <w:noProof/>
        </w:rPr>
      </w:pPr>
      <w:r w:rsidRPr="007622D0">
        <w:rPr>
          <w:noProof/>
        </w:rPr>
        <w:t>La procédure devrait prévoir que les États membres incluent la nouvelle mesure ou la réaffectation prévue des fonds dans les programmes de développement rural au moyen d’une modification des programmes. La présentation de la modification des programmes peut avoir lieu après l’entrée en vigueur de la présente proposition.</w:t>
      </w:r>
    </w:p>
    <w:p w:rsidR="00D72587" w:rsidRPr="007622D0" w:rsidRDefault="00D72587" w:rsidP="001A7BD4">
      <w:pPr>
        <w:pStyle w:val="Bullet0"/>
        <w:rPr>
          <w:b/>
          <w:bCs/>
          <w:noProof/>
        </w:rPr>
      </w:pPr>
      <w:r w:rsidRPr="007622D0">
        <w:rPr>
          <w:b/>
          <w:noProof/>
        </w:rPr>
        <w:t>Cohérence avec les dispositions existantes dans le domaine d'action</w:t>
      </w:r>
    </w:p>
    <w:p w:rsidR="007706E7" w:rsidRPr="007622D0" w:rsidRDefault="007706E7">
      <w:pPr>
        <w:pBdr>
          <w:top w:val="nil"/>
          <w:left w:val="nil"/>
          <w:bottom w:val="nil"/>
          <w:right w:val="nil"/>
          <w:between w:val="nil"/>
          <w:bar w:val="nil"/>
        </w:pBdr>
        <w:spacing w:before="0" w:after="240"/>
        <w:rPr>
          <w:rFonts w:eastAsia="Arial Unicode MS"/>
          <w:noProof/>
        </w:rPr>
      </w:pPr>
      <w:r w:rsidRPr="007622D0">
        <w:rPr>
          <w:noProof/>
        </w:rPr>
        <w:t xml:space="preserve">La proposition est compatible avec le cadre juridique général établi pour la politique agricole commune et les Fonds structurels et d’investissement européens (Fonds ESI) et se limite à une modification ciblée du règlement (UE) 2020/2220. Elle vient compléter l’ensemble des autres mesures visant à remédier à la situation actuelle qui ont été prises par l’Union, en particulier les mesures destinées à apporter des liquidités. </w:t>
      </w:r>
    </w:p>
    <w:p w:rsidR="00D72587" w:rsidRPr="007622D0" w:rsidRDefault="00D72587" w:rsidP="006828CB">
      <w:pPr>
        <w:pStyle w:val="Bullet0"/>
        <w:rPr>
          <w:b/>
          <w:bCs/>
          <w:noProof/>
        </w:rPr>
      </w:pPr>
      <w:r w:rsidRPr="007622D0">
        <w:rPr>
          <w:b/>
          <w:noProof/>
        </w:rPr>
        <w:t>Cohérence avec les autres politiques de l'Union</w:t>
      </w:r>
    </w:p>
    <w:p w:rsidR="00D72587" w:rsidRPr="007622D0" w:rsidRDefault="003C467E">
      <w:pPr>
        <w:pBdr>
          <w:top w:val="nil"/>
          <w:left w:val="nil"/>
          <w:bottom w:val="nil"/>
          <w:right w:val="nil"/>
          <w:between w:val="nil"/>
          <w:bar w:val="nil"/>
        </w:pBdr>
        <w:spacing w:before="0" w:after="240"/>
        <w:rPr>
          <w:noProof/>
        </w:rPr>
      </w:pPr>
      <w:r w:rsidRPr="007622D0">
        <w:rPr>
          <w:noProof/>
        </w:rPr>
        <w:t>La proposition se limite à des modifications ciblées du règlement (UE) 2020/2220 et assure la cohérence avec les autres politiques de l’Union.</w:t>
      </w:r>
    </w:p>
    <w:p w:rsidR="00D72587" w:rsidRPr="007622D0" w:rsidRDefault="00F950FE" w:rsidP="00F950FE">
      <w:pPr>
        <w:pStyle w:val="ManualHeading1"/>
        <w:rPr>
          <w:noProof/>
        </w:rPr>
      </w:pPr>
      <w:r w:rsidRPr="00F950FE">
        <w:rPr>
          <w:noProof/>
        </w:rPr>
        <w:t>2.</w:t>
      </w:r>
      <w:r w:rsidRPr="00F950FE">
        <w:rPr>
          <w:noProof/>
        </w:rPr>
        <w:tab/>
      </w:r>
      <w:r w:rsidR="00D72587" w:rsidRPr="007622D0">
        <w:rPr>
          <w:noProof/>
        </w:rPr>
        <w:t>BASE JURIDIQUE, SUBSIDIARITÉ ET PROPORTIONNALITÉ</w:t>
      </w:r>
    </w:p>
    <w:p w:rsidR="00D72587" w:rsidRPr="007622D0" w:rsidRDefault="00D72587" w:rsidP="006828CB">
      <w:pPr>
        <w:pStyle w:val="Bullet0"/>
        <w:rPr>
          <w:b/>
          <w:bCs/>
          <w:noProof/>
          <w:bdr w:val="nil"/>
        </w:rPr>
      </w:pPr>
      <w:r w:rsidRPr="007622D0">
        <w:rPr>
          <w:b/>
          <w:noProof/>
          <w:bdr w:val="nil"/>
        </w:rPr>
        <w:t>Base juridique</w:t>
      </w:r>
    </w:p>
    <w:p w:rsidR="003C467E" w:rsidRPr="007622D0" w:rsidRDefault="003C467E">
      <w:pPr>
        <w:pBdr>
          <w:top w:val="nil"/>
          <w:left w:val="nil"/>
          <w:bottom w:val="nil"/>
          <w:right w:val="nil"/>
          <w:between w:val="nil"/>
          <w:bar w:val="nil"/>
        </w:pBdr>
        <w:spacing w:before="0" w:after="240"/>
        <w:rPr>
          <w:noProof/>
        </w:rPr>
      </w:pPr>
      <w:r w:rsidRPr="007622D0">
        <w:rPr>
          <w:noProof/>
        </w:rPr>
        <w:t>La proposition repose sur l’article 43, paragraphe 2, du traité sur le fonctionnement de l’Union européenne.</w:t>
      </w:r>
    </w:p>
    <w:p w:rsidR="00D72587" w:rsidRPr="007622D0" w:rsidRDefault="00D72587" w:rsidP="006828CB">
      <w:pPr>
        <w:pStyle w:val="Bullet0"/>
        <w:rPr>
          <w:b/>
          <w:bCs/>
          <w:noProof/>
          <w:bdr w:val="nil"/>
        </w:rPr>
      </w:pPr>
      <w:r w:rsidRPr="007622D0">
        <w:rPr>
          <w:b/>
          <w:noProof/>
          <w:bdr w:val="nil"/>
        </w:rPr>
        <w:t xml:space="preserve">Subsidiarité (en cas de compétence non exclusive) </w:t>
      </w:r>
    </w:p>
    <w:p w:rsidR="00D72587" w:rsidRPr="007622D0" w:rsidRDefault="003C467E">
      <w:pPr>
        <w:pBdr>
          <w:top w:val="nil"/>
          <w:left w:val="nil"/>
          <w:bottom w:val="nil"/>
          <w:right w:val="nil"/>
          <w:between w:val="nil"/>
          <w:bar w:val="nil"/>
        </w:pBdr>
        <w:spacing w:before="0" w:after="240"/>
        <w:rPr>
          <w:rFonts w:eastAsia="Arial Unicode MS"/>
          <w:noProof/>
        </w:rPr>
      </w:pPr>
      <w:r w:rsidRPr="007622D0">
        <w:rPr>
          <w:noProof/>
        </w:rPr>
        <w:t>Le traité sur le fonctionnement de l’Union européenne dispose que la compétence dans le domaine de l’agriculture est partagée entre l’Union et les États membres, tout en instaurant une politique agricole commune poursuivant des objectifs communs et une mise en œuvre commune. La proposition vise à garantir les objectifs communs et la mise en œuvre commune d’une nouvelle mesure de développement rural.</w:t>
      </w:r>
    </w:p>
    <w:p w:rsidR="00D72587" w:rsidRPr="007622D0" w:rsidRDefault="00D72587" w:rsidP="006828CB">
      <w:pPr>
        <w:pStyle w:val="Bullet0"/>
        <w:rPr>
          <w:noProof/>
          <w:u w:color="000000"/>
          <w:bdr w:val="nil"/>
        </w:rPr>
      </w:pPr>
      <w:r w:rsidRPr="007622D0">
        <w:rPr>
          <w:b/>
          <w:noProof/>
          <w:bdr w:val="nil"/>
        </w:rPr>
        <w:t>Proportionnalité</w:t>
      </w:r>
    </w:p>
    <w:p w:rsidR="00D72587" w:rsidRPr="007622D0" w:rsidRDefault="003C467E">
      <w:pPr>
        <w:pBdr>
          <w:top w:val="nil"/>
          <w:left w:val="nil"/>
          <w:bottom w:val="nil"/>
          <w:right w:val="nil"/>
          <w:between w:val="nil"/>
          <w:bar w:val="nil"/>
        </w:pBdr>
        <w:spacing w:before="0" w:after="240"/>
        <w:rPr>
          <w:noProof/>
        </w:rPr>
      </w:pPr>
      <w:r w:rsidRPr="007622D0">
        <w:rPr>
          <w:noProof/>
        </w:rPr>
        <w:t>La proposition comporte des modifications limitées et ciblées qui ne vont pas au-delà de ce qui est nécessaire pour atteindre l’objectif consistant à encourager les efforts de reconstitution du potentiel de production et à fournir une aide exceptionnelle et temporaire aux agriculteurs, aux exploitants forestiers et aux PME exerçant des activités de transformation, de commercialisation ou de développement de produits agricoles ou forestiers, qui sont particulièrement touchés par les catastrophes naturelles.</w:t>
      </w:r>
    </w:p>
    <w:p w:rsidR="00D72587" w:rsidRPr="007622D0" w:rsidRDefault="00D72587" w:rsidP="006828CB">
      <w:pPr>
        <w:pStyle w:val="Bullet0"/>
        <w:rPr>
          <w:b/>
          <w:bCs/>
          <w:noProof/>
          <w:u w:color="000000"/>
          <w:bdr w:val="nil"/>
        </w:rPr>
      </w:pPr>
      <w:r w:rsidRPr="007622D0">
        <w:rPr>
          <w:b/>
          <w:noProof/>
          <w:u w:color="000000"/>
          <w:bdr w:val="nil"/>
        </w:rPr>
        <w:t>Choix de l'instrument</w:t>
      </w:r>
    </w:p>
    <w:p w:rsidR="00D72587" w:rsidRPr="007622D0" w:rsidRDefault="003C467E">
      <w:pPr>
        <w:pBdr>
          <w:top w:val="nil"/>
          <w:left w:val="nil"/>
          <w:bottom w:val="nil"/>
          <w:right w:val="nil"/>
          <w:between w:val="nil"/>
          <w:bar w:val="nil"/>
        </w:pBdr>
        <w:spacing w:before="0" w:after="240"/>
        <w:rPr>
          <w:rFonts w:eastAsia="Arial Unicode MS"/>
          <w:noProof/>
        </w:rPr>
      </w:pPr>
      <w:r w:rsidRPr="007622D0">
        <w:rPr>
          <w:noProof/>
        </w:rPr>
        <w:t>Un règlement est l’instrument approprié pour introduire la mesure supplémentaire nécessaire afin de faire face à ces circonstances sans précédent.</w:t>
      </w:r>
    </w:p>
    <w:p w:rsidR="00D72587" w:rsidRPr="007622D0" w:rsidRDefault="00F950FE" w:rsidP="00F950FE">
      <w:pPr>
        <w:pStyle w:val="ManualHeading1"/>
        <w:rPr>
          <w:noProof/>
        </w:rPr>
      </w:pPr>
      <w:r w:rsidRPr="00F950FE">
        <w:rPr>
          <w:noProof/>
        </w:rPr>
        <w:t>3.</w:t>
      </w:r>
      <w:r w:rsidRPr="00F950FE">
        <w:rPr>
          <w:noProof/>
        </w:rPr>
        <w:tab/>
      </w:r>
      <w:r w:rsidR="00D72587" w:rsidRPr="007622D0">
        <w:rPr>
          <w:noProof/>
        </w:rPr>
        <w:t>RÉSULTATS DES ÉVALUATIONS EX POST, DES CONSULTATIONS DES PARTIES INTÉRESSÉES ET DES ANALYSES D'IMPACT</w:t>
      </w:r>
    </w:p>
    <w:p w:rsidR="00D72587" w:rsidRPr="007622D0" w:rsidRDefault="00D72587" w:rsidP="006828CB">
      <w:pPr>
        <w:pStyle w:val="Bullet0"/>
        <w:rPr>
          <w:b/>
          <w:bCs/>
          <w:noProof/>
          <w:u w:color="000000"/>
          <w:bdr w:val="nil"/>
        </w:rPr>
      </w:pPr>
      <w:r w:rsidRPr="007622D0">
        <w:rPr>
          <w:b/>
          <w:noProof/>
          <w:u w:color="000000"/>
          <w:bdr w:val="nil"/>
        </w:rPr>
        <w:t>Évaluations ex post/bilans de qualité de la législation existante</w:t>
      </w:r>
    </w:p>
    <w:p w:rsidR="00D72587" w:rsidRPr="007622D0" w:rsidRDefault="003C467E">
      <w:pPr>
        <w:pBdr>
          <w:top w:val="nil"/>
          <w:left w:val="nil"/>
          <w:bottom w:val="nil"/>
          <w:right w:val="nil"/>
          <w:between w:val="nil"/>
          <w:bar w:val="nil"/>
        </w:pBdr>
        <w:spacing w:before="0" w:after="240"/>
        <w:rPr>
          <w:rFonts w:eastAsia="Arial Unicode MS"/>
          <w:noProof/>
        </w:rPr>
      </w:pPr>
      <w:r w:rsidRPr="007622D0">
        <w:rPr>
          <w:noProof/>
        </w:rPr>
        <w:t>Sans objet</w:t>
      </w:r>
    </w:p>
    <w:p w:rsidR="00D72587" w:rsidRPr="007622D0" w:rsidRDefault="00D72587" w:rsidP="006828CB">
      <w:pPr>
        <w:pStyle w:val="Bullet0"/>
        <w:rPr>
          <w:b/>
          <w:bCs/>
          <w:noProof/>
          <w:u w:color="000000"/>
          <w:bdr w:val="nil"/>
        </w:rPr>
      </w:pPr>
      <w:r w:rsidRPr="007622D0">
        <w:rPr>
          <w:b/>
          <w:noProof/>
          <w:u w:color="000000"/>
          <w:bdr w:val="nil"/>
        </w:rPr>
        <w:t>Consultation des parties intéressées</w:t>
      </w:r>
    </w:p>
    <w:p w:rsidR="00B34050" w:rsidRPr="007622D0" w:rsidRDefault="00860366" w:rsidP="00B34050">
      <w:pPr>
        <w:rPr>
          <w:b/>
          <w:bCs/>
          <w:noProof/>
          <w:u w:color="000000"/>
          <w:bdr w:val="nil"/>
        </w:rPr>
      </w:pPr>
      <w:r w:rsidRPr="007622D0">
        <w:rPr>
          <w:noProof/>
        </w:rPr>
        <w:t xml:space="preserve">En raison du caractère technique, limité et urgent des modifications proposées, la proposition législative ne se prête pas à une large consultation publique. Le présent exposé des motifs sera toutefois transmis aux autres institutions, ainsi que l’acte qui l’accompagne, et sera mis à la disposition du public via EUR-Lex. </w:t>
      </w:r>
    </w:p>
    <w:p w:rsidR="00D72587" w:rsidRPr="007622D0" w:rsidRDefault="00D72587" w:rsidP="006828CB">
      <w:pPr>
        <w:pStyle w:val="Bullet0"/>
        <w:rPr>
          <w:b/>
          <w:bCs/>
          <w:noProof/>
          <w:u w:color="000000"/>
          <w:bdr w:val="nil"/>
        </w:rPr>
      </w:pPr>
      <w:r w:rsidRPr="007622D0">
        <w:rPr>
          <w:b/>
          <w:noProof/>
          <w:u w:color="000000"/>
          <w:bdr w:val="nil"/>
        </w:rPr>
        <w:t>Obtention et utilisation d'expertise</w:t>
      </w:r>
    </w:p>
    <w:p w:rsidR="003C467E" w:rsidRPr="007622D0" w:rsidRDefault="003C467E">
      <w:pPr>
        <w:pBdr>
          <w:top w:val="nil"/>
          <w:left w:val="nil"/>
          <w:bottom w:val="nil"/>
          <w:right w:val="nil"/>
          <w:between w:val="nil"/>
          <w:bar w:val="nil"/>
        </w:pBdr>
        <w:spacing w:before="0" w:after="240"/>
        <w:rPr>
          <w:noProof/>
        </w:rPr>
      </w:pPr>
      <w:r w:rsidRPr="007622D0">
        <w:rPr>
          <w:noProof/>
        </w:rPr>
        <w:t>Sans objet</w:t>
      </w:r>
    </w:p>
    <w:p w:rsidR="00D72587" w:rsidRPr="007622D0" w:rsidRDefault="00D72587" w:rsidP="006828CB">
      <w:pPr>
        <w:pStyle w:val="Bullet0"/>
        <w:rPr>
          <w:b/>
          <w:noProof/>
          <w:bdr w:val="nil"/>
        </w:rPr>
      </w:pPr>
      <w:r w:rsidRPr="007622D0">
        <w:rPr>
          <w:b/>
          <w:noProof/>
          <w:bdr w:val="nil"/>
        </w:rPr>
        <w:t>Analyse d'impact</w:t>
      </w:r>
    </w:p>
    <w:p w:rsidR="00D72587" w:rsidRPr="007622D0" w:rsidRDefault="003C467E">
      <w:pPr>
        <w:pBdr>
          <w:top w:val="nil"/>
          <w:left w:val="nil"/>
          <w:bottom w:val="nil"/>
          <w:right w:val="nil"/>
          <w:between w:val="nil"/>
          <w:bar w:val="nil"/>
        </w:pBdr>
        <w:spacing w:before="0" w:after="240"/>
        <w:rPr>
          <w:rFonts w:eastAsia="Arial Unicode MS"/>
          <w:noProof/>
        </w:rPr>
      </w:pPr>
      <w:r w:rsidRPr="007622D0">
        <w:rPr>
          <w:noProof/>
        </w:rPr>
        <w:t xml:space="preserve">Une analyse d’impact a été menée afin de préparer la proposition relative au règlement (UE) nº 1305/2013. Les modifications limitées qui sont proposées ne nécessitent pas d’analyse d’impact distincte. </w:t>
      </w:r>
    </w:p>
    <w:p w:rsidR="00D72587" w:rsidRPr="007622D0" w:rsidRDefault="00D72587" w:rsidP="006828CB">
      <w:pPr>
        <w:pStyle w:val="Bullet0"/>
        <w:rPr>
          <w:b/>
          <w:bCs/>
          <w:noProof/>
          <w:u w:color="000000"/>
          <w:bdr w:val="nil"/>
        </w:rPr>
      </w:pPr>
      <w:r w:rsidRPr="007622D0">
        <w:rPr>
          <w:b/>
          <w:noProof/>
          <w:u w:color="000000"/>
          <w:bdr w:val="nil"/>
        </w:rPr>
        <w:t>Réglementation affûtée et simplification</w:t>
      </w:r>
    </w:p>
    <w:p w:rsidR="00D72587" w:rsidRPr="007622D0" w:rsidRDefault="003C467E">
      <w:pPr>
        <w:pBdr>
          <w:top w:val="nil"/>
          <w:left w:val="nil"/>
          <w:bottom w:val="nil"/>
          <w:right w:val="nil"/>
          <w:between w:val="nil"/>
          <w:bar w:val="nil"/>
        </w:pBdr>
        <w:spacing w:before="0" w:after="240"/>
        <w:rPr>
          <w:rFonts w:eastAsia="Arial Unicode MS"/>
          <w:noProof/>
        </w:rPr>
      </w:pPr>
      <w:r w:rsidRPr="007622D0">
        <w:rPr>
          <w:noProof/>
        </w:rPr>
        <w:t>Sans objet</w:t>
      </w:r>
    </w:p>
    <w:p w:rsidR="00D72587" w:rsidRPr="007622D0" w:rsidRDefault="00D72587" w:rsidP="006828CB">
      <w:pPr>
        <w:pStyle w:val="Bullet0"/>
        <w:rPr>
          <w:b/>
          <w:bCs/>
          <w:noProof/>
          <w:u w:color="000000"/>
          <w:bdr w:val="nil"/>
        </w:rPr>
      </w:pPr>
      <w:r w:rsidRPr="007622D0">
        <w:rPr>
          <w:b/>
          <w:noProof/>
          <w:u w:color="000000"/>
          <w:bdr w:val="nil"/>
        </w:rPr>
        <w:t>Droits fondamentaux</w:t>
      </w:r>
    </w:p>
    <w:p w:rsidR="003C467E" w:rsidRPr="007622D0" w:rsidRDefault="003C467E" w:rsidP="003C467E">
      <w:pPr>
        <w:pBdr>
          <w:top w:val="nil"/>
          <w:left w:val="nil"/>
          <w:bottom w:val="nil"/>
          <w:right w:val="nil"/>
          <w:between w:val="nil"/>
          <w:bar w:val="nil"/>
        </w:pBdr>
        <w:spacing w:before="0" w:after="240"/>
        <w:rPr>
          <w:rFonts w:eastAsia="Arial Unicode MS"/>
          <w:noProof/>
        </w:rPr>
      </w:pPr>
      <w:r w:rsidRPr="007622D0">
        <w:rPr>
          <w:noProof/>
        </w:rPr>
        <w:t>Sans objet</w:t>
      </w:r>
    </w:p>
    <w:p w:rsidR="00D72587" w:rsidRPr="007622D0" w:rsidRDefault="00F950FE" w:rsidP="00F950FE">
      <w:pPr>
        <w:pStyle w:val="ManualHeading1"/>
        <w:rPr>
          <w:noProof/>
        </w:rPr>
      </w:pPr>
      <w:r w:rsidRPr="00F950FE">
        <w:rPr>
          <w:noProof/>
        </w:rPr>
        <w:t>4.</w:t>
      </w:r>
      <w:r w:rsidRPr="00F950FE">
        <w:rPr>
          <w:noProof/>
        </w:rPr>
        <w:tab/>
      </w:r>
      <w:r w:rsidR="00D72587" w:rsidRPr="007622D0">
        <w:rPr>
          <w:noProof/>
        </w:rPr>
        <w:t>INCIDENCE BUDGÉTAIRE</w:t>
      </w:r>
    </w:p>
    <w:p w:rsidR="49D95855" w:rsidRPr="007622D0" w:rsidRDefault="49D95855" w:rsidP="021194E3">
      <w:pPr>
        <w:pBdr>
          <w:top w:val="nil"/>
          <w:left w:val="nil"/>
          <w:bottom w:val="nil"/>
          <w:right w:val="nil"/>
          <w:between w:val="nil"/>
          <w:bar w:val="nil"/>
        </w:pBdr>
        <w:spacing w:before="0" w:after="240"/>
        <w:rPr>
          <w:noProof/>
        </w:rPr>
      </w:pPr>
      <w:r w:rsidRPr="007622D0">
        <w:rPr>
          <w:noProof/>
        </w:rPr>
        <w:t xml:space="preserve">La proposition concerne les programmes de développement rural du Feader pour la période 2014-2022 et ne modifie pas les engagements budgétaires existants. Elle reste dans les limites de la dotation globale pour la période 2014-2022 et est donc neutre sur le plan budgétaire. </w:t>
      </w:r>
    </w:p>
    <w:p w:rsidR="49D95855" w:rsidRPr="007622D0" w:rsidRDefault="49D95855" w:rsidP="021194E3">
      <w:pPr>
        <w:pBdr>
          <w:top w:val="nil"/>
          <w:left w:val="nil"/>
          <w:bottom w:val="nil"/>
          <w:right w:val="nil"/>
          <w:between w:val="nil"/>
        </w:pBdr>
        <w:spacing w:before="0" w:after="240"/>
        <w:rPr>
          <w:noProof/>
        </w:rPr>
      </w:pPr>
      <w:r w:rsidRPr="007622D0">
        <w:rPr>
          <w:noProof/>
        </w:rPr>
        <w:t>La ventilation annuelle totale des crédits d’engagement au titre du Feader reste inchangée. Les paiements en faveur des bénéficiaires seront effectués avant le 31 décembre 2025 et seront donc à financer au titre des budgets 2025, 2026 et 2027. Les crédits de paiement nécessaires pour financer cette mesure doivent être couverts par les crédits destinés au Feader inclus dans le futur projet de budget 2025 de la Commission et seront compensés par une diminution correspondante des besoins de paiement au cours des années suivantes.</w:t>
      </w:r>
    </w:p>
    <w:p w:rsidR="49D95855" w:rsidRPr="007622D0" w:rsidRDefault="49D95855" w:rsidP="021194E3">
      <w:pPr>
        <w:pBdr>
          <w:top w:val="nil"/>
          <w:left w:val="nil"/>
          <w:bottom w:val="nil"/>
          <w:right w:val="nil"/>
          <w:between w:val="nil"/>
        </w:pBdr>
        <w:spacing w:before="0" w:after="240"/>
        <w:rPr>
          <w:noProof/>
        </w:rPr>
      </w:pPr>
      <w:r w:rsidRPr="007622D0">
        <w:rPr>
          <w:noProof/>
        </w:rPr>
        <w:t>La modification proposée n’entraîne aucun changement dans les plafonds annuels du cadre financier pluriannuel en matière d’engagements et de paiements figurant à l’annexe I du règlement (UE) 2020/2093.</w:t>
      </w:r>
    </w:p>
    <w:p w:rsidR="00D72587" w:rsidRPr="007622D0" w:rsidRDefault="00F950FE" w:rsidP="00F950FE">
      <w:pPr>
        <w:pStyle w:val="ManualHeading1"/>
        <w:rPr>
          <w:noProof/>
        </w:rPr>
      </w:pPr>
      <w:r w:rsidRPr="00F950FE">
        <w:rPr>
          <w:noProof/>
        </w:rPr>
        <w:t>5.</w:t>
      </w:r>
      <w:r w:rsidRPr="00F950FE">
        <w:rPr>
          <w:noProof/>
        </w:rPr>
        <w:tab/>
      </w:r>
      <w:r w:rsidR="00D72587" w:rsidRPr="007622D0">
        <w:rPr>
          <w:noProof/>
        </w:rPr>
        <w:t>AUTRES ÉLÉMENTS</w:t>
      </w:r>
    </w:p>
    <w:p w:rsidR="00D72587" w:rsidRPr="007622D0" w:rsidRDefault="00D72587" w:rsidP="006828CB">
      <w:pPr>
        <w:pStyle w:val="Bullet0"/>
        <w:rPr>
          <w:b/>
          <w:bCs/>
          <w:noProof/>
          <w:u w:color="000000"/>
          <w:bdr w:val="nil"/>
        </w:rPr>
      </w:pPr>
      <w:r w:rsidRPr="007622D0">
        <w:rPr>
          <w:b/>
          <w:noProof/>
          <w:u w:color="000000"/>
          <w:bdr w:val="nil"/>
        </w:rPr>
        <w:t>Plans de mise en œuvre et modalités de suivi, d'évaluation et d'information</w:t>
      </w:r>
    </w:p>
    <w:p w:rsidR="00D72587" w:rsidRPr="007622D0" w:rsidRDefault="003C467E">
      <w:pPr>
        <w:pBdr>
          <w:top w:val="nil"/>
          <w:left w:val="nil"/>
          <w:bottom w:val="nil"/>
          <w:right w:val="nil"/>
          <w:between w:val="nil"/>
          <w:bar w:val="nil"/>
        </w:pBdr>
        <w:spacing w:before="0" w:after="240"/>
        <w:rPr>
          <w:rFonts w:eastAsia="Arial Unicode MS"/>
          <w:noProof/>
        </w:rPr>
      </w:pPr>
      <w:r w:rsidRPr="007622D0">
        <w:rPr>
          <w:noProof/>
        </w:rPr>
        <w:t>La mise en œuvre des mesures fera l’objet d’un suivi et de rapports dans le cadre du dispositif général fixé en matière d’établissement de rapports par les règlements (UE) nº 1303/2013 et (UE) nº 1305/2013.</w:t>
      </w:r>
    </w:p>
    <w:p w:rsidR="00D72587" w:rsidRPr="007622D0" w:rsidRDefault="00D72587" w:rsidP="009F31AE">
      <w:pPr>
        <w:pStyle w:val="Bullet0"/>
        <w:rPr>
          <w:b/>
          <w:bCs/>
          <w:noProof/>
          <w:u w:color="000000"/>
          <w:bdr w:val="nil"/>
        </w:rPr>
      </w:pPr>
      <w:r w:rsidRPr="007622D0">
        <w:rPr>
          <w:b/>
          <w:noProof/>
          <w:u w:color="000000"/>
          <w:bdr w:val="nil"/>
        </w:rPr>
        <w:t>Documents explicatifs (pour les directives)</w:t>
      </w:r>
    </w:p>
    <w:p w:rsidR="00D72587" w:rsidRPr="007622D0" w:rsidRDefault="003C467E">
      <w:pPr>
        <w:pBdr>
          <w:top w:val="nil"/>
          <w:left w:val="nil"/>
          <w:bottom w:val="nil"/>
          <w:right w:val="nil"/>
          <w:between w:val="nil"/>
          <w:bar w:val="nil"/>
        </w:pBdr>
        <w:spacing w:before="0" w:after="240"/>
        <w:rPr>
          <w:rFonts w:eastAsia="Arial Unicode MS"/>
          <w:noProof/>
        </w:rPr>
      </w:pPr>
      <w:r w:rsidRPr="007622D0">
        <w:rPr>
          <w:noProof/>
        </w:rPr>
        <w:t>Sans objet</w:t>
      </w:r>
    </w:p>
    <w:p w:rsidR="00D72587" w:rsidRPr="007622D0" w:rsidRDefault="00D72587" w:rsidP="009F31AE">
      <w:pPr>
        <w:pStyle w:val="Bullet0"/>
        <w:rPr>
          <w:b/>
          <w:bCs/>
          <w:noProof/>
          <w:u w:color="000000"/>
          <w:bdr w:val="nil"/>
        </w:rPr>
      </w:pPr>
      <w:r w:rsidRPr="007622D0">
        <w:rPr>
          <w:b/>
          <w:noProof/>
          <w:bdr w:val="nil"/>
        </w:rPr>
        <w:t>Explication détaillée de certaines dispositions de la proposition</w:t>
      </w:r>
    </w:p>
    <w:p w:rsidR="63DCEF9E" w:rsidRPr="007622D0" w:rsidRDefault="63DCEF9E" w:rsidP="7E3E0121">
      <w:pPr>
        <w:spacing w:before="0" w:after="240"/>
        <w:rPr>
          <w:rFonts w:eastAsia="Times New Roman"/>
          <w:noProof/>
        </w:rPr>
      </w:pPr>
      <w:r w:rsidRPr="007622D0">
        <w:rPr>
          <w:noProof/>
        </w:rPr>
        <w:t>Afin d’apporter aux États membres touchés par des catastrophes naturelles une aide supplémentaire et une plus grande souplesse en ce qui concerne le seuil de non-régression, il est proposé de modifier le règlement (UE) 2020/2220 afin:</w:t>
      </w:r>
    </w:p>
    <w:p w:rsidR="2820A860" w:rsidRPr="007622D0" w:rsidRDefault="00EECC40" w:rsidP="005D665C">
      <w:pPr>
        <w:pStyle w:val="Bullet0"/>
        <w:spacing w:before="0" w:after="240"/>
        <w:rPr>
          <w:rFonts w:eastAsia="Times New Roman"/>
          <w:noProof/>
          <w:szCs w:val="24"/>
        </w:rPr>
      </w:pPr>
      <w:r w:rsidRPr="007622D0">
        <w:rPr>
          <w:noProof/>
        </w:rPr>
        <w:t>d’introduire une nouvelle mesure permettant aux États membres d’apporter un soutien de trésorerie aux agriculteurs, aux exploitants forestiers et aux PME exerçant des activités de transformation de produits agricoles et forestiers, touchés par des catastrophes naturelles survenues à partir du 1</w:t>
      </w:r>
      <w:r w:rsidRPr="007622D0">
        <w:rPr>
          <w:noProof/>
          <w:vertAlign w:val="superscript"/>
        </w:rPr>
        <w:t>er</w:t>
      </w:r>
      <w:r w:rsidRPr="007622D0">
        <w:rPr>
          <w:noProof/>
        </w:rPr>
        <w:t xml:space="preserve"> janvier 2024. Le soutien est versé sous la forme d’un montant forfaitaire. La nouvelle mesure peut être cofinancée jusqu’à 100 % par le Feader et la part maximale de la contribution de l’Union est de 10 % de la contribution totale du Feader au programme de développement rural pour la période 2021-2022;</w:t>
      </w:r>
    </w:p>
    <w:p w:rsidR="1B5CDB6E" w:rsidRPr="007622D0" w:rsidRDefault="46F3B4F2" w:rsidP="005D665C">
      <w:pPr>
        <w:pStyle w:val="Bullet0"/>
        <w:spacing w:before="0" w:after="240"/>
        <w:rPr>
          <w:rFonts w:eastAsia="Times New Roman"/>
          <w:noProof/>
        </w:rPr>
      </w:pPr>
      <w:r w:rsidRPr="007622D0">
        <w:rPr>
          <w:noProof/>
        </w:rPr>
        <w:t>de prévoir une souplesse limitée en ce qui concerne la clause de non-régression lors de la réaffectation des fonds à la nouvelle mesure ou à des mesures de reconstitution du potentiel de production;</w:t>
      </w:r>
    </w:p>
    <w:p w:rsidR="4D3CF05A" w:rsidRPr="007622D0" w:rsidRDefault="674FD1D3" w:rsidP="005D665C">
      <w:pPr>
        <w:pStyle w:val="Bullet0"/>
        <w:spacing w:before="0" w:after="240"/>
        <w:rPr>
          <w:rFonts w:eastAsia="Times New Roman"/>
          <w:noProof/>
        </w:rPr>
      </w:pPr>
      <w:r w:rsidRPr="007622D0">
        <w:rPr>
          <w:noProof/>
        </w:rPr>
        <w:t xml:space="preserve">de donner aux États membres la possibilité de simplifier les procédures, au moment d’appliquer un «cas de force majeure», en considérant que l’ensemble de la zone a été affecté de façon importante par une catastrophe naturelle;  </w:t>
      </w:r>
    </w:p>
    <w:p w:rsidR="616046AD" w:rsidRPr="007622D0" w:rsidRDefault="5BB91B24" w:rsidP="005D665C">
      <w:pPr>
        <w:pStyle w:val="Bullet0"/>
        <w:spacing w:before="0" w:after="240"/>
        <w:rPr>
          <w:rFonts w:eastAsia="Times New Roman"/>
          <w:noProof/>
        </w:rPr>
      </w:pPr>
      <w:r w:rsidRPr="007622D0">
        <w:rPr>
          <w:noProof/>
        </w:rPr>
        <w:t>de permettre aux États membres de choisir des opérations de soutien qui ont été matériellement achevées ou totalement mises en œuvre avant la soumission d’une demande de financement, lorsqu’elles sont liées à des mesures de reconstitution du potentiel agricole ou des paiements de liquidités.</w:t>
      </w:r>
    </w:p>
    <w:p w:rsidR="7E3E0121" w:rsidRPr="007622D0" w:rsidRDefault="7E3E0121" w:rsidP="7E3E0121">
      <w:pPr>
        <w:pBdr>
          <w:top w:val="nil"/>
          <w:left w:val="nil"/>
          <w:bottom w:val="nil"/>
          <w:right w:val="nil"/>
          <w:between w:val="nil"/>
          <w:bar w:val="nil"/>
        </w:pBdr>
        <w:spacing w:before="0" w:after="240"/>
        <w:rPr>
          <w:noProof/>
          <w:highlight w:val="yellow"/>
        </w:rPr>
      </w:pPr>
    </w:p>
    <w:p w:rsidR="00D72587" w:rsidRPr="007622D0" w:rsidRDefault="00D72587">
      <w:pPr>
        <w:rPr>
          <w:noProof/>
        </w:rPr>
        <w:sectPr w:rsidR="00D72587" w:rsidRPr="007622D0" w:rsidSect="00627570">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A24528" w:rsidRDefault="005603BB">
      <w:pPr>
        <w:pStyle w:val="Rfrenceinterinstitutionnelle"/>
        <w:rPr>
          <w:noProof/>
        </w:rPr>
      </w:pPr>
      <w:r>
        <w:rPr>
          <w:noProof/>
        </w:rPr>
        <w:t>2024/0274 (COD)</w:t>
      </w:r>
    </w:p>
    <w:p w:rsidR="00D72587" w:rsidRPr="007622D0" w:rsidRDefault="007622D0" w:rsidP="007622D0">
      <w:pPr>
        <w:pStyle w:val="Statut"/>
        <w:rPr>
          <w:noProof/>
        </w:rPr>
      </w:pPr>
      <w:r w:rsidRPr="007622D0">
        <w:rPr>
          <w:noProof/>
        </w:rPr>
        <w:t>Proposition de</w:t>
      </w:r>
    </w:p>
    <w:p w:rsidR="00D72587" w:rsidRPr="007622D0" w:rsidRDefault="007622D0" w:rsidP="007622D0">
      <w:pPr>
        <w:pStyle w:val="Typedudocument"/>
        <w:rPr>
          <w:noProof/>
        </w:rPr>
      </w:pPr>
      <w:r w:rsidRPr="007622D0">
        <w:rPr>
          <w:noProof/>
        </w:rPr>
        <w:t>RÈGLEMENT DU PARLEMENT EUROPÉEN ET DU CONSEIL</w:t>
      </w:r>
    </w:p>
    <w:p w:rsidR="00D72587" w:rsidRPr="007622D0" w:rsidRDefault="007622D0" w:rsidP="007622D0">
      <w:pPr>
        <w:pStyle w:val="Titreobjet"/>
        <w:rPr>
          <w:noProof/>
        </w:rPr>
      </w:pPr>
      <w:r w:rsidRPr="007622D0">
        <w:rPr>
          <w:noProof/>
        </w:rPr>
        <w:t>modifiant le règlement (UE) 2020/2220 en ce qui concerne des mesures spécifiques au titre du Fonds européen agricole pour le développement rural (Feader) visant à fournir une aide supplémentaire aux États membres touchés par des catastrophes naturelles</w:t>
      </w:r>
    </w:p>
    <w:p w:rsidR="00D72587" w:rsidRPr="007622D0" w:rsidRDefault="00D72587">
      <w:pPr>
        <w:pStyle w:val="Institutionquiagit"/>
        <w:rPr>
          <w:noProof/>
        </w:rPr>
      </w:pPr>
      <w:r w:rsidRPr="007622D0">
        <w:rPr>
          <w:noProof/>
        </w:rPr>
        <w:t>LE PARLEMENT EUROPÉEN ET LE CONSEIL DE L'UNION EUROPÉENNE,</w:t>
      </w:r>
    </w:p>
    <w:p w:rsidR="00D72587" w:rsidRPr="007622D0" w:rsidRDefault="00D72587">
      <w:pPr>
        <w:rPr>
          <w:noProof/>
        </w:rPr>
      </w:pPr>
      <w:r w:rsidRPr="007622D0">
        <w:rPr>
          <w:noProof/>
        </w:rPr>
        <w:t>vu le traité sur le fonctionnement de l’Union européenne, et notamment son article 43, paragraphe 2,</w:t>
      </w:r>
    </w:p>
    <w:p w:rsidR="00D72587" w:rsidRPr="007622D0" w:rsidRDefault="00D72587">
      <w:pPr>
        <w:rPr>
          <w:noProof/>
        </w:rPr>
      </w:pPr>
      <w:r w:rsidRPr="007622D0">
        <w:rPr>
          <w:noProof/>
        </w:rPr>
        <w:t>vu la proposition de la Commission européenne,</w:t>
      </w:r>
    </w:p>
    <w:p w:rsidR="00D72587" w:rsidRPr="007622D0" w:rsidRDefault="00D72587">
      <w:pPr>
        <w:rPr>
          <w:noProof/>
        </w:rPr>
      </w:pPr>
      <w:r w:rsidRPr="007622D0">
        <w:rPr>
          <w:noProof/>
        </w:rPr>
        <w:t>après transmission du projet d'acte législatif aux parlements nationaux,</w:t>
      </w:r>
    </w:p>
    <w:p w:rsidR="00D72587" w:rsidRPr="007622D0" w:rsidRDefault="00D72587">
      <w:pPr>
        <w:rPr>
          <w:noProof/>
        </w:rPr>
      </w:pPr>
      <w:r w:rsidRPr="007622D0">
        <w:rPr>
          <w:noProof/>
        </w:rPr>
        <w:t>vu l’avis du Comité économique et social européen</w:t>
      </w:r>
      <w:r w:rsidRPr="007622D0">
        <w:rPr>
          <w:rStyle w:val="FootnoteReference"/>
          <w:noProof/>
        </w:rPr>
        <w:footnoteReference w:id="2"/>
      </w:r>
      <w:r w:rsidRPr="007622D0">
        <w:rPr>
          <w:noProof/>
        </w:rPr>
        <w:t>,</w:t>
      </w:r>
    </w:p>
    <w:p w:rsidR="00D72587" w:rsidRPr="007622D0" w:rsidRDefault="00D72587">
      <w:pPr>
        <w:rPr>
          <w:noProof/>
        </w:rPr>
      </w:pPr>
      <w:r w:rsidRPr="007622D0">
        <w:rPr>
          <w:noProof/>
        </w:rPr>
        <w:t>vu l’avis du Comité des régions</w:t>
      </w:r>
      <w:r w:rsidRPr="007622D0">
        <w:rPr>
          <w:rStyle w:val="FootnoteReference"/>
          <w:noProof/>
        </w:rPr>
        <w:footnoteReference w:id="3"/>
      </w:r>
      <w:r w:rsidRPr="007622D0">
        <w:rPr>
          <w:noProof/>
        </w:rPr>
        <w:t>,</w:t>
      </w:r>
    </w:p>
    <w:p w:rsidR="00D72587" w:rsidRPr="007622D0" w:rsidRDefault="00D72587">
      <w:pPr>
        <w:rPr>
          <w:noProof/>
        </w:rPr>
      </w:pPr>
      <w:r w:rsidRPr="007622D0">
        <w:rPr>
          <w:noProof/>
        </w:rPr>
        <w:t>statuant conformément à la procédure législative ordinaire,</w:t>
      </w:r>
    </w:p>
    <w:p w:rsidR="00D72587" w:rsidRPr="007622D0" w:rsidRDefault="00D72587">
      <w:pPr>
        <w:rPr>
          <w:noProof/>
        </w:rPr>
      </w:pPr>
      <w:r w:rsidRPr="007622D0">
        <w:rPr>
          <w:noProof/>
        </w:rPr>
        <w:t>considérant ce qui suit:</w:t>
      </w:r>
    </w:p>
    <w:p w:rsidR="00143B90" w:rsidRPr="007622D0" w:rsidRDefault="00F950FE" w:rsidP="00F950FE">
      <w:pPr>
        <w:pStyle w:val="ManualConsidrant"/>
        <w:rPr>
          <w:noProof/>
        </w:rPr>
      </w:pPr>
      <w:r w:rsidRPr="00F950FE">
        <w:rPr>
          <w:noProof/>
        </w:rPr>
        <w:t>(1)</w:t>
      </w:r>
      <w:r w:rsidRPr="00F950FE">
        <w:rPr>
          <w:noProof/>
        </w:rPr>
        <w:tab/>
      </w:r>
      <w:r w:rsidR="76FED4BF" w:rsidRPr="007622D0">
        <w:rPr>
          <w:noProof/>
        </w:rPr>
        <w:t xml:space="preserve">Les récentes catastrophes naturelles qui ont touché l’Europe centrale et orientale ainsi que l’Europe méridionale ont eu un effet dévastateur sur les populations rurales vivant et travaillant dans ces régions. Un potentiel de production agricole et forestier considérable a été détruit, entraînant d’importantes pertes de revenus pour les agriculteurs, les exploitants forestiers et les entreprises rurales des régions touchées. Afin de remédier rapidement à la vulnérabilité du système alimentaire européen et des communautés rurales résultant de ces catastrophes, il convient de fournir rapidement un soutien efficace exceptionnel par l’intermédiaire du Fonds européen agricole pour le développement rural (Feader), mis en œuvre dans le cadre de programmes de développement rural, et de prévoir une plus grande souplesse pour les mesures existantes. </w:t>
      </w:r>
    </w:p>
    <w:p w:rsidR="04F69327" w:rsidRPr="007622D0" w:rsidRDefault="00F950FE" w:rsidP="00F950FE">
      <w:pPr>
        <w:pStyle w:val="ManualConsidrant"/>
        <w:rPr>
          <w:noProof/>
        </w:rPr>
      </w:pPr>
      <w:r w:rsidRPr="00F950FE">
        <w:rPr>
          <w:noProof/>
        </w:rPr>
        <w:t>(2)</w:t>
      </w:r>
      <w:r w:rsidRPr="00F950FE">
        <w:rPr>
          <w:noProof/>
        </w:rPr>
        <w:tab/>
      </w:r>
      <w:r w:rsidR="4A9DB8A4" w:rsidRPr="007622D0">
        <w:rPr>
          <w:noProof/>
        </w:rPr>
        <w:t>Afin de faire face aux conséquences des catastrophes naturelles survenues à partir du 1</w:t>
      </w:r>
      <w:r w:rsidR="4A9DB8A4" w:rsidRPr="007622D0">
        <w:rPr>
          <w:noProof/>
          <w:vertAlign w:val="superscript"/>
        </w:rPr>
        <w:t>er</w:t>
      </w:r>
      <w:r w:rsidR="4A9DB8A4" w:rsidRPr="007622D0">
        <w:rPr>
          <w:noProof/>
        </w:rPr>
        <w:t xml:space="preserve"> janvier 2024, il convient de prévoir une nouvelle mesure exceptionnelle et temporaire afin de remédier aux problèmes de liquidités actuels qui mettent en péril la continuité des activités agricoles et forestières et la pérennité des petites et moyennes entreprises exerçant des activités de transformation, de commercialisation ou de développement de produits agricoles et forestiers. En outre, il convient que le soutien à la reconstitution du potentiel de production agricole disponible au titre du règlement (UE) nº 1305/2013 du Parlement européen et du Conseil</w:t>
      </w:r>
      <w:r w:rsidR="009A3A89" w:rsidRPr="007622D0">
        <w:rPr>
          <w:rStyle w:val="FootnoteReference"/>
          <w:noProof/>
        </w:rPr>
        <w:footnoteReference w:id="4"/>
      </w:r>
      <w:r w:rsidR="4A9DB8A4" w:rsidRPr="007622D0">
        <w:rPr>
          <w:noProof/>
        </w:rPr>
        <w:t xml:space="preserve"> soit renforcé grâce à une plus grande souplesse budgétaire en ce qui concerne le seuil de non-régression prévu à l’article 1</w:t>
      </w:r>
      <w:r w:rsidR="4A9DB8A4" w:rsidRPr="007622D0">
        <w:rPr>
          <w:noProof/>
          <w:vertAlign w:val="superscript"/>
        </w:rPr>
        <w:t>er</w:t>
      </w:r>
      <w:r w:rsidR="4A9DB8A4" w:rsidRPr="007622D0">
        <w:rPr>
          <w:noProof/>
        </w:rPr>
        <w:t>, paragraphe 2, du règlement (UE) 2020/2220 du Parlement européen et du Conseil</w:t>
      </w:r>
      <w:r w:rsidR="0078226C" w:rsidRPr="007622D0">
        <w:rPr>
          <w:rStyle w:val="FootnoteReference"/>
          <w:noProof/>
        </w:rPr>
        <w:footnoteReference w:id="5"/>
      </w:r>
      <w:r w:rsidR="4A9DB8A4" w:rsidRPr="007622D0">
        <w:rPr>
          <w:noProof/>
        </w:rPr>
        <w:t>.</w:t>
      </w:r>
    </w:p>
    <w:p w:rsidR="00440337" w:rsidRPr="007622D0" w:rsidRDefault="00F950FE" w:rsidP="00F950FE">
      <w:pPr>
        <w:pStyle w:val="ManualConsidrant"/>
        <w:rPr>
          <w:noProof/>
        </w:rPr>
      </w:pPr>
      <w:r w:rsidRPr="00F950FE">
        <w:rPr>
          <w:noProof/>
        </w:rPr>
        <w:t>(3)</w:t>
      </w:r>
      <w:r w:rsidRPr="00F950FE">
        <w:rPr>
          <w:noProof/>
        </w:rPr>
        <w:tab/>
      </w:r>
      <w:r w:rsidR="00440337" w:rsidRPr="007622D0">
        <w:rPr>
          <w:noProof/>
        </w:rPr>
        <w:t>Étant donné que le financement de la nouvelle mesure sera assuré par le Feader, le cadre juridique établi pour la période de programmation 2014-2020, en particulier les dispositions spécifiques du règlement (UE) nº 1305/2013 et du règlement (UE) nº 1306/2013 du Parlement européen et du Conseil</w:t>
      </w:r>
      <w:r w:rsidR="00440337" w:rsidRPr="007622D0">
        <w:rPr>
          <w:rStyle w:val="FootnoteReference"/>
          <w:noProof/>
        </w:rPr>
        <w:footnoteReference w:id="6"/>
      </w:r>
      <w:r w:rsidR="00440337" w:rsidRPr="007622D0">
        <w:rPr>
          <w:noProof/>
        </w:rPr>
        <w:t>, ainsi que les dispositions d’exécution de ces règlements, doivent s’appliquer à cette nouvelle mesure.</w:t>
      </w:r>
    </w:p>
    <w:p w:rsidR="003A2F6A" w:rsidRPr="007622D0" w:rsidRDefault="00F950FE" w:rsidP="00F950FE">
      <w:pPr>
        <w:pStyle w:val="ManualConsidrant"/>
        <w:rPr>
          <w:noProof/>
        </w:rPr>
      </w:pPr>
      <w:r w:rsidRPr="00F950FE">
        <w:rPr>
          <w:noProof/>
        </w:rPr>
        <w:t>(4)</w:t>
      </w:r>
      <w:r w:rsidRPr="00F950FE">
        <w:rPr>
          <w:noProof/>
        </w:rPr>
        <w:tab/>
      </w:r>
      <w:r w:rsidR="00440337" w:rsidRPr="007622D0">
        <w:rPr>
          <w:noProof/>
        </w:rPr>
        <w:t xml:space="preserve">La période de programmation du Feader a été prolongée jusqu’au 31 décembre 2022 par le règlement (UE) 2020/2220. La mise en œuvre de la période de programmation prolongée se poursuivra jusqu’à la fin de l’année 2025. Le règlement (UE) 2020/2220 a également prévu des règles transitoires pendant la période de prolongation. Étant donné que le Feader est actuellement mis en œuvre au cours de la période prolongée, il convient de prévoir les conditions de la nouvelle mesure exceptionnelle et des éléments de souplesse budgétaire supplémentaires en ce qui concerne le seuil de non-régression en modifiant le règlement (UE) 2020/2220. </w:t>
      </w:r>
    </w:p>
    <w:p w:rsidR="00AD332F" w:rsidRPr="003A2F6A" w:rsidRDefault="00F950FE" w:rsidP="00F950FE">
      <w:pPr>
        <w:pStyle w:val="ManualConsidrant"/>
        <w:rPr>
          <w:noProof/>
        </w:rPr>
      </w:pPr>
      <w:r w:rsidRPr="00F950FE">
        <w:rPr>
          <w:noProof/>
        </w:rPr>
        <w:t>(5)</w:t>
      </w:r>
      <w:r w:rsidRPr="00F950FE">
        <w:rPr>
          <w:noProof/>
        </w:rPr>
        <w:tab/>
      </w:r>
      <w:r w:rsidR="00AD332F">
        <w:rPr>
          <w:noProof/>
        </w:rPr>
        <w:t>Afin d’offrir une plus grande souplesse budgétaire pour réaffecter des fonds à la nouvelle mesure et à la sous-mesure existante pour la reconstitution du potentiel de production agricole, tout en poursuivant les investissements et les actions prévus en matière de prévention des catastrophes et de préparation à celles-ci, ainsi que d’adaptation au changement climatique dans le but d’atténuer les effets des catastrophes de plus en plus fréquentes qui y sont liées, les États membres devraient être autorisés à réduire le seuil de non-régression prévu à l’article 1</w:t>
      </w:r>
      <w:r w:rsidR="00AD332F">
        <w:rPr>
          <w:noProof/>
          <w:vertAlign w:val="superscript"/>
        </w:rPr>
        <w:t>er</w:t>
      </w:r>
      <w:r w:rsidR="00AD332F">
        <w:rPr>
          <w:noProof/>
        </w:rPr>
        <w:t>, paragraphe 2, du règlement (UE) 2020/2220 de 15 points de pourcentage au maximum, sans descendre en dessous du seuil minimal de 30 %.</w:t>
      </w:r>
    </w:p>
    <w:p w:rsidR="00AD332F" w:rsidRDefault="00F950FE" w:rsidP="00F950FE">
      <w:pPr>
        <w:pStyle w:val="ManualConsidrant"/>
        <w:rPr>
          <w:noProof/>
        </w:rPr>
      </w:pPr>
      <w:r w:rsidRPr="00F950FE">
        <w:rPr>
          <w:noProof/>
        </w:rPr>
        <w:t>(6)</w:t>
      </w:r>
      <w:r w:rsidRPr="00F950FE">
        <w:rPr>
          <w:noProof/>
        </w:rPr>
        <w:tab/>
      </w:r>
      <w:r w:rsidR="00AD332F">
        <w:rPr>
          <w:noProof/>
        </w:rPr>
        <w:t>Afin de permettre aux États membres de faire pleinement face aux conséquences des catastrophes naturelles survenues à partir du 1</w:t>
      </w:r>
      <w:r w:rsidR="00AD332F">
        <w:rPr>
          <w:noProof/>
          <w:vertAlign w:val="superscript"/>
        </w:rPr>
        <w:t>er</w:t>
      </w:r>
      <w:r w:rsidR="00AD332F">
        <w:rPr>
          <w:noProof/>
        </w:rPr>
        <w:t xml:space="preserve"> janvier 2024, il convient de les autoriser à retenir pour l’octroi d’un soutien des opérations qui ont été matériellement achevées ou totalement mises en œuvre avant que la demande de financement au titre du programme n’ait été soumise à l’autorité de gestion, pour autant que ces opérations aient été menées en réponse auxdites catastrophes naturelles.</w:t>
      </w:r>
    </w:p>
    <w:p w:rsidR="00AD332F" w:rsidRDefault="00F950FE" w:rsidP="00F950FE">
      <w:pPr>
        <w:pStyle w:val="ManualConsidrant"/>
        <w:rPr>
          <w:noProof/>
        </w:rPr>
      </w:pPr>
      <w:r w:rsidRPr="00F950FE">
        <w:rPr>
          <w:noProof/>
        </w:rPr>
        <w:t>(7)</w:t>
      </w:r>
      <w:r w:rsidRPr="00F950FE">
        <w:rPr>
          <w:noProof/>
        </w:rPr>
        <w:tab/>
      </w:r>
      <w:r w:rsidR="00AD332F">
        <w:rPr>
          <w:noProof/>
        </w:rPr>
        <w:t>Le soutien au titre de la mesure prévue par le présent règlement, qui vise à assurer la compétitivité des PME ainsi que la viabilité des exploitations agricoles et forestières, devrait concentrer les ressources disponibles sur les bénéficiaires les plus touchés par des catastrophes naturelles et être octroyé sur la base de critères objectifs et non discriminatoires. Le soutien ne devrait être accordé qu’aux bénéficiaires qui ont subi une destruction d’au moins 30 % du potentiel de production concerné.</w:t>
      </w:r>
    </w:p>
    <w:p w:rsidR="00AD332F" w:rsidRDefault="00F950FE" w:rsidP="00F950FE">
      <w:pPr>
        <w:pStyle w:val="ManualConsidrant"/>
        <w:rPr>
          <w:noProof/>
        </w:rPr>
      </w:pPr>
      <w:r w:rsidRPr="00F950FE">
        <w:rPr>
          <w:noProof/>
        </w:rPr>
        <w:t>(8)</w:t>
      </w:r>
      <w:r w:rsidRPr="00F950FE">
        <w:rPr>
          <w:noProof/>
        </w:rPr>
        <w:tab/>
      </w:r>
      <w:r w:rsidR="00AD332F">
        <w:rPr>
          <w:noProof/>
        </w:rPr>
        <w:t xml:space="preserve">En raison du caractère urgent, temporaire et exceptionnel de cette mesure et de la nécessité d’un décaissement rapide et simple des paiements correspondants, il y a lieu de prévoir un paiement unique et une date butoir pour l’application de la mesure. </w:t>
      </w:r>
    </w:p>
    <w:p w:rsidR="00AD332F" w:rsidRDefault="00F950FE" w:rsidP="00F950FE">
      <w:pPr>
        <w:pStyle w:val="ManualConsidrant"/>
        <w:rPr>
          <w:noProof/>
        </w:rPr>
      </w:pPr>
      <w:r w:rsidRPr="00F950FE">
        <w:rPr>
          <w:noProof/>
        </w:rPr>
        <w:t>(9)</w:t>
      </w:r>
      <w:r w:rsidRPr="00F950FE">
        <w:rPr>
          <w:noProof/>
        </w:rPr>
        <w:tab/>
      </w:r>
      <w:r w:rsidR="00AD332F">
        <w:rPr>
          <w:noProof/>
        </w:rPr>
        <w:t xml:space="preserve">Afin d'apporter un soutien plus important aux agriculteurs, aux exploitants forestiers ou aux PME qui sont les plus durement touchés, il convient que les États membres soient autorisés à adapter le niveau des paiements forfaitaires pour certaines catégories de bénéficiaires admissibles, par exemple en fixant certaines fourchettes ou en établissant des catégories générales, sur la base de critères objectifs et non discriminatoires. </w:t>
      </w:r>
    </w:p>
    <w:p w:rsidR="00AD332F" w:rsidRPr="003A414E" w:rsidRDefault="00F950FE" w:rsidP="00F950FE">
      <w:pPr>
        <w:pStyle w:val="ManualConsidrant"/>
        <w:rPr>
          <w:noProof/>
        </w:rPr>
      </w:pPr>
      <w:r w:rsidRPr="00F950FE">
        <w:rPr>
          <w:noProof/>
        </w:rPr>
        <w:t>(10)</w:t>
      </w:r>
      <w:r w:rsidRPr="00F950FE">
        <w:rPr>
          <w:noProof/>
        </w:rPr>
        <w:tab/>
      </w:r>
      <w:r w:rsidR="00AD332F">
        <w:rPr>
          <w:noProof/>
        </w:rPr>
        <w:t xml:space="preserve">Lorsqu’ils accordent un soutien à la nouvelle mesure, il convient que les États membres tiennent compte de l’aide octroyée au titre d’autres instruments nationaux ou de l’Union ou bien de régimes privés en vue de faire face aux conséquences des catastrophes naturelles. </w:t>
      </w:r>
    </w:p>
    <w:p w:rsidR="00AD332F" w:rsidRDefault="00F950FE" w:rsidP="00F950FE">
      <w:pPr>
        <w:pStyle w:val="ManualConsidrant"/>
        <w:rPr>
          <w:noProof/>
        </w:rPr>
      </w:pPr>
      <w:r w:rsidRPr="00F950FE">
        <w:rPr>
          <w:noProof/>
        </w:rPr>
        <w:t>(11)</w:t>
      </w:r>
      <w:r w:rsidRPr="00F950FE">
        <w:rPr>
          <w:noProof/>
        </w:rPr>
        <w:tab/>
      </w:r>
      <w:r w:rsidR="00AD332F">
        <w:rPr>
          <w:noProof/>
        </w:rPr>
        <w:t>Les ressources destinées à la nouvelle mesure devraient être programmées avec un taux de cofinancement pouvant aller jusqu’à 100 %.</w:t>
      </w:r>
    </w:p>
    <w:p w:rsidR="00AD332F" w:rsidRDefault="00F950FE" w:rsidP="00F950FE">
      <w:pPr>
        <w:pStyle w:val="ManualConsidrant"/>
        <w:rPr>
          <w:noProof/>
        </w:rPr>
      </w:pPr>
      <w:r w:rsidRPr="00F950FE">
        <w:rPr>
          <w:noProof/>
        </w:rPr>
        <w:t>(12)</w:t>
      </w:r>
      <w:r w:rsidRPr="00F950FE">
        <w:rPr>
          <w:noProof/>
        </w:rPr>
        <w:tab/>
      </w:r>
      <w:r w:rsidR="00AD332F">
        <w:rPr>
          <w:noProof/>
        </w:rPr>
        <w:t xml:space="preserve">Afin de garantir un financement adéquat de la nouvelle mesure prévue par le présent règlement sans mettre en péril les autres objectifs des programmes de développement rural, il importe de fixer la part maximale de la contribution de l'Union à ladite mesure. </w:t>
      </w:r>
    </w:p>
    <w:p w:rsidR="00AD332F" w:rsidRPr="00DB6784" w:rsidRDefault="00F950FE" w:rsidP="00F950FE">
      <w:pPr>
        <w:pStyle w:val="ManualConsidrant"/>
        <w:rPr>
          <w:noProof/>
        </w:rPr>
      </w:pPr>
      <w:r w:rsidRPr="00F950FE">
        <w:rPr>
          <w:noProof/>
        </w:rPr>
        <w:t>(13)</w:t>
      </w:r>
      <w:r w:rsidRPr="00F950FE">
        <w:rPr>
          <w:noProof/>
        </w:rPr>
        <w:tab/>
      </w:r>
      <w:r w:rsidR="00AD332F">
        <w:rPr>
          <w:noProof/>
        </w:rPr>
        <w:t>Il convient que le soutien à la reconstitution du potentiel de production agricole et forestier à la suite de catastrophes naturelles donne la priorité aux opérations fondées sur le principe «Reconstruire en mieux», à savoir l’utilisation des phases de rétablissement, de réhabilitation et de reconstruction après une catastrophe afin d’accroître la résilience des secteurs agricole et forestier en intégrant des mesures de réduction des risques de catastrophe, comme indiqué dans le cadre de Sendai pour la réduction des risques de catastrophe 2015-2030 du Bureau des Nations unies pour la réduction des risques de catastrophe, tout en veillant à ce que les opérations retenues présentent le meilleur rapport entre le montant du soutien et l’objectif visant à assurer la résilience face aux catastrophes.</w:t>
      </w:r>
    </w:p>
    <w:p w:rsidR="00AD332F" w:rsidRDefault="00F950FE" w:rsidP="00F950FE">
      <w:pPr>
        <w:pStyle w:val="ManualConsidrant"/>
        <w:rPr>
          <w:noProof/>
        </w:rPr>
      </w:pPr>
      <w:r w:rsidRPr="00F950FE">
        <w:rPr>
          <w:noProof/>
        </w:rPr>
        <w:t>(14)</w:t>
      </w:r>
      <w:r w:rsidRPr="00F950FE">
        <w:rPr>
          <w:noProof/>
        </w:rPr>
        <w:tab/>
      </w:r>
      <w:r w:rsidR="00AD332F">
        <w:rPr>
          <w:noProof/>
        </w:rPr>
        <w:t>Afin de réduire la charge administrative des bénéficiaires touchés et des États membres lorsqu’ils appliquent le principe de «force majeure», les États membres devraient avoir la possibilité de considérer que l’ensemble de la zone a été affecté de façon importante par la catastrophe naturelle.</w:t>
      </w:r>
    </w:p>
    <w:p w:rsidR="00AD332F" w:rsidRDefault="00F950FE" w:rsidP="00F950FE">
      <w:pPr>
        <w:pStyle w:val="ManualConsidrant"/>
        <w:rPr>
          <w:noProof/>
        </w:rPr>
      </w:pPr>
      <w:r w:rsidRPr="00F950FE">
        <w:rPr>
          <w:noProof/>
        </w:rPr>
        <w:t>(15)</w:t>
      </w:r>
      <w:r w:rsidRPr="00F950FE">
        <w:rPr>
          <w:noProof/>
        </w:rPr>
        <w:tab/>
      </w:r>
      <w:r w:rsidR="00AD332F">
        <w:rPr>
          <w:noProof/>
        </w:rPr>
        <w:t>Afin d’assurer une mise en œuvre uniforme de la nouvelle mesure au moyen des programmes de développement rural dans le cadre juridique de la période de programmation 2014-2020, tel que prolongé par le règlement (UE) 2020/2220, il convient de conférer des compétences d’exécution à la Commission. Ces compétences devraient être exercées conformément au règlement (UE) nº 182/2011 du Parlement européen et du Conseil</w:t>
      </w:r>
      <w:r w:rsidR="00AD332F">
        <w:rPr>
          <w:rStyle w:val="FootnoteReference"/>
          <w:noProof/>
        </w:rPr>
        <w:footnoteReference w:id="7"/>
      </w:r>
      <w:r w:rsidR="00AD332F">
        <w:rPr>
          <w:noProof/>
        </w:rPr>
        <w:t>.</w:t>
      </w:r>
    </w:p>
    <w:p w:rsidR="00AD332F" w:rsidRPr="00074775" w:rsidRDefault="00F950FE" w:rsidP="00F950FE">
      <w:pPr>
        <w:pStyle w:val="ManualConsidrant"/>
        <w:rPr>
          <w:noProof/>
        </w:rPr>
      </w:pPr>
      <w:r w:rsidRPr="00F950FE">
        <w:rPr>
          <w:noProof/>
        </w:rPr>
        <w:t>(16)</w:t>
      </w:r>
      <w:r w:rsidRPr="00F950FE">
        <w:rPr>
          <w:noProof/>
        </w:rPr>
        <w:tab/>
      </w:r>
      <w:r w:rsidR="00AD332F">
        <w:rPr>
          <w:noProof/>
        </w:rPr>
        <w:t xml:space="preserve">Les compétences d’exécution de la Commission devraient porter sur la présentation de la nouvelle mesure dans les programmes de développement rural, le suivi et l’évaluation de la politique de développement rural, la présentation des rapports annuels d’exécution et la mise en œuvre des contrôles et des sanctions. </w:t>
      </w:r>
    </w:p>
    <w:p w:rsidR="00AD332F" w:rsidRDefault="00F950FE" w:rsidP="00F950FE">
      <w:pPr>
        <w:pStyle w:val="ManualConsidrant"/>
        <w:rPr>
          <w:noProof/>
        </w:rPr>
      </w:pPr>
      <w:r w:rsidRPr="00F950FE">
        <w:rPr>
          <w:noProof/>
        </w:rPr>
        <w:t>(17)</w:t>
      </w:r>
      <w:r w:rsidRPr="00F950FE">
        <w:rPr>
          <w:noProof/>
        </w:rPr>
        <w:tab/>
      </w:r>
      <w:r w:rsidR="00AD332F">
        <w:rPr>
          <w:noProof/>
        </w:rPr>
        <w:t xml:space="preserve">Il y a donc lieu de modifier le règlement (UE) 2020/2220 en conséquence. </w:t>
      </w:r>
    </w:p>
    <w:p w:rsidR="00AD332F" w:rsidRDefault="00F950FE" w:rsidP="00F950FE">
      <w:pPr>
        <w:pStyle w:val="ManualConsidrant"/>
        <w:rPr>
          <w:noProof/>
        </w:rPr>
      </w:pPr>
      <w:r w:rsidRPr="00F950FE">
        <w:rPr>
          <w:noProof/>
        </w:rPr>
        <w:t>(18)</w:t>
      </w:r>
      <w:r w:rsidRPr="00F950FE">
        <w:rPr>
          <w:noProof/>
        </w:rPr>
        <w:tab/>
      </w:r>
      <w:r w:rsidR="00AD332F">
        <w:rPr>
          <w:noProof/>
        </w:rPr>
        <w:t xml:space="preserve">Compte tenu des effets dévastateurs des catastrophes naturelles actuelles et de l’urgence d’y faire face et d’en atténuer les conséquences sur le secteur agroalimentaire et forestier de l’Union, il est jugé nécessaire de recourir à l’exception au délai de huit semaines visé à l’article 4 du protocole nº 1, annexé aux traités, sur le rôle des parlements nationaux dans l’Union. </w:t>
      </w:r>
    </w:p>
    <w:p w:rsidR="00AD332F" w:rsidRDefault="00F950FE" w:rsidP="00F950FE">
      <w:pPr>
        <w:pStyle w:val="ManualConsidrant"/>
        <w:rPr>
          <w:noProof/>
        </w:rPr>
      </w:pPr>
      <w:r w:rsidRPr="00F950FE">
        <w:rPr>
          <w:noProof/>
        </w:rPr>
        <w:t>(19)</w:t>
      </w:r>
      <w:r w:rsidRPr="00F950FE">
        <w:rPr>
          <w:noProof/>
        </w:rPr>
        <w:tab/>
      </w:r>
      <w:r w:rsidR="00AD332F">
        <w:rPr>
          <w:noProof/>
        </w:rPr>
        <w:t xml:space="preserve">Vu l’urgence de la situation liée aux catastrophes naturelles, il convient que le présent règlement entre en vigueur le jour de sa publication au </w:t>
      </w:r>
      <w:r w:rsidR="00AD332F">
        <w:rPr>
          <w:i/>
          <w:noProof/>
        </w:rPr>
        <w:t>Journal officiel de l’Union européenne</w:t>
      </w:r>
      <w:r w:rsidR="00AD332F">
        <w:rPr>
          <w:noProof/>
        </w:rPr>
        <w:t>,</w:t>
      </w:r>
    </w:p>
    <w:p w:rsidR="00AD332F" w:rsidRDefault="00AD332F" w:rsidP="00AD332F">
      <w:pPr>
        <w:rPr>
          <w:noProof/>
        </w:rPr>
      </w:pPr>
    </w:p>
    <w:p w:rsidR="00AD332F" w:rsidRPr="00F96E01" w:rsidRDefault="00AD332F" w:rsidP="00AD332F">
      <w:pPr>
        <w:pStyle w:val="Formuledadoption"/>
        <w:rPr>
          <w:noProof/>
        </w:rPr>
      </w:pPr>
      <w:r>
        <w:rPr>
          <w:noProof/>
        </w:rPr>
        <w:t>ONT ADOPTÉ LE PRÉSENT RÈGLEMENT:</w:t>
      </w:r>
    </w:p>
    <w:p w:rsidR="00AD332F" w:rsidRDefault="00AD332F" w:rsidP="00AD332F">
      <w:pPr>
        <w:pStyle w:val="Titrearticle"/>
        <w:rPr>
          <w:noProof/>
        </w:rPr>
      </w:pPr>
      <w:r>
        <w:rPr>
          <w:noProof/>
        </w:rPr>
        <w:t>Article premier</w:t>
      </w:r>
    </w:p>
    <w:p w:rsidR="00AD332F" w:rsidRPr="001731C4" w:rsidRDefault="00AD332F" w:rsidP="00AD332F">
      <w:pPr>
        <w:rPr>
          <w:noProof/>
          <w:szCs w:val="24"/>
        </w:rPr>
      </w:pPr>
      <w:r>
        <w:rPr>
          <w:noProof/>
          <w:color w:val="333333"/>
          <w:shd w:val="clear" w:color="auto" w:fill="FFFFFF"/>
        </w:rPr>
        <w:t>Le règlement (UE) 2020/2220 est modifié comme suit:</w:t>
      </w:r>
    </w:p>
    <w:p w:rsidR="00AD332F" w:rsidRPr="001A10F1" w:rsidRDefault="00F950FE" w:rsidP="00F950FE">
      <w:pPr>
        <w:pStyle w:val="Point0"/>
        <w:rPr>
          <w:noProof/>
        </w:rPr>
      </w:pPr>
      <w:r w:rsidRPr="00F950FE">
        <w:rPr>
          <w:noProof/>
        </w:rPr>
        <w:t>(1)</w:t>
      </w:r>
      <w:r w:rsidRPr="00F950FE">
        <w:rPr>
          <w:noProof/>
        </w:rPr>
        <w:tab/>
      </w:r>
      <w:r w:rsidR="00AD332F">
        <w:rPr>
          <w:noProof/>
        </w:rPr>
        <w:t>À l’article 1</w:t>
      </w:r>
      <w:r w:rsidR="00AD332F">
        <w:rPr>
          <w:noProof/>
          <w:vertAlign w:val="superscript"/>
        </w:rPr>
        <w:t>er</w:t>
      </w:r>
      <w:r w:rsidR="00AD332F">
        <w:rPr>
          <w:noProof/>
        </w:rPr>
        <w:t>, paragraphe 2, l’alinéa suivant est ajouté:</w:t>
      </w:r>
    </w:p>
    <w:p w:rsidR="00AD332F" w:rsidRPr="001A10F1" w:rsidRDefault="00AD332F" w:rsidP="00AD332F">
      <w:pPr>
        <w:pStyle w:val="Text1"/>
        <w:rPr>
          <w:noProof/>
        </w:rPr>
      </w:pPr>
      <w:r>
        <w:rPr>
          <w:noProof/>
        </w:rPr>
        <w:t xml:space="preserve">«Par dérogation au premier alinéa, deuxième phrase, du présent paragraphe, lorsqu’ils réaffectent et dépensent des fonds pour des mesures visées à l’article 6 </w:t>
      </w:r>
      <w:r>
        <w:rPr>
          <w:i/>
          <w:noProof/>
        </w:rPr>
        <w:t>bis</w:t>
      </w:r>
      <w:r>
        <w:rPr>
          <w:noProof/>
        </w:rPr>
        <w:t xml:space="preserve"> du présent règlement et à l’article 18, paragraphe 1, point b), du règlement (UE) nº 1305/2013, les États membres peuvent réduire la part globale de la participation du Feader réservée aux mesures visées à l’article 59, paragraphe 6, du règlement (UE) nº 1305/2013. Cette réduction ne dépasse pas les montants du Feader réaffectés aux mesures visées à l’article 6 </w:t>
      </w:r>
      <w:r>
        <w:rPr>
          <w:i/>
          <w:noProof/>
        </w:rPr>
        <w:t>bis</w:t>
      </w:r>
      <w:r>
        <w:rPr>
          <w:noProof/>
        </w:rPr>
        <w:t xml:space="preserve"> du présent règlement et à l’article 18, paragraphe 1, point b), du règlement (UE) nº 1305/2013 et n’excède pas 15 points de pourcentage de la part globale de la participation du Feader fixée dans les programmes de développement rural pour les mesures visées à l’article 59, paragraphe 6, du règlement (UE) nº 1305/2013. </w:t>
      </w:r>
      <w:bookmarkStart w:id="1" w:name="_Hlk179894641"/>
      <w:r>
        <w:rPr>
          <w:noProof/>
        </w:rPr>
        <w:t>À cette fin, il est tenu compte de la part globale de la participation du Feader fixée dans les programmes de développement rural comme prévu au moment de la prolongation de la durée des programmes soutenus par le Feader jusqu’au 31 décembre 2022, conformément à l’article 1</w:t>
      </w:r>
      <w:r>
        <w:rPr>
          <w:noProof/>
          <w:vertAlign w:val="superscript"/>
        </w:rPr>
        <w:t>er</w:t>
      </w:r>
      <w:r>
        <w:rPr>
          <w:noProof/>
        </w:rPr>
        <w:t>, paragraphe 2, du présent règlement.</w:t>
      </w:r>
      <w:bookmarkEnd w:id="1"/>
      <w:r>
        <w:rPr>
          <w:noProof/>
        </w:rPr>
        <w:t xml:space="preserve"> La part globale réservée aux mesures visées à l’article 59, paragraphe 6, du règlement (UE) nº 1305/2013 n’est pas inférieure au seuil minimal fixé audit article. La même diminution en points de pourcentage peut être appliquée aux ressources supplémentaires visées à l’article 58 </w:t>
      </w:r>
      <w:r>
        <w:rPr>
          <w:i/>
          <w:noProof/>
        </w:rPr>
        <w:t>bis</w:t>
      </w:r>
      <w:r>
        <w:rPr>
          <w:noProof/>
        </w:rPr>
        <w:t xml:space="preserve">, paragraphe 2, du règlement (UE) nº 1305/2013 sans réaffecter des fonds aux mesures visées à l’article 6 </w:t>
      </w:r>
      <w:r>
        <w:rPr>
          <w:i/>
          <w:noProof/>
        </w:rPr>
        <w:t>bis</w:t>
      </w:r>
      <w:r>
        <w:rPr>
          <w:noProof/>
        </w:rPr>
        <w:t xml:space="preserve"> du présent règlement et à l’article 18, paragraphe 1, point b), du règlement (UE) nº 1305/2013.». </w:t>
      </w:r>
    </w:p>
    <w:p w:rsidR="00AD332F" w:rsidRPr="001A10F1" w:rsidRDefault="00F950FE" w:rsidP="00F950FE">
      <w:pPr>
        <w:pStyle w:val="Point0"/>
        <w:rPr>
          <w:noProof/>
        </w:rPr>
      </w:pPr>
      <w:r w:rsidRPr="00F950FE">
        <w:rPr>
          <w:noProof/>
        </w:rPr>
        <w:t>(2)</w:t>
      </w:r>
      <w:r w:rsidRPr="00F950FE">
        <w:rPr>
          <w:noProof/>
        </w:rPr>
        <w:tab/>
      </w:r>
      <w:r w:rsidR="00AD332F">
        <w:rPr>
          <w:noProof/>
        </w:rPr>
        <w:t>À l’article 2, le paragraphe 5 suivant est ajouté:</w:t>
      </w:r>
    </w:p>
    <w:p w:rsidR="00AD332F" w:rsidRPr="001A10F1" w:rsidRDefault="00AD332F" w:rsidP="00AD332F">
      <w:pPr>
        <w:pStyle w:val="Text1"/>
        <w:rPr>
          <w:noProof/>
        </w:rPr>
      </w:pPr>
      <w:r>
        <w:rPr>
          <w:noProof/>
        </w:rPr>
        <w:t xml:space="preserve">«5. Par dérogation à l’article 65, paragraphe 6, du règlement (UE) nº 1303/2013, l’autorité de gestion peut retenir pour l’octroi d’un soutien des opérations qui ont été matériellement achevées ou totalement mises en œuvre avant la soumission d’une demande de financement à l’autorité de gestion, à condition que lesdites opérations aient été mises en œuvre au moyen de la mesure visée à l’article 6 </w:t>
      </w:r>
      <w:r>
        <w:rPr>
          <w:i/>
          <w:noProof/>
        </w:rPr>
        <w:t>bis</w:t>
      </w:r>
      <w:r>
        <w:rPr>
          <w:noProof/>
        </w:rPr>
        <w:t xml:space="preserve"> du présent règlement ainsi qu’à l’article 18, paragraphe 1, point b), ou à l’article 24, paragraphe 1, point d), du règlement (UE) nº 1305/2013 et qu’elles permettent de faire face à une catastrophe naturelle survenue à partir du 1</w:t>
      </w:r>
      <w:r>
        <w:rPr>
          <w:noProof/>
          <w:vertAlign w:val="superscript"/>
        </w:rPr>
        <w:t>er</w:t>
      </w:r>
      <w:r>
        <w:rPr>
          <w:noProof/>
        </w:rPr>
        <w:t xml:space="preserve"> janvier 2024.».</w:t>
      </w:r>
    </w:p>
    <w:p w:rsidR="00AD332F" w:rsidRPr="001A10F1" w:rsidRDefault="00F950FE" w:rsidP="00F950FE">
      <w:pPr>
        <w:pStyle w:val="Point0"/>
        <w:rPr>
          <w:noProof/>
        </w:rPr>
      </w:pPr>
      <w:r w:rsidRPr="00F950FE">
        <w:rPr>
          <w:noProof/>
        </w:rPr>
        <w:t>(3)</w:t>
      </w:r>
      <w:r w:rsidRPr="00F950FE">
        <w:rPr>
          <w:noProof/>
        </w:rPr>
        <w:tab/>
      </w:r>
      <w:r w:rsidR="00AD332F">
        <w:rPr>
          <w:noProof/>
        </w:rPr>
        <w:t>Les articles suivants sont insérés:</w:t>
      </w:r>
    </w:p>
    <w:p w:rsidR="00AD332F" w:rsidRDefault="00AD332F" w:rsidP="00AD332F">
      <w:pPr>
        <w:pStyle w:val="Titrearticle"/>
        <w:rPr>
          <w:noProof/>
        </w:rPr>
      </w:pPr>
      <w:r>
        <w:rPr>
          <w:noProof/>
        </w:rPr>
        <w:t>«Article 6 </w:t>
      </w:r>
      <w:r>
        <w:rPr>
          <w:i w:val="0"/>
          <w:noProof/>
        </w:rPr>
        <w:t>bis</w:t>
      </w:r>
    </w:p>
    <w:p w:rsidR="00AD332F" w:rsidRPr="00CB4DC5" w:rsidRDefault="00AD332F" w:rsidP="00AD332F">
      <w:pPr>
        <w:jc w:val="center"/>
        <w:rPr>
          <w:b/>
          <w:i/>
          <w:noProof/>
        </w:rPr>
      </w:pPr>
      <w:r>
        <w:rPr>
          <w:b/>
          <w:i/>
          <w:noProof/>
        </w:rPr>
        <w:t>Soutien temporaire exceptionnel aux agriculteurs, aux exploitants forestiers et aux PME particulièrement touchés par des catastrophes naturelles</w:t>
      </w:r>
    </w:p>
    <w:p w:rsidR="00AD332F" w:rsidRPr="00AD332F" w:rsidRDefault="00AD332F" w:rsidP="00AD332F">
      <w:pPr>
        <w:jc w:val="center"/>
        <w:rPr>
          <w:noProof/>
          <w:lang w:val="fr-BE"/>
        </w:rPr>
      </w:pPr>
    </w:p>
    <w:p w:rsidR="00AD332F" w:rsidRPr="003504B1" w:rsidRDefault="00F950FE" w:rsidP="00F950FE">
      <w:pPr>
        <w:pStyle w:val="ManualNumPar1"/>
        <w:rPr>
          <w:noProof/>
        </w:rPr>
      </w:pPr>
      <w:r w:rsidRPr="00F950FE">
        <w:rPr>
          <w:noProof/>
        </w:rPr>
        <w:t>1.</w:t>
      </w:r>
      <w:r w:rsidRPr="00F950FE">
        <w:rPr>
          <w:noProof/>
        </w:rPr>
        <w:tab/>
      </w:r>
      <w:r w:rsidR="00AD332F">
        <w:rPr>
          <w:noProof/>
        </w:rPr>
        <w:t xml:space="preserve">Le soutien apporté au titre de la présente mesure consiste en une aide d’urgence aux agriculteurs, aux exploitants forestiers et aux PME particulièrement touchés par des catastrophes naturelles afin de garantir la continuité de leurs activités, sous réserve des conditions fixées au présent article. </w:t>
      </w:r>
    </w:p>
    <w:p w:rsidR="00AD332F" w:rsidRPr="003504B1" w:rsidRDefault="00F950FE" w:rsidP="00F950FE">
      <w:pPr>
        <w:pStyle w:val="ManualNumPar1"/>
        <w:rPr>
          <w:noProof/>
        </w:rPr>
      </w:pPr>
      <w:r w:rsidRPr="00F950FE">
        <w:rPr>
          <w:noProof/>
        </w:rPr>
        <w:t>2.</w:t>
      </w:r>
      <w:r w:rsidRPr="00F950FE">
        <w:rPr>
          <w:noProof/>
        </w:rPr>
        <w:tab/>
      </w:r>
      <w:r w:rsidR="00AD332F">
        <w:rPr>
          <w:noProof/>
        </w:rPr>
        <w:t>Le soutien au titre de la présente mesure est subordonné à la reconnaissance formelle par les autorités publiques compétentes des États membres qu’une catastrophe naturelle au sens de l’article 2, paragraphe 1, point k), du règlement (UE) nº 1305/2013 est survenue à partir du 1</w:t>
      </w:r>
      <w:r w:rsidR="00AD332F">
        <w:rPr>
          <w:noProof/>
          <w:vertAlign w:val="superscript"/>
        </w:rPr>
        <w:t>er</w:t>
      </w:r>
      <w:r w:rsidR="00AD332F">
        <w:rPr>
          <w:noProof/>
        </w:rPr>
        <w:t xml:space="preserve"> janvier 2024 et que cette catastrophe ou les mesures adoptées conformément au règlement (UE) 2016/2031* pour éradiquer ou contenir une pathologie végétale ou une infestation parasitaire ont entraîné la destruction d’au moins 30 % du potentiel de production concerné.</w:t>
      </w:r>
    </w:p>
    <w:p w:rsidR="00AD332F" w:rsidRPr="003504B1" w:rsidRDefault="00F950FE" w:rsidP="00F950FE">
      <w:pPr>
        <w:pStyle w:val="ManualNumPar1"/>
        <w:rPr>
          <w:noProof/>
        </w:rPr>
      </w:pPr>
      <w:r w:rsidRPr="00F950FE">
        <w:rPr>
          <w:noProof/>
        </w:rPr>
        <w:t>3.</w:t>
      </w:r>
      <w:r w:rsidRPr="00F950FE">
        <w:rPr>
          <w:noProof/>
        </w:rPr>
        <w:tab/>
      </w:r>
      <w:r w:rsidR="00AD332F">
        <w:rPr>
          <w:noProof/>
        </w:rPr>
        <w:t xml:space="preserve">Le soutien est octroyé </w:t>
      </w:r>
    </w:p>
    <w:p w:rsidR="00AD332F" w:rsidRPr="00A117BD" w:rsidRDefault="00F950FE" w:rsidP="00F950FE">
      <w:pPr>
        <w:pStyle w:val="Point1"/>
        <w:rPr>
          <w:noProof/>
        </w:rPr>
      </w:pPr>
      <w:r w:rsidRPr="00F950FE">
        <w:rPr>
          <w:noProof/>
        </w:rPr>
        <w:t>(a)</w:t>
      </w:r>
      <w:r w:rsidRPr="00F950FE">
        <w:rPr>
          <w:noProof/>
        </w:rPr>
        <w:tab/>
      </w:r>
      <w:r w:rsidR="00AD332F">
        <w:rPr>
          <w:noProof/>
        </w:rPr>
        <w:t xml:space="preserve">aux agriculteurs; </w:t>
      </w:r>
    </w:p>
    <w:p w:rsidR="00AD332F" w:rsidRPr="00A117BD" w:rsidRDefault="00F950FE" w:rsidP="00F950FE">
      <w:pPr>
        <w:pStyle w:val="Point1"/>
        <w:rPr>
          <w:noProof/>
        </w:rPr>
      </w:pPr>
      <w:r w:rsidRPr="00F950FE">
        <w:rPr>
          <w:noProof/>
        </w:rPr>
        <w:t>(b)</w:t>
      </w:r>
      <w:r w:rsidRPr="00F950FE">
        <w:rPr>
          <w:noProof/>
        </w:rPr>
        <w:tab/>
      </w:r>
      <w:r w:rsidR="00AD332F">
        <w:rPr>
          <w:noProof/>
        </w:rPr>
        <w:t xml:space="preserve">aux exploitants forestiers privés et publics et à d’autres organismes privés et publics et à leurs associations, à l’exclusion des forêts appartenant à l’État et gérées par lui; </w:t>
      </w:r>
    </w:p>
    <w:p w:rsidR="00AD332F" w:rsidRPr="00A117BD" w:rsidRDefault="00F950FE" w:rsidP="00F950FE">
      <w:pPr>
        <w:pStyle w:val="Point1"/>
        <w:rPr>
          <w:noProof/>
        </w:rPr>
      </w:pPr>
      <w:r w:rsidRPr="00F950FE">
        <w:rPr>
          <w:noProof/>
        </w:rPr>
        <w:t>(c)</w:t>
      </w:r>
      <w:r w:rsidRPr="00F950FE">
        <w:rPr>
          <w:noProof/>
        </w:rPr>
        <w:tab/>
      </w:r>
      <w:r w:rsidR="00AD332F">
        <w:rPr>
          <w:noProof/>
        </w:rPr>
        <w:t xml:space="preserve">aux PME exerçant des activités de transformation, de commercialisation ou de développement des produits agricoles relevant de l'annexe I du traité sur le fonctionnement de l'Union européenne (TFUE) ou du coton, à l'exclusion des produits de la pêche; ou </w:t>
      </w:r>
    </w:p>
    <w:p w:rsidR="00AD332F" w:rsidRPr="00A117BD" w:rsidRDefault="00F950FE" w:rsidP="00F950FE">
      <w:pPr>
        <w:pStyle w:val="Point1"/>
        <w:rPr>
          <w:noProof/>
        </w:rPr>
      </w:pPr>
      <w:r w:rsidRPr="00F950FE">
        <w:rPr>
          <w:noProof/>
        </w:rPr>
        <w:t>(d)</w:t>
      </w:r>
      <w:r w:rsidRPr="00F950FE">
        <w:rPr>
          <w:noProof/>
        </w:rPr>
        <w:tab/>
      </w:r>
      <w:r w:rsidR="00AD332F">
        <w:rPr>
          <w:noProof/>
        </w:rPr>
        <w:t xml:space="preserve">aux PME exerçant des activités de transformation, de mobilisation et de commercialisation des produits forestiers. </w:t>
      </w:r>
    </w:p>
    <w:p w:rsidR="00AD332F" w:rsidRPr="003504B1" w:rsidRDefault="00AD332F" w:rsidP="00AD332F">
      <w:pPr>
        <w:pStyle w:val="Text1"/>
        <w:rPr>
          <w:noProof/>
        </w:rPr>
      </w:pPr>
      <w:r>
        <w:rPr>
          <w:noProof/>
        </w:rPr>
        <w:t>En ce qui concerne la transformation des produits agricoles, le résultat du processus de production peut être un produit ne relevant pas de l’annexe I du TFUE.</w:t>
      </w:r>
    </w:p>
    <w:p w:rsidR="00AD332F" w:rsidRPr="003504B1" w:rsidRDefault="00F950FE" w:rsidP="00F950FE">
      <w:pPr>
        <w:pStyle w:val="ManualNumPar1"/>
        <w:rPr>
          <w:noProof/>
        </w:rPr>
      </w:pPr>
      <w:r w:rsidRPr="00F950FE">
        <w:rPr>
          <w:noProof/>
        </w:rPr>
        <w:t>4.</w:t>
      </w:r>
      <w:r w:rsidRPr="00F950FE">
        <w:rPr>
          <w:noProof/>
        </w:rPr>
        <w:tab/>
      </w:r>
      <w:r w:rsidR="00AD332F">
        <w:rPr>
          <w:noProof/>
        </w:rPr>
        <w:t xml:space="preserve">Les États membres destinent ce soutien aux bénéficiaires les plus touchés, en déterminant les conditions d’admissibilité sur la base des éléments probants disponibles. </w:t>
      </w:r>
    </w:p>
    <w:p w:rsidR="00AD332F" w:rsidRDefault="00F950FE" w:rsidP="00F950FE">
      <w:pPr>
        <w:pStyle w:val="ManualNumPar1"/>
        <w:rPr>
          <w:noProof/>
        </w:rPr>
      </w:pPr>
      <w:r w:rsidRPr="00F950FE">
        <w:rPr>
          <w:noProof/>
        </w:rPr>
        <w:t>5.</w:t>
      </w:r>
      <w:r w:rsidRPr="00F950FE">
        <w:rPr>
          <w:noProof/>
        </w:rPr>
        <w:tab/>
      </w:r>
      <w:r w:rsidR="00AD332F">
        <w:rPr>
          <w:noProof/>
        </w:rPr>
        <w:t xml:space="preserve">Le soutien prend la forme d’un paiement forfaitaire à verser au plus tard le 31 décembre 2025, sur la base des demandes de soutien approuvées par l’autorité compétente au plus tard le 30 juin 2025. Le niveau de paiement peut être différencié selon les catégories de bénéficiaires, conformément à des critères objectifs et non discriminatoires. </w:t>
      </w:r>
    </w:p>
    <w:p w:rsidR="00AD332F" w:rsidRDefault="00F950FE" w:rsidP="00F950FE">
      <w:pPr>
        <w:pStyle w:val="ManualNumPar1"/>
        <w:rPr>
          <w:noProof/>
        </w:rPr>
      </w:pPr>
      <w:r w:rsidRPr="00F950FE">
        <w:rPr>
          <w:noProof/>
        </w:rPr>
        <w:t>6.</w:t>
      </w:r>
      <w:r w:rsidRPr="00F950FE">
        <w:rPr>
          <w:noProof/>
        </w:rPr>
        <w:tab/>
      </w:r>
      <w:r w:rsidR="00AD332F">
        <w:rPr>
          <w:noProof/>
        </w:rPr>
        <w:t xml:space="preserve">Le montant maximal du soutien ne dépasse pas 42 000 EUR par bénéficiaire. </w:t>
      </w:r>
    </w:p>
    <w:p w:rsidR="00AD332F" w:rsidRDefault="00F950FE" w:rsidP="00F950FE">
      <w:pPr>
        <w:pStyle w:val="ManualNumPar1"/>
        <w:rPr>
          <w:noProof/>
        </w:rPr>
      </w:pPr>
      <w:r w:rsidRPr="00F950FE">
        <w:rPr>
          <w:noProof/>
        </w:rPr>
        <w:t>7.</w:t>
      </w:r>
      <w:r w:rsidRPr="00F950FE">
        <w:rPr>
          <w:noProof/>
        </w:rPr>
        <w:tab/>
      </w:r>
      <w:r w:rsidR="00AD332F">
        <w:rPr>
          <w:noProof/>
        </w:rPr>
        <w:t>Lorsqu’ils accordent un soutien au titre du présent article, les États membres tiennent compte de l’aide octroyée au titre d’autres instruments nationaux ou de l’Union ou bien de régimes privés en vue de faire face aux conséquences des catastrophes naturelles, afin de garantir une bonne gestion financière conformément à l’article 33 du règlement (UE, Euratom) 2018/1046, tout en destinant ce soutien aux bénéficiaires les plus touchés.</w:t>
      </w:r>
    </w:p>
    <w:p w:rsidR="00AD332F" w:rsidRDefault="00AD332F" w:rsidP="00AD332F">
      <w:pPr>
        <w:pStyle w:val="Titrearticle"/>
        <w:rPr>
          <w:noProof/>
        </w:rPr>
      </w:pPr>
      <w:r>
        <w:rPr>
          <w:noProof/>
        </w:rPr>
        <w:t xml:space="preserve">Article 6 </w:t>
      </w:r>
      <w:r>
        <w:rPr>
          <w:i w:val="0"/>
          <w:noProof/>
        </w:rPr>
        <w:t>ter</w:t>
      </w:r>
    </w:p>
    <w:p w:rsidR="00AD332F" w:rsidRPr="00CB4DC5" w:rsidRDefault="00AD332F" w:rsidP="00AD332F">
      <w:pPr>
        <w:jc w:val="center"/>
        <w:rPr>
          <w:b/>
          <w:i/>
          <w:noProof/>
        </w:rPr>
      </w:pPr>
      <w:r>
        <w:rPr>
          <w:b/>
          <w:i/>
          <w:noProof/>
        </w:rPr>
        <w:t>Dispositions applicables au soutien temporaire exceptionnel aux agriculteurs, aux exploitants forestiers et aux PME particulièrement touchés par des catastrophes naturelles</w:t>
      </w:r>
    </w:p>
    <w:p w:rsidR="00AD332F" w:rsidRPr="004D36E4" w:rsidRDefault="00F950FE" w:rsidP="00F950FE">
      <w:pPr>
        <w:pStyle w:val="ManualNumPar1"/>
        <w:rPr>
          <w:noProof/>
        </w:rPr>
      </w:pPr>
      <w:r w:rsidRPr="00F950FE">
        <w:rPr>
          <w:noProof/>
        </w:rPr>
        <w:t>1.</w:t>
      </w:r>
      <w:r w:rsidRPr="00F950FE">
        <w:rPr>
          <w:noProof/>
        </w:rPr>
        <w:tab/>
      </w:r>
      <w:r w:rsidR="00AD332F">
        <w:rPr>
          <w:noProof/>
        </w:rPr>
        <w:t xml:space="preserve">Le soutien temporaire exceptionnel visé à l’article 6 </w:t>
      </w:r>
      <w:r w:rsidR="00AD332F">
        <w:rPr>
          <w:i/>
          <w:noProof/>
        </w:rPr>
        <w:t>bis</w:t>
      </w:r>
      <w:r w:rsidR="00AD332F">
        <w:rPr>
          <w:noProof/>
        </w:rPr>
        <w:t xml:space="preserve"> du présent règlement est financé par le Feader en tant que mesure au sens de l’article 13 du règlement (UE) nº 1305/2013. </w:t>
      </w:r>
    </w:p>
    <w:p w:rsidR="00AD332F" w:rsidRPr="00E256A7" w:rsidRDefault="00F950FE" w:rsidP="00F950FE">
      <w:pPr>
        <w:pStyle w:val="ManualNumPar1"/>
        <w:rPr>
          <w:noProof/>
        </w:rPr>
      </w:pPr>
      <w:r w:rsidRPr="00F950FE">
        <w:rPr>
          <w:noProof/>
        </w:rPr>
        <w:t>2.</w:t>
      </w:r>
      <w:r w:rsidRPr="00F950FE">
        <w:rPr>
          <w:noProof/>
        </w:rPr>
        <w:tab/>
      </w:r>
      <w:r w:rsidR="00AD332F">
        <w:rPr>
          <w:noProof/>
        </w:rPr>
        <w:t xml:space="preserve">La participation maximale du Feader à la mesure visée à l’article 6 </w:t>
      </w:r>
      <w:r w:rsidR="00AD332F">
        <w:rPr>
          <w:i/>
          <w:noProof/>
        </w:rPr>
        <w:t>bis</w:t>
      </w:r>
      <w:r w:rsidR="00AD332F">
        <w:rPr>
          <w:noProof/>
        </w:rPr>
        <w:t xml:space="preserve"> du présent règlement est de 100 %. </w:t>
      </w:r>
    </w:p>
    <w:p w:rsidR="00AD332F" w:rsidRPr="0033783A" w:rsidRDefault="00F950FE" w:rsidP="00F950FE">
      <w:pPr>
        <w:pStyle w:val="ManualNumPar1"/>
        <w:rPr>
          <w:noProof/>
        </w:rPr>
      </w:pPr>
      <w:r w:rsidRPr="00F950FE">
        <w:rPr>
          <w:noProof/>
        </w:rPr>
        <w:t>3.</w:t>
      </w:r>
      <w:r w:rsidRPr="00F950FE">
        <w:rPr>
          <w:noProof/>
        </w:rPr>
        <w:tab/>
      </w:r>
      <w:r w:rsidR="00AD332F">
        <w:rPr>
          <w:noProof/>
        </w:rPr>
        <w:t>Le soutien prévu pour cette mesure ne dépasse pas 10 % de la participation totale du Feader au programme de développement rural pour les années 2021-2022.</w:t>
      </w:r>
    </w:p>
    <w:p w:rsidR="00AD332F" w:rsidRPr="00CB4DC5" w:rsidRDefault="00AD332F" w:rsidP="00AD332F">
      <w:pPr>
        <w:pStyle w:val="Titrearticle"/>
        <w:rPr>
          <w:noProof/>
        </w:rPr>
      </w:pPr>
      <w:r>
        <w:rPr>
          <w:noProof/>
        </w:rPr>
        <w:t xml:space="preserve">Article 6 </w:t>
      </w:r>
      <w:r>
        <w:rPr>
          <w:i w:val="0"/>
          <w:noProof/>
        </w:rPr>
        <w:t>quater</w:t>
      </w:r>
    </w:p>
    <w:p w:rsidR="00AD332F" w:rsidRPr="00CB4DC5" w:rsidRDefault="00AD332F" w:rsidP="00AD332F">
      <w:pPr>
        <w:jc w:val="center"/>
        <w:rPr>
          <w:b/>
          <w:i/>
          <w:noProof/>
        </w:rPr>
      </w:pPr>
      <w:r>
        <w:rPr>
          <w:b/>
          <w:i/>
          <w:noProof/>
        </w:rPr>
        <w:t>Cas de force majeure</w:t>
      </w:r>
    </w:p>
    <w:p w:rsidR="00AD332F" w:rsidRPr="008E06C9" w:rsidRDefault="00AD332F" w:rsidP="00AD332F">
      <w:pPr>
        <w:rPr>
          <w:noProof/>
        </w:rPr>
      </w:pPr>
      <w:r>
        <w:rPr>
          <w:noProof/>
        </w:rPr>
        <w:t>En ce qui concerne la mise en œuvre du règlement (UE) nº 1306/2013 aux fins du financement, de la gestion et du suivi de la PAC en cas d’application du principe de force majeure, tel que visé à l’article 2, paragraphe 2, dudit règlement, lorsqu’une catastrophe naturelle grave affecte de façon importante une zone bien déterminée, l’État membre concerné peut considérer que l’ensemble de cette zone est affecté de façon importante par ladite catastrophe ou ledit événement.</w:t>
      </w:r>
    </w:p>
    <w:p w:rsidR="00AD332F" w:rsidRDefault="00AD332F" w:rsidP="00AD332F">
      <w:pPr>
        <w:pStyle w:val="Titrearticle"/>
        <w:rPr>
          <w:noProof/>
        </w:rPr>
      </w:pPr>
      <w:r>
        <w:rPr>
          <w:noProof/>
        </w:rPr>
        <w:t xml:space="preserve">Article 6 </w:t>
      </w:r>
      <w:r>
        <w:rPr>
          <w:i w:val="0"/>
          <w:noProof/>
        </w:rPr>
        <w:t>quinquies</w:t>
      </w:r>
    </w:p>
    <w:p w:rsidR="00AD332F" w:rsidRPr="00CB4DC5" w:rsidRDefault="00AD332F" w:rsidP="00AD332F">
      <w:pPr>
        <w:jc w:val="center"/>
        <w:rPr>
          <w:b/>
          <w:i/>
          <w:noProof/>
        </w:rPr>
      </w:pPr>
      <w:r>
        <w:rPr>
          <w:b/>
          <w:i/>
          <w:noProof/>
        </w:rPr>
        <w:t>Compétences de la Commission</w:t>
      </w:r>
    </w:p>
    <w:p w:rsidR="00AD332F" w:rsidRDefault="00F950FE" w:rsidP="00F950FE">
      <w:pPr>
        <w:pStyle w:val="ManualNumPar1"/>
        <w:rPr>
          <w:noProof/>
        </w:rPr>
      </w:pPr>
      <w:r w:rsidRPr="00F950FE">
        <w:rPr>
          <w:noProof/>
        </w:rPr>
        <w:t>1.</w:t>
      </w:r>
      <w:r w:rsidRPr="00F950FE">
        <w:rPr>
          <w:noProof/>
        </w:rPr>
        <w:tab/>
      </w:r>
      <w:r w:rsidR="00AD332F">
        <w:rPr>
          <w:noProof/>
        </w:rPr>
        <w:t xml:space="preserve">La Commission peut adopter des actes d’exécution établissant les règles nécessaires à la mise en œuvre de la mesure visée à l’article 6 </w:t>
      </w:r>
      <w:r w:rsidR="00AD332F">
        <w:rPr>
          <w:i/>
          <w:noProof/>
        </w:rPr>
        <w:t>bis</w:t>
      </w:r>
      <w:r w:rsidR="00AD332F">
        <w:rPr>
          <w:noProof/>
        </w:rPr>
        <w:t xml:space="preserve"> du présent règlement au moyen de programmes de développement rural dans le cadre juridique applicable au cours de la période de programmation 2014-2020, </w:t>
      </w:r>
      <w:bookmarkStart w:id="2" w:name="_Hlk179895015"/>
      <w:r w:rsidR="00AD332F">
        <w:rPr>
          <w:noProof/>
        </w:rPr>
        <w:t>prolongée conformément à l’article 1</w:t>
      </w:r>
      <w:r w:rsidR="00AD332F">
        <w:rPr>
          <w:noProof/>
          <w:vertAlign w:val="superscript"/>
        </w:rPr>
        <w:t>er</w:t>
      </w:r>
      <w:r w:rsidR="00AD332F">
        <w:rPr>
          <w:noProof/>
        </w:rPr>
        <w:t xml:space="preserve"> en ce qui concerne:</w:t>
      </w:r>
      <w:bookmarkEnd w:id="2"/>
    </w:p>
    <w:p w:rsidR="00AD332F" w:rsidRDefault="00F950FE" w:rsidP="00F950FE">
      <w:pPr>
        <w:pStyle w:val="Point1"/>
        <w:rPr>
          <w:noProof/>
        </w:rPr>
      </w:pPr>
      <w:r w:rsidRPr="00F950FE">
        <w:rPr>
          <w:noProof/>
        </w:rPr>
        <w:t>(a)</w:t>
      </w:r>
      <w:r w:rsidRPr="00F950FE">
        <w:rPr>
          <w:noProof/>
        </w:rPr>
        <w:tab/>
      </w:r>
      <w:r w:rsidR="00AD332F">
        <w:rPr>
          <w:noProof/>
        </w:rPr>
        <w:t>le suivi et l’évaluation de la politique de développement rural;</w:t>
      </w:r>
    </w:p>
    <w:p w:rsidR="00AD332F" w:rsidRDefault="00F950FE" w:rsidP="00F950FE">
      <w:pPr>
        <w:pStyle w:val="Point1"/>
        <w:rPr>
          <w:noProof/>
        </w:rPr>
      </w:pPr>
      <w:r w:rsidRPr="00F950FE">
        <w:rPr>
          <w:noProof/>
        </w:rPr>
        <w:t>(b)</w:t>
      </w:r>
      <w:r w:rsidRPr="00F950FE">
        <w:rPr>
          <w:noProof/>
        </w:rPr>
        <w:tab/>
      </w:r>
      <w:r w:rsidR="00AD332F">
        <w:rPr>
          <w:noProof/>
        </w:rPr>
        <w:t>les règles relatives à la présentation des programmes de développement rural;</w:t>
      </w:r>
    </w:p>
    <w:p w:rsidR="00AD332F" w:rsidRDefault="00F950FE" w:rsidP="00F950FE">
      <w:pPr>
        <w:pStyle w:val="Point1"/>
        <w:rPr>
          <w:noProof/>
        </w:rPr>
      </w:pPr>
      <w:r w:rsidRPr="00F950FE">
        <w:rPr>
          <w:noProof/>
        </w:rPr>
        <w:t>(c)</w:t>
      </w:r>
      <w:r w:rsidRPr="00F950FE">
        <w:rPr>
          <w:noProof/>
        </w:rPr>
        <w:tab/>
      </w:r>
      <w:r w:rsidR="00AD332F">
        <w:rPr>
          <w:noProof/>
        </w:rPr>
        <w:t>la présentation des rapports annuels de mise en œuvre;</w:t>
      </w:r>
    </w:p>
    <w:p w:rsidR="00AD332F" w:rsidRDefault="00F950FE" w:rsidP="00F950FE">
      <w:pPr>
        <w:pStyle w:val="Point1"/>
        <w:rPr>
          <w:noProof/>
        </w:rPr>
      </w:pPr>
      <w:r w:rsidRPr="00F950FE">
        <w:rPr>
          <w:noProof/>
        </w:rPr>
        <w:t>(d)</w:t>
      </w:r>
      <w:r w:rsidRPr="00F950FE">
        <w:rPr>
          <w:noProof/>
        </w:rPr>
        <w:tab/>
      </w:r>
      <w:r w:rsidR="00AD332F">
        <w:rPr>
          <w:noProof/>
        </w:rPr>
        <w:t>la mise en œuvre des contrôles et des sanctions.</w:t>
      </w:r>
    </w:p>
    <w:p w:rsidR="00AD332F" w:rsidRPr="0033783A" w:rsidRDefault="00F950FE" w:rsidP="00F950FE">
      <w:pPr>
        <w:pStyle w:val="ManualNumPar1"/>
        <w:rPr>
          <w:noProof/>
        </w:rPr>
      </w:pPr>
      <w:r w:rsidRPr="00F950FE">
        <w:rPr>
          <w:noProof/>
        </w:rPr>
        <w:t>2.</w:t>
      </w:r>
      <w:r w:rsidRPr="00F950FE">
        <w:rPr>
          <w:noProof/>
        </w:rPr>
        <w:tab/>
      </w:r>
      <w:r w:rsidR="00AD332F">
        <w:rPr>
          <w:noProof/>
        </w:rPr>
        <w:t>Les actes d’exécution visés au paragraphe 1 du présent article sont adoptés conformément à la procédure d’examen visée à l’article 5, du règlement (UE) nº 182/2011 du Parlement européen et du Conseil**.</w:t>
      </w:r>
    </w:p>
    <w:p w:rsidR="00AD332F" w:rsidRDefault="00AD332F" w:rsidP="00AD332F">
      <w:pPr>
        <w:numPr>
          <w:ilvl w:val="3"/>
          <w:numId w:val="0"/>
        </w:numPr>
        <w:rPr>
          <w:noProof/>
        </w:rPr>
      </w:pPr>
    </w:p>
    <w:p w:rsidR="00AD332F" w:rsidRDefault="00AD332F" w:rsidP="00AD332F">
      <w:pPr>
        <w:pStyle w:val="Titrearticle"/>
        <w:rPr>
          <w:noProof/>
        </w:rPr>
      </w:pPr>
      <w:r>
        <w:rPr>
          <w:noProof/>
        </w:rPr>
        <w:t xml:space="preserve">Article 6 </w:t>
      </w:r>
      <w:r>
        <w:rPr>
          <w:i w:val="0"/>
          <w:noProof/>
        </w:rPr>
        <w:t>sexies</w:t>
      </w:r>
    </w:p>
    <w:p w:rsidR="00AD332F" w:rsidRPr="00CB4DC5" w:rsidRDefault="00AD332F" w:rsidP="00AD332F">
      <w:pPr>
        <w:jc w:val="center"/>
        <w:rPr>
          <w:b/>
          <w:i/>
          <w:noProof/>
        </w:rPr>
      </w:pPr>
      <w:r>
        <w:rPr>
          <w:b/>
          <w:i/>
          <w:noProof/>
        </w:rPr>
        <w:t xml:space="preserve">Procédure de comité </w:t>
      </w:r>
    </w:p>
    <w:p w:rsidR="00AD332F" w:rsidRDefault="00F950FE" w:rsidP="00F950FE">
      <w:pPr>
        <w:pStyle w:val="ManualNumPar1"/>
        <w:rPr>
          <w:noProof/>
        </w:rPr>
      </w:pPr>
      <w:r w:rsidRPr="00F950FE">
        <w:rPr>
          <w:noProof/>
        </w:rPr>
        <w:t>1.</w:t>
      </w:r>
      <w:r w:rsidRPr="00F950FE">
        <w:rPr>
          <w:noProof/>
        </w:rPr>
        <w:tab/>
      </w:r>
      <w:r w:rsidR="00AD332F">
        <w:rPr>
          <w:noProof/>
        </w:rPr>
        <w:t xml:space="preserve">Dans l’exercice des compétences qui lui sont conférées conformément à l’article 6 </w:t>
      </w:r>
      <w:r w:rsidR="00AD332F">
        <w:rPr>
          <w:i/>
          <w:noProof/>
        </w:rPr>
        <w:t>quinquies</w:t>
      </w:r>
      <w:r w:rsidR="00AD332F">
        <w:rPr>
          <w:noProof/>
        </w:rPr>
        <w:t>, paragraphe 1, points a), b) et c), du présent règlement, la Commission est assistée par le “comité pour le développement rural” institué par l’article 84 du règlement (UE) nº 1305/2013.</w:t>
      </w:r>
    </w:p>
    <w:p w:rsidR="00AD332F" w:rsidRDefault="00F950FE" w:rsidP="00F950FE">
      <w:pPr>
        <w:pStyle w:val="ManualNumPar1"/>
        <w:rPr>
          <w:noProof/>
        </w:rPr>
      </w:pPr>
      <w:r w:rsidRPr="00F950FE">
        <w:rPr>
          <w:noProof/>
        </w:rPr>
        <w:t>2.</w:t>
      </w:r>
      <w:r w:rsidRPr="00F950FE">
        <w:rPr>
          <w:noProof/>
        </w:rPr>
        <w:tab/>
      </w:r>
      <w:r w:rsidR="00AD332F">
        <w:rPr>
          <w:noProof/>
        </w:rPr>
        <w:t xml:space="preserve">Dans l’exercice des compétences qui lui sont conférées conformément à l’article 6 </w:t>
      </w:r>
      <w:r w:rsidR="00AD332F">
        <w:rPr>
          <w:i/>
          <w:iCs/>
          <w:noProof/>
        </w:rPr>
        <w:t>quinquies</w:t>
      </w:r>
      <w:r w:rsidR="00AD332F">
        <w:rPr>
          <w:noProof/>
        </w:rPr>
        <w:t xml:space="preserve">, paragraphe 1, point d), du présent règlement, la Commission est assistée par le “comité des Fonds agricoles” institué par l’article 103, paragraphe 1, du règlement (UE) 2021/2116 du Parlement européen et du Conseil***. </w:t>
      </w:r>
    </w:p>
    <w:p w:rsidR="00AD332F" w:rsidRPr="00EA2EB1" w:rsidRDefault="00AD332F" w:rsidP="00AD332F">
      <w:pPr>
        <w:rPr>
          <w:noProof/>
        </w:rPr>
      </w:pPr>
    </w:p>
    <w:p w:rsidR="00AD332F" w:rsidRPr="009051ED" w:rsidRDefault="00AD332F" w:rsidP="00AD332F">
      <w:pPr>
        <w:rPr>
          <w:noProof/>
        </w:rPr>
      </w:pPr>
      <w:r>
        <w:rPr>
          <w:noProof/>
        </w:rPr>
        <w:t xml:space="preserve">* Règlement (UE) 2016/2031 du Parlement européen et du Conseil du 26 octobre 2016 relatif aux mesures de protection contre les organismes nuisibles aux végétaux, modifiant les règlements du Parlement européen et du Conseil (UE) n° 228/2013, (UE) n° 652/2014 et (UE) n° 1143/2014 et abrogeant les directives du Conseil 69/464/CEE, 74/647/CEE, 93/85/CEE, 98/57/CE, 2000/29/CE, 2006/91/CE et 2007/33/CE (JO L 317 du 23.11.201, p. 4, </w:t>
      </w:r>
      <w:r>
        <w:rPr>
          <w:rStyle w:val="Hyperlink"/>
          <w:noProof/>
        </w:rPr>
        <w:t xml:space="preserve"> ELI: </w:t>
      </w:r>
      <w:hyperlink r:id="rId19" w:tooltip="Donne accès à ce document par l’intermédiaire des identifiants URI et ELI." w:history="1">
        <w:r>
          <w:rPr>
            <w:rStyle w:val="Hyperlink"/>
            <w:noProof/>
          </w:rPr>
          <w:t>http://data.europa.eu/eli/reg/2016/2031/oj</w:t>
        </w:r>
      </w:hyperlink>
      <w:r>
        <w:rPr>
          <w:rStyle w:val="Hyperlink"/>
          <w:noProof/>
        </w:rPr>
        <w:t>).</w:t>
      </w:r>
    </w:p>
    <w:p w:rsidR="00AD332F" w:rsidRPr="00AD332F" w:rsidRDefault="00AD332F" w:rsidP="00AD332F">
      <w:pPr>
        <w:rPr>
          <w:noProof/>
          <w:lang w:val="fr-BE"/>
        </w:rPr>
      </w:pPr>
    </w:p>
    <w:p w:rsidR="00AD332F" w:rsidRPr="009051ED" w:rsidRDefault="00AD332F" w:rsidP="00AD332F">
      <w:pPr>
        <w:numPr>
          <w:ilvl w:val="3"/>
          <w:numId w:val="0"/>
        </w:numPr>
        <w:rPr>
          <w:noProof/>
        </w:rPr>
      </w:pPr>
      <w:r>
        <w:rPr>
          <w:noProof/>
        </w:rPr>
        <w:t xml:space="preserve">** Règlement (UE) nº 182/2011 du Parlement européen et du Conseil du 16 février 2011 établissant les règles et principes généraux relatifs aux modalités de contrôle par les États membres de l’exercice des compétences d’exécution par la Commission (JO L 55 du 28.2.2011, p. 13, ELI: </w:t>
      </w:r>
      <w:hyperlink r:id="rId20" w:history="1">
        <w:r>
          <w:rPr>
            <w:rStyle w:val="Hyperlink"/>
            <w:noProof/>
          </w:rPr>
          <w:t>https://eur-lex.europa.eu/eli/reg/2011/182/oj</w:t>
        </w:r>
      </w:hyperlink>
      <w:r>
        <w:rPr>
          <w:noProof/>
        </w:rPr>
        <w:t>).</w:t>
      </w:r>
    </w:p>
    <w:p w:rsidR="00AD332F" w:rsidRPr="009051ED" w:rsidRDefault="00AD332F" w:rsidP="00AD332F">
      <w:pPr>
        <w:rPr>
          <w:noProof/>
        </w:rPr>
      </w:pPr>
    </w:p>
    <w:p w:rsidR="00AD332F" w:rsidRDefault="00AD332F" w:rsidP="00AD332F">
      <w:pPr>
        <w:rPr>
          <w:noProof/>
        </w:rPr>
      </w:pPr>
      <w:r>
        <w:rPr>
          <w:noProof/>
        </w:rPr>
        <w:t xml:space="preserve">*** Règlement (UE) 2021/2116 du Parlement européen et du Conseil du 2 décembre 2021 relatif au financement, à la gestion et au suivi de la politique agricole commune et abrogeant le règlement (UE) nº 1306/2013 (JO L 435 du 6.12.2021, p. 187, ELI: </w:t>
      </w:r>
      <w:hyperlink r:id="rId21" w:history="1">
        <w:r>
          <w:rPr>
            <w:rStyle w:val="Hyperlink"/>
            <w:noProof/>
          </w:rPr>
          <w:t>https://eur-lex.europa.eu/eli/reg/2021/2116/oj</w:t>
        </w:r>
      </w:hyperlink>
      <w:r>
        <w:rPr>
          <w:noProof/>
        </w:rPr>
        <w:t>).».</w:t>
      </w:r>
    </w:p>
    <w:p w:rsidR="00AD332F" w:rsidRDefault="00AD332F" w:rsidP="00AD332F">
      <w:pPr>
        <w:rPr>
          <w:noProof/>
        </w:rPr>
      </w:pPr>
    </w:p>
    <w:p w:rsidR="00AD332F" w:rsidRPr="00F07B24" w:rsidRDefault="00AD332F" w:rsidP="00AD332F">
      <w:pPr>
        <w:pStyle w:val="Titrearticle"/>
        <w:rPr>
          <w:iCs/>
          <w:noProof/>
        </w:rPr>
      </w:pPr>
      <w:r>
        <w:rPr>
          <w:noProof/>
        </w:rPr>
        <w:t>Article 2</w:t>
      </w:r>
    </w:p>
    <w:p w:rsidR="00AD332F" w:rsidRPr="00F96E01" w:rsidRDefault="00AD332F" w:rsidP="00AD332F">
      <w:pPr>
        <w:rPr>
          <w:noProof/>
        </w:rPr>
      </w:pPr>
      <w:r>
        <w:rPr>
          <w:noProof/>
        </w:rPr>
        <w:t xml:space="preserve">Le présent règlement entre en vigueur le jour de sa publication au </w:t>
      </w:r>
      <w:r>
        <w:rPr>
          <w:i/>
          <w:noProof/>
        </w:rPr>
        <w:t>Journal officiel de l’Union européenne</w:t>
      </w:r>
      <w:r>
        <w:rPr>
          <w:noProof/>
        </w:rPr>
        <w:t>.</w:t>
      </w:r>
    </w:p>
    <w:p w:rsidR="00AD332F" w:rsidRPr="00F96E01" w:rsidRDefault="00AD332F" w:rsidP="00AD332F">
      <w:pPr>
        <w:pStyle w:val="Applicationdirecte"/>
        <w:rPr>
          <w:noProof/>
        </w:rPr>
      </w:pPr>
      <w:r>
        <w:rPr>
          <w:noProof/>
        </w:rPr>
        <w:t>Le présent règlement est obligatoire dans tous ses éléments et directement applicable dans tout État membre.</w:t>
      </w:r>
    </w:p>
    <w:p w:rsidR="00AD332F" w:rsidRDefault="00AD332F" w:rsidP="00C46410">
      <w:pPr>
        <w:pStyle w:val="Fait"/>
        <w:rPr>
          <w:noProof/>
        </w:rPr>
      </w:pPr>
      <w:r>
        <w:rPr>
          <w:noProof/>
        </w:rPr>
        <w:t>Fait à Bruxelles, le</w:t>
      </w:r>
    </w:p>
    <w:p w:rsidR="00AD332F" w:rsidRDefault="00AD332F" w:rsidP="00C46410">
      <w:pPr>
        <w:pStyle w:val="Institutionquisigne"/>
        <w:rPr>
          <w:noProof/>
        </w:rPr>
      </w:pPr>
      <w:r>
        <w:rPr>
          <w:noProof/>
        </w:rPr>
        <w:t>Par le Parlement européen</w:t>
      </w:r>
      <w:r>
        <w:rPr>
          <w:noProof/>
        </w:rPr>
        <w:tab/>
        <w:t>Par le Conseil</w:t>
      </w:r>
    </w:p>
    <w:p w:rsidR="00D72587" w:rsidRPr="007622D0" w:rsidRDefault="00AD332F" w:rsidP="00D72587">
      <w:pPr>
        <w:pStyle w:val="Personnequisigne"/>
        <w:rPr>
          <w:noProof/>
        </w:rPr>
      </w:pPr>
      <w:r>
        <w:rPr>
          <w:noProof/>
        </w:rPr>
        <w:t>La présidente</w:t>
      </w:r>
      <w:r>
        <w:rPr>
          <w:noProof/>
        </w:rPr>
        <w:tab/>
        <w:t>Le président</w:t>
      </w:r>
    </w:p>
    <w:sectPr w:rsidR="00D72587" w:rsidRPr="007622D0" w:rsidSect="0062757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DCB" w:rsidRDefault="00641DCB" w:rsidP="00D72587">
      <w:pPr>
        <w:spacing w:before="0" w:after="0"/>
      </w:pPr>
      <w:r>
        <w:separator/>
      </w:r>
    </w:p>
  </w:endnote>
  <w:endnote w:type="continuationSeparator" w:id="0">
    <w:p w:rsidR="00641DCB" w:rsidRDefault="00641DCB" w:rsidP="00D72587">
      <w:pPr>
        <w:spacing w:before="0" w:after="0"/>
      </w:pPr>
      <w:r>
        <w:continuationSeparator/>
      </w:r>
    </w:p>
  </w:endnote>
  <w:endnote w:type="continuationNotice" w:id="1">
    <w:p w:rsidR="00641DCB" w:rsidRDefault="00641D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70" w:rsidRPr="00627570" w:rsidRDefault="00627570" w:rsidP="00627570">
    <w:pPr>
      <w:pStyle w:val="Footer"/>
      <w:rPr>
        <w:rFonts w:ascii="Arial" w:hAnsi="Arial" w:cs="Arial"/>
        <w:b/>
        <w:sz w:val="48"/>
      </w:rPr>
    </w:pPr>
    <w:r w:rsidRPr="00627570">
      <w:rPr>
        <w:rFonts w:ascii="Arial" w:hAnsi="Arial" w:cs="Arial"/>
        <w:b/>
        <w:sz w:val="48"/>
      </w:rPr>
      <w:t>FR</w:t>
    </w:r>
    <w:r w:rsidRPr="00627570">
      <w:rPr>
        <w:rFonts w:ascii="Arial" w:hAnsi="Arial" w:cs="Arial"/>
        <w:b/>
        <w:sz w:val="48"/>
      </w:rPr>
      <w:tab/>
    </w:r>
    <w:r w:rsidRPr="00627570">
      <w:rPr>
        <w:rFonts w:ascii="Arial" w:hAnsi="Arial" w:cs="Arial"/>
        <w:b/>
        <w:sz w:val="48"/>
      </w:rPr>
      <w:tab/>
    </w:r>
    <w:r w:rsidRPr="00627570">
      <w:tab/>
    </w:r>
    <w:r w:rsidRPr="00627570">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70" w:rsidRPr="00627570" w:rsidRDefault="00627570" w:rsidP="00627570">
    <w:pPr>
      <w:pStyle w:val="Footer"/>
      <w:rPr>
        <w:rFonts w:ascii="Arial" w:hAnsi="Arial" w:cs="Arial"/>
        <w:b/>
        <w:sz w:val="48"/>
      </w:rPr>
    </w:pPr>
    <w:r w:rsidRPr="00627570">
      <w:rPr>
        <w:rFonts w:ascii="Arial" w:hAnsi="Arial" w:cs="Arial"/>
        <w:b/>
        <w:sz w:val="48"/>
      </w:rPr>
      <w:t>FR</w:t>
    </w:r>
    <w:r w:rsidRPr="00627570">
      <w:rPr>
        <w:rFonts w:ascii="Arial" w:hAnsi="Arial" w:cs="Arial"/>
        <w:b/>
        <w:sz w:val="48"/>
      </w:rPr>
      <w:tab/>
    </w:r>
    <w:r w:rsidRPr="00627570">
      <w:rPr>
        <w:rFonts w:ascii="Arial" w:hAnsi="Arial" w:cs="Arial"/>
        <w:b/>
        <w:sz w:val="48"/>
      </w:rPr>
      <w:tab/>
    </w:r>
    <w:r w:rsidRPr="00627570">
      <w:tab/>
    </w:r>
    <w:r w:rsidRPr="00627570">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70" w:rsidRDefault="006275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70" w:rsidRPr="00627570" w:rsidRDefault="00627570" w:rsidP="00627570">
    <w:pPr>
      <w:pStyle w:val="Footer"/>
      <w:rPr>
        <w:rFonts w:ascii="Arial" w:hAnsi="Arial" w:cs="Arial"/>
        <w:b/>
        <w:sz w:val="48"/>
      </w:rPr>
    </w:pPr>
    <w:r w:rsidRPr="00627570">
      <w:rPr>
        <w:rFonts w:ascii="Arial" w:hAnsi="Arial" w:cs="Arial"/>
        <w:b/>
        <w:sz w:val="48"/>
      </w:rPr>
      <w:t>FR</w:t>
    </w:r>
    <w:r w:rsidRPr="00627570">
      <w:rPr>
        <w:rFonts w:ascii="Arial" w:hAnsi="Arial" w:cs="Arial"/>
        <w:b/>
        <w:sz w:val="48"/>
      </w:rPr>
      <w:tab/>
    </w:r>
    <w:r>
      <w:fldChar w:fldCharType="begin"/>
    </w:r>
    <w:r>
      <w:instrText xml:space="preserve"> PAGE  \* MERGEFORMAT </w:instrText>
    </w:r>
    <w:r>
      <w:fldChar w:fldCharType="separate"/>
    </w:r>
    <w:r w:rsidR="00C46410">
      <w:rPr>
        <w:noProof/>
      </w:rPr>
      <w:t>11</w:t>
    </w:r>
    <w:r>
      <w:fldChar w:fldCharType="end"/>
    </w:r>
    <w:r>
      <w:tab/>
    </w:r>
    <w:r w:rsidRPr="00627570">
      <w:tab/>
    </w:r>
    <w:r w:rsidRPr="00627570">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70" w:rsidRDefault="00627570" w:rsidP="0062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DCB" w:rsidRDefault="00641DCB" w:rsidP="00D72587">
      <w:pPr>
        <w:spacing w:before="0" w:after="0"/>
      </w:pPr>
      <w:r>
        <w:separator/>
      </w:r>
    </w:p>
  </w:footnote>
  <w:footnote w:type="continuationSeparator" w:id="0">
    <w:p w:rsidR="00641DCB" w:rsidRDefault="00641DCB" w:rsidP="00D72587">
      <w:pPr>
        <w:spacing w:before="0" w:after="0"/>
      </w:pPr>
      <w:r>
        <w:continuationSeparator/>
      </w:r>
    </w:p>
  </w:footnote>
  <w:footnote w:type="continuationNotice" w:id="1">
    <w:p w:rsidR="00641DCB" w:rsidRDefault="00641DCB">
      <w:pPr>
        <w:spacing w:before="0" w:after="0"/>
      </w:pPr>
    </w:p>
  </w:footnote>
  <w:footnote w:id="2">
    <w:p w:rsidR="00D72587" w:rsidRPr="007622D0" w:rsidRDefault="00D72587">
      <w:pPr>
        <w:pStyle w:val="FootnoteText"/>
      </w:pPr>
      <w:r>
        <w:rPr>
          <w:rStyle w:val="FootnoteReference"/>
        </w:rPr>
        <w:footnoteRef/>
      </w:r>
      <w:r w:rsidRPr="007622D0">
        <w:tab/>
        <w:t>JO C , , p. .</w:t>
      </w:r>
    </w:p>
  </w:footnote>
  <w:footnote w:id="3">
    <w:p w:rsidR="00D72587" w:rsidRPr="007622D0" w:rsidRDefault="00D72587">
      <w:pPr>
        <w:pStyle w:val="FootnoteText"/>
      </w:pPr>
      <w:r>
        <w:rPr>
          <w:rStyle w:val="FootnoteReference"/>
        </w:rPr>
        <w:footnoteRef/>
      </w:r>
      <w:r w:rsidRPr="007622D0">
        <w:tab/>
        <w:t>JO C , , p. .</w:t>
      </w:r>
    </w:p>
  </w:footnote>
  <w:footnote w:id="4">
    <w:p w:rsidR="009A3A89" w:rsidRPr="007622D0" w:rsidRDefault="009A3A89">
      <w:pPr>
        <w:pStyle w:val="FootnoteText"/>
      </w:pPr>
      <w:r>
        <w:rPr>
          <w:rStyle w:val="FootnoteReference"/>
        </w:rPr>
        <w:footnoteRef/>
      </w:r>
      <w:r w:rsidRPr="007622D0">
        <w:tab/>
        <w:t>Règlement (UE) nº 1305/2013 du Parlement européen et du Conseil du 17 décembre 2013 relatif au soutien au développement rural par le Fonds européen agricole pour le développement rural (Feader) et abrogeant le règlement (CE) nº 1698/2005 du Conseil (JO L 347 du 20.12.2013, p. 487, ELI:  </w:t>
      </w:r>
      <w:hyperlink r:id="rId1" w:tooltip="Permet d’accéder à ce document grâce à son URI ELI." w:history="1">
        <w:r w:rsidRPr="007622D0">
          <w:rPr>
            <w:rStyle w:val="Hyperlink"/>
          </w:rPr>
          <w:t>http://data.europa.eu/eli/reg/2013/1305/oj</w:t>
        </w:r>
      </w:hyperlink>
      <w:r w:rsidRPr="007622D0">
        <w:t>).</w:t>
      </w:r>
    </w:p>
  </w:footnote>
  <w:footnote w:id="5">
    <w:p w:rsidR="0078226C" w:rsidRPr="007622D0" w:rsidRDefault="0078226C" w:rsidP="0078226C">
      <w:pPr>
        <w:pStyle w:val="FootnoteText"/>
      </w:pPr>
      <w:r>
        <w:rPr>
          <w:rStyle w:val="FootnoteReference"/>
        </w:rPr>
        <w:footnoteRef/>
      </w:r>
      <w:r w:rsidRPr="007622D0">
        <w:tab/>
        <w:t xml:space="preserve">Règlement (UE) 2020/2220 du Parlement européen et du Conseil du 23 décembre 2020 établissant des dispositions transitoires relatives au soutien du Fonds européen agricole pour le développement rural (Feader) et du Fonds européen agricole de garantie (FEAGA) en 2021 et 2022, et modifiant les règlements (UE) nº 1305/2013, (UE) nº 1306/2013 et (UE) nº 1307/2013 en ce qui concerne les ressources et leur application en 2021 et en 2022 et le règlement (UE) nº 1308/2013 en ce qui concerne les ressources et la répartition de ce soutien pour les exercices 2021 et 2022 (JO L 437 du 28.12.2020, p. 487, ELI: </w:t>
      </w:r>
      <w:hyperlink r:id="rId2" w:history="1">
        <w:r w:rsidRPr="007622D0">
          <w:rPr>
            <w:rStyle w:val="Hyperlink"/>
          </w:rPr>
          <w:t>http://data.europa.eu/eli/reg/2020/2220/oj</w:t>
        </w:r>
      </w:hyperlink>
      <w:r w:rsidRPr="007622D0">
        <w:t>).</w:t>
      </w:r>
    </w:p>
  </w:footnote>
  <w:footnote w:id="6">
    <w:p w:rsidR="00440337" w:rsidRPr="007622D0" w:rsidRDefault="00440337" w:rsidP="00440337">
      <w:pPr>
        <w:pStyle w:val="FootnoteText"/>
      </w:pPr>
      <w:r>
        <w:rPr>
          <w:rStyle w:val="FootnoteReference"/>
        </w:rPr>
        <w:footnoteRef/>
      </w:r>
      <w:r w:rsidRPr="007622D0">
        <w:tab/>
        <w:t xml:space="preserve">Règlement (UE) nº 1306/2013 du Parlement européen et du Conseil du 17 décembre 2013 relatif au financement, à la gestion et au suivi de la politique agricole commune et abrogeant les règlements (CEE) nº 352/78, (CE) nº 165/94, (CE) nº 2799/98, (CE) nº 814/2000, (CE) nº 1290/2005 et (CE) nº 485/2008 du Conseil (JO L 347 du 20.12.2013, p. 549, ELI: </w:t>
      </w:r>
      <w:hyperlink r:id="rId3" w:history="1">
        <w:r w:rsidRPr="007622D0">
          <w:rPr>
            <w:rStyle w:val="Hyperlink"/>
          </w:rPr>
          <w:t>http://data.europa.eu/eli/reg/2013/1306/oj</w:t>
        </w:r>
      </w:hyperlink>
      <w:r w:rsidRPr="007622D0">
        <w:t>).</w:t>
      </w:r>
    </w:p>
  </w:footnote>
  <w:footnote w:id="7">
    <w:p w:rsidR="00AD332F" w:rsidRPr="00E978C2" w:rsidRDefault="00AD332F" w:rsidP="00AD332F">
      <w:pPr>
        <w:pStyle w:val="FootnoteText"/>
      </w:pPr>
      <w:r>
        <w:rPr>
          <w:rStyle w:val="FootnoteReference"/>
        </w:rPr>
        <w:footnoteRef/>
      </w:r>
      <w:r>
        <w:tab/>
        <w:t xml:space="preserve">Règlement (UE) nº 182/2011 du Parlement européen et du Conseil du 16 février 2011 établissant les règles et principes généraux relatifs aux modalités de contrôle par les États membres de l’exercice des compétences d’exécution par la Commission (JO L 55 du 28.2.2011, p. 13, ELI: </w:t>
      </w:r>
      <w:hyperlink r:id="rId4" w:history="1">
        <w:r>
          <w:rPr>
            <w:rStyle w:val="Hyperlink"/>
          </w:rPr>
          <w:t>http://data.europa.eu/eli/reg/2011/182/oj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70" w:rsidRDefault="00627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70" w:rsidRDefault="00627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806207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1A87A8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94A31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46A89B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7"/>
  </w:num>
  <w:num w:numId="18">
    <w:abstractNumId w:val="7"/>
  </w:num>
  <w:num w:numId="19">
    <w:abstractNumId w:val="9"/>
  </w:num>
  <w:num w:numId="20">
    <w:abstractNumId w:val="10"/>
  </w:num>
  <w:num w:numId="21">
    <w:abstractNumId w:val="5"/>
  </w:num>
  <w:num w:numId="22">
    <w:abstractNumId w:val="16"/>
  </w:num>
  <w:num w:numId="23">
    <w:abstractNumId w:val="4"/>
  </w:num>
  <w:num w:numId="24">
    <w:abstractNumId w:val="11"/>
  </w:num>
  <w:num w:numId="25">
    <w:abstractNumId w:val="13"/>
  </w:num>
  <w:num w:numId="26">
    <w:abstractNumId w:val="14"/>
  </w:num>
  <w:num w:numId="27">
    <w:abstractNumId w:val="6"/>
  </w:num>
  <w:num w:numId="28">
    <w:abstractNumId w:val="12"/>
  </w:num>
  <w:num w:numId="29">
    <w:abstractNumId w:val="18"/>
  </w:num>
  <w:num w:numId="30">
    <w:abstractNumId w:val="15"/>
  </w:num>
  <w:num w:numId="31">
    <w:abstractNumId w:val="8"/>
  </w:num>
  <w:num w:numId="32">
    <w:abstractNumId w:val="17"/>
  </w:num>
  <w:num w:numId="33">
    <w:abstractNumId w:val="7"/>
  </w:num>
  <w:num w:numId="34">
    <w:abstractNumId w:val="9"/>
  </w:num>
  <w:num w:numId="35">
    <w:abstractNumId w:val="10"/>
  </w:num>
  <w:num w:numId="36">
    <w:abstractNumId w:val="5"/>
  </w:num>
  <w:num w:numId="37">
    <w:abstractNumId w:val="16"/>
  </w:num>
  <w:num w:numId="38">
    <w:abstractNumId w:val="4"/>
  </w:num>
  <w:num w:numId="39">
    <w:abstractNumId w:val="11"/>
  </w:num>
  <w:num w:numId="40">
    <w:abstractNumId w:val="13"/>
  </w:num>
  <w:num w:numId="41">
    <w:abstractNumId w:val="14"/>
  </w:num>
  <w:num w:numId="42">
    <w:abstractNumId w:val="6"/>
  </w:num>
  <w:num w:numId="43">
    <w:abstractNumId w:val="12"/>
  </w:num>
  <w:num w:numId="4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0-22 20:40: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16E03BD-DCD3-440F-A934-F1F601ED19A3"/>
    <w:docVar w:name="LW_COVERPAGE_TYPE" w:val="1"/>
    <w:docVar w:name="LW_CROSSREFERENCE" w:val="&lt;UNUSED&gt;"/>
    <w:docVar w:name="LW_DocType" w:val="COM"/>
    <w:docVar w:name="LW_EMISSION" w:val="21.10.2024"/>
    <w:docVar w:name="LW_EMISSION_ISODATE" w:val="2024-10-21"/>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274"/>
    <w:docVar w:name="LW_REF.II.NEW.CP_YEAR" w:val="2024"/>
    <w:docVar w:name="LW_REF.INST.NEW" w:val="COM"/>
    <w:docVar w:name="LW_REF.INST.NEW_ADOPTED" w:val="final"/>
    <w:docVar w:name="LW_REF.INST.NEW_TEXT" w:val="(2024) 49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UE) 2020/2220 en ce qui concerne des mesures spécifiques au titre du Fonds européen agricole pour le développement rural (Feader) visant à fournir une aide supplémentaire aux États membres touchés par des catastrophes naturelles"/>
    <w:docVar w:name="LW_TYPE.DOC.CP" w:val="RÈGLEMENT DU PARLEMENT EUROPÉEN ET DU CONSEIL"/>
    <w:docVar w:name="LwApiVersions" w:val="LW4CoDe 1.24.5.0; LW 9.0, Build 20240221"/>
  </w:docVars>
  <w:rsids>
    <w:rsidRoot w:val="00D72587"/>
    <w:rsid w:val="000005A7"/>
    <w:rsid w:val="000005F0"/>
    <w:rsid w:val="00000AE9"/>
    <w:rsid w:val="000016C5"/>
    <w:rsid w:val="00002B7C"/>
    <w:rsid w:val="00003043"/>
    <w:rsid w:val="000034C0"/>
    <w:rsid w:val="00003776"/>
    <w:rsid w:val="00003B29"/>
    <w:rsid w:val="00005527"/>
    <w:rsid w:val="0000578E"/>
    <w:rsid w:val="00005B5A"/>
    <w:rsid w:val="000063A8"/>
    <w:rsid w:val="0000671B"/>
    <w:rsid w:val="00007549"/>
    <w:rsid w:val="00007E7D"/>
    <w:rsid w:val="00007E9D"/>
    <w:rsid w:val="000129E9"/>
    <w:rsid w:val="000133BE"/>
    <w:rsid w:val="0001360D"/>
    <w:rsid w:val="00014063"/>
    <w:rsid w:val="00014725"/>
    <w:rsid w:val="00014A2A"/>
    <w:rsid w:val="00015451"/>
    <w:rsid w:val="00015F61"/>
    <w:rsid w:val="000161D4"/>
    <w:rsid w:val="00016520"/>
    <w:rsid w:val="00017CBE"/>
    <w:rsid w:val="0002117C"/>
    <w:rsid w:val="000216D7"/>
    <w:rsid w:val="00021C07"/>
    <w:rsid w:val="000229B3"/>
    <w:rsid w:val="00023A8A"/>
    <w:rsid w:val="00023E7B"/>
    <w:rsid w:val="00024456"/>
    <w:rsid w:val="00024DD9"/>
    <w:rsid w:val="00025C9E"/>
    <w:rsid w:val="00025DDE"/>
    <w:rsid w:val="0002609E"/>
    <w:rsid w:val="00026626"/>
    <w:rsid w:val="00027724"/>
    <w:rsid w:val="0002772B"/>
    <w:rsid w:val="00027A7D"/>
    <w:rsid w:val="00030264"/>
    <w:rsid w:val="0003056B"/>
    <w:rsid w:val="0003074B"/>
    <w:rsid w:val="00030DCC"/>
    <w:rsid w:val="00031223"/>
    <w:rsid w:val="000315F5"/>
    <w:rsid w:val="00031AA8"/>
    <w:rsid w:val="00033511"/>
    <w:rsid w:val="00034FD2"/>
    <w:rsid w:val="00035368"/>
    <w:rsid w:val="00035856"/>
    <w:rsid w:val="0003604C"/>
    <w:rsid w:val="00036691"/>
    <w:rsid w:val="000370DE"/>
    <w:rsid w:val="0003710F"/>
    <w:rsid w:val="00037501"/>
    <w:rsid w:val="000377F4"/>
    <w:rsid w:val="00037BBF"/>
    <w:rsid w:val="000406D3"/>
    <w:rsid w:val="00041357"/>
    <w:rsid w:val="00041F84"/>
    <w:rsid w:val="0004266C"/>
    <w:rsid w:val="00042ACE"/>
    <w:rsid w:val="0004325A"/>
    <w:rsid w:val="00043BF0"/>
    <w:rsid w:val="0004545D"/>
    <w:rsid w:val="00045AB2"/>
    <w:rsid w:val="000460CD"/>
    <w:rsid w:val="000464C9"/>
    <w:rsid w:val="00046711"/>
    <w:rsid w:val="000467C8"/>
    <w:rsid w:val="000469FC"/>
    <w:rsid w:val="00047850"/>
    <w:rsid w:val="00047FFC"/>
    <w:rsid w:val="0005027F"/>
    <w:rsid w:val="0005094A"/>
    <w:rsid w:val="000517D0"/>
    <w:rsid w:val="00051CA5"/>
    <w:rsid w:val="00051CC2"/>
    <w:rsid w:val="00051E8B"/>
    <w:rsid w:val="00052748"/>
    <w:rsid w:val="0005329F"/>
    <w:rsid w:val="00053C92"/>
    <w:rsid w:val="00053ECA"/>
    <w:rsid w:val="000540B4"/>
    <w:rsid w:val="00054348"/>
    <w:rsid w:val="0005469A"/>
    <w:rsid w:val="00054AE5"/>
    <w:rsid w:val="00054BE0"/>
    <w:rsid w:val="00054DFE"/>
    <w:rsid w:val="00055FAB"/>
    <w:rsid w:val="00057037"/>
    <w:rsid w:val="000578F7"/>
    <w:rsid w:val="00057D90"/>
    <w:rsid w:val="0006019E"/>
    <w:rsid w:val="0006058C"/>
    <w:rsid w:val="00060ED7"/>
    <w:rsid w:val="00061A80"/>
    <w:rsid w:val="0006238B"/>
    <w:rsid w:val="00062FE7"/>
    <w:rsid w:val="00063034"/>
    <w:rsid w:val="00063BEB"/>
    <w:rsid w:val="0006471E"/>
    <w:rsid w:val="00064995"/>
    <w:rsid w:val="00065D66"/>
    <w:rsid w:val="00066337"/>
    <w:rsid w:val="000668E1"/>
    <w:rsid w:val="00067362"/>
    <w:rsid w:val="00070749"/>
    <w:rsid w:val="00071D05"/>
    <w:rsid w:val="00072CFD"/>
    <w:rsid w:val="0007356C"/>
    <w:rsid w:val="00073804"/>
    <w:rsid w:val="00073BE8"/>
    <w:rsid w:val="0007405D"/>
    <w:rsid w:val="00074775"/>
    <w:rsid w:val="000749E0"/>
    <w:rsid w:val="00075E60"/>
    <w:rsid w:val="000771C5"/>
    <w:rsid w:val="000777B7"/>
    <w:rsid w:val="00077CB1"/>
    <w:rsid w:val="000804A9"/>
    <w:rsid w:val="00080DF8"/>
    <w:rsid w:val="00081588"/>
    <w:rsid w:val="00081DBB"/>
    <w:rsid w:val="00082254"/>
    <w:rsid w:val="00082602"/>
    <w:rsid w:val="000826C4"/>
    <w:rsid w:val="0008376B"/>
    <w:rsid w:val="00084085"/>
    <w:rsid w:val="00086117"/>
    <w:rsid w:val="0008631A"/>
    <w:rsid w:val="0008665D"/>
    <w:rsid w:val="00086B35"/>
    <w:rsid w:val="000870AD"/>
    <w:rsid w:val="00087FFB"/>
    <w:rsid w:val="0009143C"/>
    <w:rsid w:val="0009158A"/>
    <w:rsid w:val="00091858"/>
    <w:rsid w:val="00092963"/>
    <w:rsid w:val="00092D08"/>
    <w:rsid w:val="00092D33"/>
    <w:rsid w:val="00092F43"/>
    <w:rsid w:val="00093296"/>
    <w:rsid w:val="00093E4D"/>
    <w:rsid w:val="0009430A"/>
    <w:rsid w:val="00094633"/>
    <w:rsid w:val="00094B2A"/>
    <w:rsid w:val="00095A06"/>
    <w:rsid w:val="00096B51"/>
    <w:rsid w:val="000A0F72"/>
    <w:rsid w:val="000A2024"/>
    <w:rsid w:val="000A239B"/>
    <w:rsid w:val="000A265F"/>
    <w:rsid w:val="000A293C"/>
    <w:rsid w:val="000A30AB"/>
    <w:rsid w:val="000A3E27"/>
    <w:rsid w:val="000A450A"/>
    <w:rsid w:val="000A4764"/>
    <w:rsid w:val="000A47E6"/>
    <w:rsid w:val="000A4D6C"/>
    <w:rsid w:val="000A570E"/>
    <w:rsid w:val="000A5EFC"/>
    <w:rsid w:val="000A5F92"/>
    <w:rsid w:val="000A6031"/>
    <w:rsid w:val="000A6483"/>
    <w:rsid w:val="000A75A2"/>
    <w:rsid w:val="000A791F"/>
    <w:rsid w:val="000A7BE0"/>
    <w:rsid w:val="000B064A"/>
    <w:rsid w:val="000B17B4"/>
    <w:rsid w:val="000B213E"/>
    <w:rsid w:val="000B3BB0"/>
    <w:rsid w:val="000B4B4F"/>
    <w:rsid w:val="000B59D5"/>
    <w:rsid w:val="000B5C4F"/>
    <w:rsid w:val="000B615B"/>
    <w:rsid w:val="000B72C8"/>
    <w:rsid w:val="000C1361"/>
    <w:rsid w:val="000C193D"/>
    <w:rsid w:val="000C1DB5"/>
    <w:rsid w:val="000C6542"/>
    <w:rsid w:val="000C69DD"/>
    <w:rsid w:val="000C700C"/>
    <w:rsid w:val="000D02A5"/>
    <w:rsid w:val="000D058D"/>
    <w:rsid w:val="000D0B3A"/>
    <w:rsid w:val="000D1179"/>
    <w:rsid w:val="000D129C"/>
    <w:rsid w:val="000D2357"/>
    <w:rsid w:val="000D3A9B"/>
    <w:rsid w:val="000D435F"/>
    <w:rsid w:val="000D442D"/>
    <w:rsid w:val="000D4547"/>
    <w:rsid w:val="000D4563"/>
    <w:rsid w:val="000D4914"/>
    <w:rsid w:val="000D4BA4"/>
    <w:rsid w:val="000D521B"/>
    <w:rsid w:val="000D5C5B"/>
    <w:rsid w:val="000D5DD2"/>
    <w:rsid w:val="000D5DDE"/>
    <w:rsid w:val="000D6638"/>
    <w:rsid w:val="000D711F"/>
    <w:rsid w:val="000E0799"/>
    <w:rsid w:val="000E1002"/>
    <w:rsid w:val="000E259F"/>
    <w:rsid w:val="000E38A4"/>
    <w:rsid w:val="000E3A0F"/>
    <w:rsid w:val="000E3E3B"/>
    <w:rsid w:val="000E44B5"/>
    <w:rsid w:val="000E4F27"/>
    <w:rsid w:val="000E6261"/>
    <w:rsid w:val="000E708A"/>
    <w:rsid w:val="000E7652"/>
    <w:rsid w:val="000F00DD"/>
    <w:rsid w:val="000F2594"/>
    <w:rsid w:val="000F2865"/>
    <w:rsid w:val="000F2931"/>
    <w:rsid w:val="000F3A0D"/>
    <w:rsid w:val="000F4D16"/>
    <w:rsid w:val="000F4E6C"/>
    <w:rsid w:val="000F4EE9"/>
    <w:rsid w:val="000F59C7"/>
    <w:rsid w:val="000F5A82"/>
    <w:rsid w:val="000F627E"/>
    <w:rsid w:val="000F633E"/>
    <w:rsid w:val="000F65A1"/>
    <w:rsid w:val="000F68AE"/>
    <w:rsid w:val="000F6C68"/>
    <w:rsid w:val="000F6CA3"/>
    <w:rsid w:val="000F7D59"/>
    <w:rsid w:val="001001A8"/>
    <w:rsid w:val="00100227"/>
    <w:rsid w:val="00101A42"/>
    <w:rsid w:val="00101C10"/>
    <w:rsid w:val="00101E75"/>
    <w:rsid w:val="001025E0"/>
    <w:rsid w:val="00102C2C"/>
    <w:rsid w:val="001036B2"/>
    <w:rsid w:val="0010399F"/>
    <w:rsid w:val="001043CE"/>
    <w:rsid w:val="00104B66"/>
    <w:rsid w:val="0010578B"/>
    <w:rsid w:val="00105EA7"/>
    <w:rsid w:val="001060F9"/>
    <w:rsid w:val="001065F5"/>
    <w:rsid w:val="00106BBE"/>
    <w:rsid w:val="00106CB5"/>
    <w:rsid w:val="001071A2"/>
    <w:rsid w:val="00107241"/>
    <w:rsid w:val="00107BD3"/>
    <w:rsid w:val="0011043D"/>
    <w:rsid w:val="00110E42"/>
    <w:rsid w:val="0011148D"/>
    <w:rsid w:val="00111BBB"/>
    <w:rsid w:val="001125D4"/>
    <w:rsid w:val="0011301B"/>
    <w:rsid w:val="0011371E"/>
    <w:rsid w:val="00113EE2"/>
    <w:rsid w:val="0011413B"/>
    <w:rsid w:val="00115EEC"/>
    <w:rsid w:val="00116233"/>
    <w:rsid w:val="001169F0"/>
    <w:rsid w:val="00117F86"/>
    <w:rsid w:val="001208C3"/>
    <w:rsid w:val="0012116F"/>
    <w:rsid w:val="00121A14"/>
    <w:rsid w:val="00122620"/>
    <w:rsid w:val="00122A48"/>
    <w:rsid w:val="001231D1"/>
    <w:rsid w:val="0012370D"/>
    <w:rsid w:val="001238EF"/>
    <w:rsid w:val="00124508"/>
    <w:rsid w:val="00125128"/>
    <w:rsid w:val="00125B82"/>
    <w:rsid w:val="00125DA3"/>
    <w:rsid w:val="00126D40"/>
    <w:rsid w:val="00126FF4"/>
    <w:rsid w:val="001279E3"/>
    <w:rsid w:val="00127EA9"/>
    <w:rsid w:val="001306F9"/>
    <w:rsid w:val="00130B7B"/>
    <w:rsid w:val="001316F6"/>
    <w:rsid w:val="00131818"/>
    <w:rsid w:val="0013213C"/>
    <w:rsid w:val="00132F89"/>
    <w:rsid w:val="0013311F"/>
    <w:rsid w:val="001332DE"/>
    <w:rsid w:val="00133526"/>
    <w:rsid w:val="00133BBB"/>
    <w:rsid w:val="0013589F"/>
    <w:rsid w:val="00136949"/>
    <w:rsid w:val="001369F4"/>
    <w:rsid w:val="0013722E"/>
    <w:rsid w:val="0014091F"/>
    <w:rsid w:val="001425B5"/>
    <w:rsid w:val="00142DD1"/>
    <w:rsid w:val="00143672"/>
    <w:rsid w:val="00143B90"/>
    <w:rsid w:val="0014515D"/>
    <w:rsid w:val="00145194"/>
    <w:rsid w:val="00145C84"/>
    <w:rsid w:val="001463C2"/>
    <w:rsid w:val="00146BA9"/>
    <w:rsid w:val="00146FC1"/>
    <w:rsid w:val="00147887"/>
    <w:rsid w:val="001479E8"/>
    <w:rsid w:val="00150347"/>
    <w:rsid w:val="0015034D"/>
    <w:rsid w:val="00152114"/>
    <w:rsid w:val="001529A4"/>
    <w:rsid w:val="00152CEC"/>
    <w:rsid w:val="00152E21"/>
    <w:rsid w:val="001537A1"/>
    <w:rsid w:val="001539AF"/>
    <w:rsid w:val="00154993"/>
    <w:rsid w:val="00156643"/>
    <w:rsid w:val="001570A4"/>
    <w:rsid w:val="001570D5"/>
    <w:rsid w:val="001572AB"/>
    <w:rsid w:val="00157319"/>
    <w:rsid w:val="001578F8"/>
    <w:rsid w:val="00157CA6"/>
    <w:rsid w:val="001601AB"/>
    <w:rsid w:val="0016025E"/>
    <w:rsid w:val="001602F1"/>
    <w:rsid w:val="00160AA3"/>
    <w:rsid w:val="00160C8E"/>
    <w:rsid w:val="00160EAD"/>
    <w:rsid w:val="0016116E"/>
    <w:rsid w:val="00162248"/>
    <w:rsid w:val="001630A0"/>
    <w:rsid w:val="001645E4"/>
    <w:rsid w:val="001665D2"/>
    <w:rsid w:val="0016664F"/>
    <w:rsid w:val="001668A7"/>
    <w:rsid w:val="0016692B"/>
    <w:rsid w:val="0016710C"/>
    <w:rsid w:val="00167A21"/>
    <w:rsid w:val="001700A7"/>
    <w:rsid w:val="0017035A"/>
    <w:rsid w:val="00170514"/>
    <w:rsid w:val="00170E78"/>
    <w:rsid w:val="00171417"/>
    <w:rsid w:val="00172C29"/>
    <w:rsid w:val="001731C4"/>
    <w:rsid w:val="00173357"/>
    <w:rsid w:val="00173DD9"/>
    <w:rsid w:val="001748C6"/>
    <w:rsid w:val="00174988"/>
    <w:rsid w:val="001772DA"/>
    <w:rsid w:val="001800D5"/>
    <w:rsid w:val="00181C86"/>
    <w:rsid w:val="00181FDE"/>
    <w:rsid w:val="00182021"/>
    <w:rsid w:val="0018266E"/>
    <w:rsid w:val="00182F89"/>
    <w:rsid w:val="00183317"/>
    <w:rsid w:val="00183612"/>
    <w:rsid w:val="00183EC4"/>
    <w:rsid w:val="0018473D"/>
    <w:rsid w:val="00184E33"/>
    <w:rsid w:val="00185A49"/>
    <w:rsid w:val="001862A5"/>
    <w:rsid w:val="0018671C"/>
    <w:rsid w:val="001868EB"/>
    <w:rsid w:val="001875C9"/>
    <w:rsid w:val="001877BE"/>
    <w:rsid w:val="00190EEB"/>
    <w:rsid w:val="00192E45"/>
    <w:rsid w:val="00194067"/>
    <w:rsid w:val="001940BA"/>
    <w:rsid w:val="00194C10"/>
    <w:rsid w:val="00195679"/>
    <w:rsid w:val="00195759"/>
    <w:rsid w:val="001969F8"/>
    <w:rsid w:val="00196C09"/>
    <w:rsid w:val="00197613"/>
    <w:rsid w:val="0019773A"/>
    <w:rsid w:val="00197948"/>
    <w:rsid w:val="00197C4E"/>
    <w:rsid w:val="001A014E"/>
    <w:rsid w:val="001A038F"/>
    <w:rsid w:val="001A0D5B"/>
    <w:rsid w:val="001A10F1"/>
    <w:rsid w:val="001A1245"/>
    <w:rsid w:val="001A1705"/>
    <w:rsid w:val="001A23FB"/>
    <w:rsid w:val="001A263F"/>
    <w:rsid w:val="001A269A"/>
    <w:rsid w:val="001A27A9"/>
    <w:rsid w:val="001A2BB3"/>
    <w:rsid w:val="001A371C"/>
    <w:rsid w:val="001A4305"/>
    <w:rsid w:val="001A4A41"/>
    <w:rsid w:val="001A4CF4"/>
    <w:rsid w:val="001A606C"/>
    <w:rsid w:val="001A6D60"/>
    <w:rsid w:val="001A73FA"/>
    <w:rsid w:val="001A7A58"/>
    <w:rsid w:val="001A7BD4"/>
    <w:rsid w:val="001B00EE"/>
    <w:rsid w:val="001B150E"/>
    <w:rsid w:val="001B1F2B"/>
    <w:rsid w:val="001B210E"/>
    <w:rsid w:val="001B25F3"/>
    <w:rsid w:val="001B261B"/>
    <w:rsid w:val="001B2B7B"/>
    <w:rsid w:val="001B30BD"/>
    <w:rsid w:val="001B3690"/>
    <w:rsid w:val="001B3B07"/>
    <w:rsid w:val="001B3D42"/>
    <w:rsid w:val="001B4CF6"/>
    <w:rsid w:val="001B4E0B"/>
    <w:rsid w:val="001B581C"/>
    <w:rsid w:val="001B6F0D"/>
    <w:rsid w:val="001C0DD6"/>
    <w:rsid w:val="001C172E"/>
    <w:rsid w:val="001C1D26"/>
    <w:rsid w:val="001C1E78"/>
    <w:rsid w:val="001C2AEB"/>
    <w:rsid w:val="001C35DC"/>
    <w:rsid w:val="001C35E8"/>
    <w:rsid w:val="001C4A0C"/>
    <w:rsid w:val="001C5035"/>
    <w:rsid w:val="001C5C5A"/>
    <w:rsid w:val="001C6A7B"/>
    <w:rsid w:val="001D03C9"/>
    <w:rsid w:val="001D048E"/>
    <w:rsid w:val="001D0B3E"/>
    <w:rsid w:val="001D0D62"/>
    <w:rsid w:val="001D134E"/>
    <w:rsid w:val="001D1370"/>
    <w:rsid w:val="001D13F5"/>
    <w:rsid w:val="001D1446"/>
    <w:rsid w:val="001D153F"/>
    <w:rsid w:val="001D28A5"/>
    <w:rsid w:val="001D28EB"/>
    <w:rsid w:val="001D2D69"/>
    <w:rsid w:val="001D2E03"/>
    <w:rsid w:val="001D3456"/>
    <w:rsid w:val="001D38E1"/>
    <w:rsid w:val="001D3D19"/>
    <w:rsid w:val="001D4C82"/>
    <w:rsid w:val="001D570A"/>
    <w:rsid w:val="001D6340"/>
    <w:rsid w:val="001D68D4"/>
    <w:rsid w:val="001D6BA3"/>
    <w:rsid w:val="001E03F3"/>
    <w:rsid w:val="001E0AA8"/>
    <w:rsid w:val="001E21E4"/>
    <w:rsid w:val="001E254E"/>
    <w:rsid w:val="001E3630"/>
    <w:rsid w:val="001E371E"/>
    <w:rsid w:val="001E5509"/>
    <w:rsid w:val="001E6766"/>
    <w:rsid w:val="001E6890"/>
    <w:rsid w:val="001E7D2B"/>
    <w:rsid w:val="001F00E8"/>
    <w:rsid w:val="001F0B53"/>
    <w:rsid w:val="001F1A88"/>
    <w:rsid w:val="001F1B67"/>
    <w:rsid w:val="001F1FF5"/>
    <w:rsid w:val="001F2431"/>
    <w:rsid w:val="001F314F"/>
    <w:rsid w:val="001F3798"/>
    <w:rsid w:val="001F3B25"/>
    <w:rsid w:val="001F3E49"/>
    <w:rsid w:val="001F463D"/>
    <w:rsid w:val="001F505C"/>
    <w:rsid w:val="001F5679"/>
    <w:rsid w:val="001F56EA"/>
    <w:rsid w:val="001F5B4B"/>
    <w:rsid w:val="001F5ED5"/>
    <w:rsid w:val="001F67B0"/>
    <w:rsid w:val="001F76AA"/>
    <w:rsid w:val="001F7844"/>
    <w:rsid w:val="001F7FC6"/>
    <w:rsid w:val="002007C6"/>
    <w:rsid w:val="00200855"/>
    <w:rsid w:val="00200DBD"/>
    <w:rsid w:val="002016AC"/>
    <w:rsid w:val="00201F7A"/>
    <w:rsid w:val="002027A5"/>
    <w:rsid w:val="002028F8"/>
    <w:rsid w:val="00202BF2"/>
    <w:rsid w:val="00203442"/>
    <w:rsid w:val="00203B22"/>
    <w:rsid w:val="0020402B"/>
    <w:rsid w:val="002040A3"/>
    <w:rsid w:val="00204217"/>
    <w:rsid w:val="002049D1"/>
    <w:rsid w:val="00204EAC"/>
    <w:rsid w:val="00204FAC"/>
    <w:rsid w:val="00205BFD"/>
    <w:rsid w:val="00206741"/>
    <w:rsid w:val="0020674E"/>
    <w:rsid w:val="002068B8"/>
    <w:rsid w:val="00207BC9"/>
    <w:rsid w:val="00210753"/>
    <w:rsid w:val="00210A75"/>
    <w:rsid w:val="00211824"/>
    <w:rsid w:val="00211EFA"/>
    <w:rsid w:val="00212BC9"/>
    <w:rsid w:val="00212C06"/>
    <w:rsid w:val="00213534"/>
    <w:rsid w:val="0021360D"/>
    <w:rsid w:val="00213636"/>
    <w:rsid w:val="00213C7C"/>
    <w:rsid w:val="0021410C"/>
    <w:rsid w:val="00214691"/>
    <w:rsid w:val="00214835"/>
    <w:rsid w:val="00215999"/>
    <w:rsid w:val="00215BEE"/>
    <w:rsid w:val="002166BE"/>
    <w:rsid w:val="00216F63"/>
    <w:rsid w:val="00217321"/>
    <w:rsid w:val="00217880"/>
    <w:rsid w:val="00217B40"/>
    <w:rsid w:val="00217EF6"/>
    <w:rsid w:val="002203AA"/>
    <w:rsid w:val="00220516"/>
    <w:rsid w:val="00220952"/>
    <w:rsid w:val="0022134A"/>
    <w:rsid w:val="0022158E"/>
    <w:rsid w:val="00222F1E"/>
    <w:rsid w:val="002232F1"/>
    <w:rsid w:val="00223C8D"/>
    <w:rsid w:val="00224E5B"/>
    <w:rsid w:val="0022619A"/>
    <w:rsid w:val="00227829"/>
    <w:rsid w:val="00230B45"/>
    <w:rsid w:val="002312EF"/>
    <w:rsid w:val="00231363"/>
    <w:rsid w:val="00231919"/>
    <w:rsid w:val="00231EE4"/>
    <w:rsid w:val="0023327B"/>
    <w:rsid w:val="0023361C"/>
    <w:rsid w:val="00233B70"/>
    <w:rsid w:val="00233DC7"/>
    <w:rsid w:val="00234A82"/>
    <w:rsid w:val="002356DF"/>
    <w:rsid w:val="00235830"/>
    <w:rsid w:val="002370A2"/>
    <w:rsid w:val="002371F5"/>
    <w:rsid w:val="00237BD9"/>
    <w:rsid w:val="00240869"/>
    <w:rsid w:val="00240CCF"/>
    <w:rsid w:val="00240E38"/>
    <w:rsid w:val="00241260"/>
    <w:rsid w:val="0024136D"/>
    <w:rsid w:val="002420B6"/>
    <w:rsid w:val="00242232"/>
    <w:rsid w:val="0024265D"/>
    <w:rsid w:val="002428ED"/>
    <w:rsid w:val="0024319F"/>
    <w:rsid w:val="002433A2"/>
    <w:rsid w:val="0024359D"/>
    <w:rsid w:val="0024371B"/>
    <w:rsid w:val="00243ABC"/>
    <w:rsid w:val="00243E5A"/>
    <w:rsid w:val="00243FD5"/>
    <w:rsid w:val="002449B4"/>
    <w:rsid w:val="00245030"/>
    <w:rsid w:val="002459C0"/>
    <w:rsid w:val="00245A9D"/>
    <w:rsid w:val="002462BF"/>
    <w:rsid w:val="00246401"/>
    <w:rsid w:val="002468F1"/>
    <w:rsid w:val="00247779"/>
    <w:rsid w:val="00247824"/>
    <w:rsid w:val="00247B52"/>
    <w:rsid w:val="00247F6E"/>
    <w:rsid w:val="00250E12"/>
    <w:rsid w:val="0025132E"/>
    <w:rsid w:val="00251930"/>
    <w:rsid w:val="00251DBB"/>
    <w:rsid w:val="002524DD"/>
    <w:rsid w:val="0025261C"/>
    <w:rsid w:val="00252B5A"/>
    <w:rsid w:val="00254A1C"/>
    <w:rsid w:val="00254E0E"/>
    <w:rsid w:val="0025552A"/>
    <w:rsid w:val="0025585A"/>
    <w:rsid w:val="00255EB7"/>
    <w:rsid w:val="00256771"/>
    <w:rsid w:val="002569DA"/>
    <w:rsid w:val="002573F3"/>
    <w:rsid w:val="00257AE7"/>
    <w:rsid w:val="0026010D"/>
    <w:rsid w:val="00260607"/>
    <w:rsid w:val="00260CD3"/>
    <w:rsid w:val="002623AD"/>
    <w:rsid w:val="002624CB"/>
    <w:rsid w:val="002646A7"/>
    <w:rsid w:val="00264756"/>
    <w:rsid w:val="002649AD"/>
    <w:rsid w:val="00264C8F"/>
    <w:rsid w:val="00264FFF"/>
    <w:rsid w:val="0026542B"/>
    <w:rsid w:val="00265516"/>
    <w:rsid w:val="002658CD"/>
    <w:rsid w:val="002665A0"/>
    <w:rsid w:val="00266DD8"/>
    <w:rsid w:val="00267BBC"/>
    <w:rsid w:val="00267F3F"/>
    <w:rsid w:val="0027089E"/>
    <w:rsid w:val="00270E8F"/>
    <w:rsid w:val="00271A70"/>
    <w:rsid w:val="00272112"/>
    <w:rsid w:val="00272AAC"/>
    <w:rsid w:val="00272AF5"/>
    <w:rsid w:val="00272DEA"/>
    <w:rsid w:val="00273317"/>
    <w:rsid w:val="002733E7"/>
    <w:rsid w:val="002747FB"/>
    <w:rsid w:val="00275DDB"/>
    <w:rsid w:val="00275DE2"/>
    <w:rsid w:val="00276D56"/>
    <w:rsid w:val="002771FD"/>
    <w:rsid w:val="00280546"/>
    <w:rsid w:val="002808BC"/>
    <w:rsid w:val="00280C6B"/>
    <w:rsid w:val="00280D85"/>
    <w:rsid w:val="00281873"/>
    <w:rsid w:val="00282664"/>
    <w:rsid w:val="002826E3"/>
    <w:rsid w:val="00282DA6"/>
    <w:rsid w:val="00282F07"/>
    <w:rsid w:val="002836FE"/>
    <w:rsid w:val="002837A3"/>
    <w:rsid w:val="00284D1B"/>
    <w:rsid w:val="002855FA"/>
    <w:rsid w:val="002859A1"/>
    <w:rsid w:val="00285BEE"/>
    <w:rsid w:val="00287AC7"/>
    <w:rsid w:val="00293C5A"/>
    <w:rsid w:val="0029447E"/>
    <w:rsid w:val="00295118"/>
    <w:rsid w:val="0029533F"/>
    <w:rsid w:val="00296C90"/>
    <w:rsid w:val="00296D4F"/>
    <w:rsid w:val="0029739C"/>
    <w:rsid w:val="00297CD7"/>
    <w:rsid w:val="00297DD9"/>
    <w:rsid w:val="002A0353"/>
    <w:rsid w:val="002A03C5"/>
    <w:rsid w:val="002A11EF"/>
    <w:rsid w:val="002A1E26"/>
    <w:rsid w:val="002A2407"/>
    <w:rsid w:val="002A2D86"/>
    <w:rsid w:val="002A342E"/>
    <w:rsid w:val="002A3506"/>
    <w:rsid w:val="002A3945"/>
    <w:rsid w:val="002A3DB9"/>
    <w:rsid w:val="002A414A"/>
    <w:rsid w:val="002A4590"/>
    <w:rsid w:val="002A55A8"/>
    <w:rsid w:val="002A5D31"/>
    <w:rsid w:val="002A6052"/>
    <w:rsid w:val="002A6332"/>
    <w:rsid w:val="002A6AF2"/>
    <w:rsid w:val="002A7104"/>
    <w:rsid w:val="002B094E"/>
    <w:rsid w:val="002B21E5"/>
    <w:rsid w:val="002B2B91"/>
    <w:rsid w:val="002B30AF"/>
    <w:rsid w:val="002B3A7E"/>
    <w:rsid w:val="002B48E2"/>
    <w:rsid w:val="002B4FEE"/>
    <w:rsid w:val="002B5461"/>
    <w:rsid w:val="002B6F02"/>
    <w:rsid w:val="002B7724"/>
    <w:rsid w:val="002B79D8"/>
    <w:rsid w:val="002B7BF1"/>
    <w:rsid w:val="002C060B"/>
    <w:rsid w:val="002C079B"/>
    <w:rsid w:val="002C099B"/>
    <w:rsid w:val="002C1C0E"/>
    <w:rsid w:val="002C449F"/>
    <w:rsid w:val="002C51B1"/>
    <w:rsid w:val="002C5475"/>
    <w:rsid w:val="002C5A00"/>
    <w:rsid w:val="002C6175"/>
    <w:rsid w:val="002C6DB0"/>
    <w:rsid w:val="002C70CC"/>
    <w:rsid w:val="002C731B"/>
    <w:rsid w:val="002C7774"/>
    <w:rsid w:val="002D0FD8"/>
    <w:rsid w:val="002D1223"/>
    <w:rsid w:val="002D2DD6"/>
    <w:rsid w:val="002D3058"/>
    <w:rsid w:val="002D4562"/>
    <w:rsid w:val="002D46A9"/>
    <w:rsid w:val="002D578A"/>
    <w:rsid w:val="002D5815"/>
    <w:rsid w:val="002D5A6A"/>
    <w:rsid w:val="002D609D"/>
    <w:rsid w:val="002D637B"/>
    <w:rsid w:val="002D640D"/>
    <w:rsid w:val="002D6BD8"/>
    <w:rsid w:val="002D6E84"/>
    <w:rsid w:val="002D7D6E"/>
    <w:rsid w:val="002E0B91"/>
    <w:rsid w:val="002E148D"/>
    <w:rsid w:val="002E1A88"/>
    <w:rsid w:val="002E2665"/>
    <w:rsid w:val="002E3838"/>
    <w:rsid w:val="002E411C"/>
    <w:rsid w:val="002E4956"/>
    <w:rsid w:val="002E4D8D"/>
    <w:rsid w:val="002E4E41"/>
    <w:rsid w:val="002E75C0"/>
    <w:rsid w:val="002E78E7"/>
    <w:rsid w:val="002E7D60"/>
    <w:rsid w:val="002F041F"/>
    <w:rsid w:val="002F07B4"/>
    <w:rsid w:val="002F0816"/>
    <w:rsid w:val="002F0BC2"/>
    <w:rsid w:val="002F335E"/>
    <w:rsid w:val="002F43A1"/>
    <w:rsid w:val="002F52CD"/>
    <w:rsid w:val="002F5679"/>
    <w:rsid w:val="002F5784"/>
    <w:rsid w:val="002F6400"/>
    <w:rsid w:val="002F66EB"/>
    <w:rsid w:val="002F6EB4"/>
    <w:rsid w:val="002F7C4C"/>
    <w:rsid w:val="0030024E"/>
    <w:rsid w:val="003005D6"/>
    <w:rsid w:val="003011C3"/>
    <w:rsid w:val="003041F5"/>
    <w:rsid w:val="00304253"/>
    <w:rsid w:val="0030463F"/>
    <w:rsid w:val="003046BD"/>
    <w:rsid w:val="003047F8"/>
    <w:rsid w:val="0030589B"/>
    <w:rsid w:val="0030590E"/>
    <w:rsid w:val="003069BC"/>
    <w:rsid w:val="00306B44"/>
    <w:rsid w:val="00306D28"/>
    <w:rsid w:val="00307007"/>
    <w:rsid w:val="00310841"/>
    <w:rsid w:val="00310E4E"/>
    <w:rsid w:val="003114CA"/>
    <w:rsid w:val="00311C66"/>
    <w:rsid w:val="00312123"/>
    <w:rsid w:val="00312C4E"/>
    <w:rsid w:val="00312EE5"/>
    <w:rsid w:val="003130F3"/>
    <w:rsid w:val="00313463"/>
    <w:rsid w:val="00316254"/>
    <w:rsid w:val="00316AAC"/>
    <w:rsid w:val="00317159"/>
    <w:rsid w:val="003174F4"/>
    <w:rsid w:val="003177A2"/>
    <w:rsid w:val="00317935"/>
    <w:rsid w:val="003179CA"/>
    <w:rsid w:val="00317C48"/>
    <w:rsid w:val="00320213"/>
    <w:rsid w:val="00320809"/>
    <w:rsid w:val="00321751"/>
    <w:rsid w:val="00321FD8"/>
    <w:rsid w:val="00322101"/>
    <w:rsid w:val="0032221E"/>
    <w:rsid w:val="00323233"/>
    <w:rsid w:val="003236CB"/>
    <w:rsid w:val="003246BA"/>
    <w:rsid w:val="00324F67"/>
    <w:rsid w:val="0032592D"/>
    <w:rsid w:val="00325BF7"/>
    <w:rsid w:val="003267FA"/>
    <w:rsid w:val="00327426"/>
    <w:rsid w:val="003300F0"/>
    <w:rsid w:val="00330654"/>
    <w:rsid w:val="00330A73"/>
    <w:rsid w:val="00330B1A"/>
    <w:rsid w:val="00330EA0"/>
    <w:rsid w:val="003312F5"/>
    <w:rsid w:val="00331936"/>
    <w:rsid w:val="00331CBC"/>
    <w:rsid w:val="0033344A"/>
    <w:rsid w:val="003349EA"/>
    <w:rsid w:val="00335550"/>
    <w:rsid w:val="003355F3"/>
    <w:rsid w:val="003364C6"/>
    <w:rsid w:val="003367B7"/>
    <w:rsid w:val="00336DD4"/>
    <w:rsid w:val="0033783A"/>
    <w:rsid w:val="00340599"/>
    <w:rsid w:val="003406A3"/>
    <w:rsid w:val="00340C93"/>
    <w:rsid w:val="00340E43"/>
    <w:rsid w:val="00340F1D"/>
    <w:rsid w:val="00340FFB"/>
    <w:rsid w:val="0034170A"/>
    <w:rsid w:val="00342668"/>
    <w:rsid w:val="00344686"/>
    <w:rsid w:val="0034505E"/>
    <w:rsid w:val="00345985"/>
    <w:rsid w:val="00346398"/>
    <w:rsid w:val="00346917"/>
    <w:rsid w:val="00346D46"/>
    <w:rsid w:val="003474D2"/>
    <w:rsid w:val="003502E1"/>
    <w:rsid w:val="003504B1"/>
    <w:rsid w:val="00350583"/>
    <w:rsid w:val="00350FA3"/>
    <w:rsid w:val="003548F5"/>
    <w:rsid w:val="00354F22"/>
    <w:rsid w:val="00355D13"/>
    <w:rsid w:val="0035604E"/>
    <w:rsid w:val="00356718"/>
    <w:rsid w:val="0035732F"/>
    <w:rsid w:val="00360924"/>
    <w:rsid w:val="00361A2D"/>
    <w:rsid w:val="00361BA3"/>
    <w:rsid w:val="00361FCC"/>
    <w:rsid w:val="00362C24"/>
    <w:rsid w:val="0036331D"/>
    <w:rsid w:val="00363B6E"/>
    <w:rsid w:val="00364A66"/>
    <w:rsid w:val="00364E67"/>
    <w:rsid w:val="0036519E"/>
    <w:rsid w:val="00365C1F"/>
    <w:rsid w:val="00367122"/>
    <w:rsid w:val="00367291"/>
    <w:rsid w:val="00367F48"/>
    <w:rsid w:val="00370383"/>
    <w:rsid w:val="00370D67"/>
    <w:rsid w:val="00371149"/>
    <w:rsid w:val="00371177"/>
    <w:rsid w:val="00371D54"/>
    <w:rsid w:val="00371F6F"/>
    <w:rsid w:val="00372771"/>
    <w:rsid w:val="0037277A"/>
    <w:rsid w:val="00374423"/>
    <w:rsid w:val="00374D25"/>
    <w:rsid w:val="00374EBD"/>
    <w:rsid w:val="00374F3C"/>
    <w:rsid w:val="00375308"/>
    <w:rsid w:val="00380D0F"/>
    <w:rsid w:val="00380DF9"/>
    <w:rsid w:val="00381DBC"/>
    <w:rsid w:val="003827C3"/>
    <w:rsid w:val="00382928"/>
    <w:rsid w:val="0038396C"/>
    <w:rsid w:val="00384611"/>
    <w:rsid w:val="0038473D"/>
    <w:rsid w:val="00384FAE"/>
    <w:rsid w:val="003861E2"/>
    <w:rsid w:val="00387274"/>
    <w:rsid w:val="003874AD"/>
    <w:rsid w:val="003875FD"/>
    <w:rsid w:val="00387728"/>
    <w:rsid w:val="0038778C"/>
    <w:rsid w:val="00387A2B"/>
    <w:rsid w:val="003911AB"/>
    <w:rsid w:val="0039330B"/>
    <w:rsid w:val="00393342"/>
    <w:rsid w:val="00393D1E"/>
    <w:rsid w:val="00394379"/>
    <w:rsid w:val="0039439E"/>
    <w:rsid w:val="003946FE"/>
    <w:rsid w:val="00394B64"/>
    <w:rsid w:val="00394FD7"/>
    <w:rsid w:val="003959FD"/>
    <w:rsid w:val="00396B74"/>
    <w:rsid w:val="00396C7C"/>
    <w:rsid w:val="00396C94"/>
    <w:rsid w:val="00396E42"/>
    <w:rsid w:val="00396F16"/>
    <w:rsid w:val="00397121"/>
    <w:rsid w:val="00397762"/>
    <w:rsid w:val="003A0035"/>
    <w:rsid w:val="003A0846"/>
    <w:rsid w:val="003A1180"/>
    <w:rsid w:val="003A1E03"/>
    <w:rsid w:val="003A2251"/>
    <w:rsid w:val="003A2F6A"/>
    <w:rsid w:val="003A30E8"/>
    <w:rsid w:val="003A3723"/>
    <w:rsid w:val="003A3AA6"/>
    <w:rsid w:val="003A414E"/>
    <w:rsid w:val="003A485A"/>
    <w:rsid w:val="003A4B9D"/>
    <w:rsid w:val="003A4EC1"/>
    <w:rsid w:val="003A5C45"/>
    <w:rsid w:val="003A6CAF"/>
    <w:rsid w:val="003A7D38"/>
    <w:rsid w:val="003B0100"/>
    <w:rsid w:val="003B04E7"/>
    <w:rsid w:val="003B137E"/>
    <w:rsid w:val="003B2384"/>
    <w:rsid w:val="003B2948"/>
    <w:rsid w:val="003B2A02"/>
    <w:rsid w:val="003B5128"/>
    <w:rsid w:val="003B548D"/>
    <w:rsid w:val="003B5934"/>
    <w:rsid w:val="003B59E5"/>
    <w:rsid w:val="003B5EED"/>
    <w:rsid w:val="003B6F76"/>
    <w:rsid w:val="003C1264"/>
    <w:rsid w:val="003C12A2"/>
    <w:rsid w:val="003C186E"/>
    <w:rsid w:val="003C1A00"/>
    <w:rsid w:val="003C2220"/>
    <w:rsid w:val="003C22C3"/>
    <w:rsid w:val="003C2D66"/>
    <w:rsid w:val="003C36F9"/>
    <w:rsid w:val="003C3E1D"/>
    <w:rsid w:val="003C4459"/>
    <w:rsid w:val="003C4516"/>
    <w:rsid w:val="003C467E"/>
    <w:rsid w:val="003C69B3"/>
    <w:rsid w:val="003C6A41"/>
    <w:rsid w:val="003C7108"/>
    <w:rsid w:val="003C72A6"/>
    <w:rsid w:val="003C744C"/>
    <w:rsid w:val="003C7DCB"/>
    <w:rsid w:val="003D3119"/>
    <w:rsid w:val="003D33B4"/>
    <w:rsid w:val="003D3699"/>
    <w:rsid w:val="003D3921"/>
    <w:rsid w:val="003D476C"/>
    <w:rsid w:val="003D5FC1"/>
    <w:rsid w:val="003D633C"/>
    <w:rsid w:val="003D68BA"/>
    <w:rsid w:val="003D6F83"/>
    <w:rsid w:val="003D7739"/>
    <w:rsid w:val="003E026C"/>
    <w:rsid w:val="003E0455"/>
    <w:rsid w:val="003E0AE4"/>
    <w:rsid w:val="003E211E"/>
    <w:rsid w:val="003E256B"/>
    <w:rsid w:val="003E386F"/>
    <w:rsid w:val="003E3BBD"/>
    <w:rsid w:val="003E3F2C"/>
    <w:rsid w:val="003E62C9"/>
    <w:rsid w:val="003E6746"/>
    <w:rsid w:val="003E7E8E"/>
    <w:rsid w:val="003F103B"/>
    <w:rsid w:val="003F1E46"/>
    <w:rsid w:val="003F1F33"/>
    <w:rsid w:val="003F1F96"/>
    <w:rsid w:val="003F21E9"/>
    <w:rsid w:val="003F2348"/>
    <w:rsid w:val="003F259E"/>
    <w:rsid w:val="003F2D8B"/>
    <w:rsid w:val="003F30C8"/>
    <w:rsid w:val="003F30FA"/>
    <w:rsid w:val="003F473E"/>
    <w:rsid w:val="003F5215"/>
    <w:rsid w:val="003F5455"/>
    <w:rsid w:val="003F5682"/>
    <w:rsid w:val="003F5688"/>
    <w:rsid w:val="003F5A69"/>
    <w:rsid w:val="003F5BEB"/>
    <w:rsid w:val="003F7563"/>
    <w:rsid w:val="003F7BCF"/>
    <w:rsid w:val="00400E1C"/>
    <w:rsid w:val="00400F8F"/>
    <w:rsid w:val="00401AE0"/>
    <w:rsid w:val="00402447"/>
    <w:rsid w:val="00402475"/>
    <w:rsid w:val="00402A8D"/>
    <w:rsid w:val="00402F26"/>
    <w:rsid w:val="00403985"/>
    <w:rsid w:val="004039A1"/>
    <w:rsid w:val="00403BE5"/>
    <w:rsid w:val="00405006"/>
    <w:rsid w:val="00405093"/>
    <w:rsid w:val="00405FED"/>
    <w:rsid w:val="004071A1"/>
    <w:rsid w:val="00407227"/>
    <w:rsid w:val="004072C0"/>
    <w:rsid w:val="00407CF1"/>
    <w:rsid w:val="00407E52"/>
    <w:rsid w:val="004107F0"/>
    <w:rsid w:val="0041275E"/>
    <w:rsid w:val="0041291A"/>
    <w:rsid w:val="00412AA7"/>
    <w:rsid w:val="00412AE8"/>
    <w:rsid w:val="00412FE5"/>
    <w:rsid w:val="00413705"/>
    <w:rsid w:val="00414555"/>
    <w:rsid w:val="004148A7"/>
    <w:rsid w:val="00414909"/>
    <w:rsid w:val="00414F64"/>
    <w:rsid w:val="00415041"/>
    <w:rsid w:val="004150AA"/>
    <w:rsid w:val="00415380"/>
    <w:rsid w:val="0041575D"/>
    <w:rsid w:val="004157FF"/>
    <w:rsid w:val="0041583B"/>
    <w:rsid w:val="004159B3"/>
    <w:rsid w:val="004163C5"/>
    <w:rsid w:val="00417071"/>
    <w:rsid w:val="0041767A"/>
    <w:rsid w:val="004176A3"/>
    <w:rsid w:val="00420349"/>
    <w:rsid w:val="00420BE0"/>
    <w:rsid w:val="004212A7"/>
    <w:rsid w:val="00421D6F"/>
    <w:rsid w:val="00422675"/>
    <w:rsid w:val="004235E6"/>
    <w:rsid w:val="004236CB"/>
    <w:rsid w:val="00423A29"/>
    <w:rsid w:val="0042480F"/>
    <w:rsid w:val="004250D5"/>
    <w:rsid w:val="0042648E"/>
    <w:rsid w:val="004267E8"/>
    <w:rsid w:val="00426F96"/>
    <w:rsid w:val="004276CC"/>
    <w:rsid w:val="00427B1B"/>
    <w:rsid w:val="00430141"/>
    <w:rsid w:val="0043065C"/>
    <w:rsid w:val="004307EE"/>
    <w:rsid w:val="004309E3"/>
    <w:rsid w:val="00430CE5"/>
    <w:rsid w:val="004316E5"/>
    <w:rsid w:val="00431B94"/>
    <w:rsid w:val="004331E0"/>
    <w:rsid w:val="004333E3"/>
    <w:rsid w:val="004336BE"/>
    <w:rsid w:val="0043370C"/>
    <w:rsid w:val="00435495"/>
    <w:rsid w:val="00435718"/>
    <w:rsid w:val="00435E8F"/>
    <w:rsid w:val="004360E6"/>
    <w:rsid w:val="00436178"/>
    <w:rsid w:val="00436387"/>
    <w:rsid w:val="0043684D"/>
    <w:rsid w:val="00436BB6"/>
    <w:rsid w:val="00437B98"/>
    <w:rsid w:val="00440337"/>
    <w:rsid w:val="00440CDD"/>
    <w:rsid w:val="00441AFE"/>
    <w:rsid w:val="00442939"/>
    <w:rsid w:val="00442A68"/>
    <w:rsid w:val="00443A6B"/>
    <w:rsid w:val="00443D1E"/>
    <w:rsid w:val="00445508"/>
    <w:rsid w:val="004456EB"/>
    <w:rsid w:val="004456EF"/>
    <w:rsid w:val="00445732"/>
    <w:rsid w:val="0044637C"/>
    <w:rsid w:val="00447DC6"/>
    <w:rsid w:val="00447ED1"/>
    <w:rsid w:val="00450381"/>
    <w:rsid w:val="004509EF"/>
    <w:rsid w:val="00450B4A"/>
    <w:rsid w:val="00450D61"/>
    <w:rsid w:val="0045122F"/>
    <w:rsid w:val="0045175B"/>
    <w:rsid w:val="00451BC8"/>
    <w:rsid w:val="00451FE1"/>
    <w:rsid w:val="00452B81"/>
    <w:rsid w:val="00452D7B"/>
    <w:rsid w:val="004535DE"/>
    <w:rsid w:val="004537E1"/>
    <w:rsid w:val="004558C0"/>
    <w:rsid w:val="004561D7"/>
    <w:rsid w:val="00457444"/>
    <w:rsid w:val="00457B7B"/>
    <w:rsid w:val="004609FF"/>
    <w:rsid w:val="00460D5D"/>
    <w:rsid w:val="0046101B"/>
    <w:rsid w:val="00461E2F"/>
    <w:rsid w:val="00463D34"/>
    <w:rsid w:val="00463F61"/>
    <w:rsid w:val="00464B6F"/>
    <w:rsid w:val="00465504"/>
    <w:rsid w:val="00465FA3"/>
    <w:rsid w:val="0046617D"/>
    <w:rsid w:val="004663E4"/>
    <w:rsid w:val="00466494"/>
    <w:rsid w:val="00471790"/>
    <w:rsid w:val="00471EAD"/>
    <w:rsid w:val="00471EE3"/>
    <w:rsid w:val="00472754"/>
    <w:rsid w:val="0047314E"/>
    <w:rsid w:val="00475B02"/>
    <w:rsid w:val="004761F4"/>
    <w:rsid w:val="00476368"/>
    <w:rsid w:val="00480D18"/>
    <w:rsid w:val="00481261"/>
    <w:rsid w:val="004816BA"/>
    <w:rsid w:val="00481785"/>
    <w:rsid w:val="00481ACE"/>
    <w:rsid w:val="00483168"/>
    <w:rsid w:val="0048343C"/>
    <w:rsid w:val="00483636"/>
    <w:rsid w:val="004839B6"/>
    <w:rsid w:val="00483B73"/>
    <w:rsid w:val="00483CE1"/>
    <w:rsid w:val="00483FC6"/>
    <w:rsid w:val="00484152"/>
    <w:rsid w:val="00484196"/>
    <w:rsid w:val="0048618B"/>
    <w:rsid w:val="00487903"/>
    <w:rsid w:val="00487EB8"/>
    <w:rsid w:val="00490CCF"/>
    <w:rsid w:val="00490E23"/>
    <w:rsid w:val="00491F3D"/>
    <w:rsid w:val="00491F98"/>
    <w:rsid w:val="00492485"/>
    <w:rsid w:val="004924ED"/>
    <w:rsid w:val="004936AF"/>
    <w:rsid w:val="004936D2"/>
    <w:rsid w:val="004938F3"/>
    <w:rsid w:val="00493B75"/>
    <w:rsid w:val="00493B7A"/>
    <w:rsid w:val="00494AE7"/>
    <w:rsid w:val="004950B8"/>
    <w:rsid w:val="00497551"/>
    <w:rsid w:val="004A0153"/>
    <w:rsid w:val="004A107E"/>
    <w:rsid w:val="004A1339"/>
    <w:rsid w:val="004A178D"/>
    <w:rsid w:val="004A2181"/>
    <w:rsid w:val="004A2A0C"/>
    <w:rsid w:val="004A35A7"/>
    <w:rsid w:val="004A397F"/>
    <w:rsid w:val="004A39AA"/>
    <w:rsid w:val="004A3C46"/>
    <w:rsid w:val="004A4054"/>
    <w:rsid w:val="004A41AB"/>
    <w:rsid w:val="004A44EA"/>
    <w:rsid w:val="004A5444"/>
    <w:rsid w:val="004A6D5B"/>
    <w:rsid w:val="004A7A33"/>
    <w:rsid w:val="004B1B6B"/>
    <w:rsid w:val="004B21F2"/>
    <w:rsid w:val="004B2C05"/>
    <w:rsid w:val="004B3A90"/>
    <w:rsid w:val="004B4A4D"/>
    <w:rsid w:val="004B5C01"/>
    <w:rsid w:val="004B5CA3"/>
    <w:rsid w:val="004B6BDF"/>
    <w:rsid w:val="004B71E5"/>
    <w:rsid w:val="004B7643"/>
    <w:rsid w:val="004C01C7"/>
    <w:rsid w:val="004C02B5"/>
    <w:rsid w:val="004C0E51"/>
    <w:rsid w:val="004C157F"/>
    <w:rsid w:val="004C17B5"/>
    <w:rsid w:val="004C1A0E"/>
    <w:rsid w:val="004C2596"/>
    <w:rsid w:val="004C282C"/>
    <w:rsid w:val="004C3656"/>
    <w:rsid w:val="004C66ED"/>
    <w:rsid w:val="004C6E8B"/>
    <w:rsid w:val="004C7013"/>
    <w:rsid w:val="004D195E"/>
    <w:rsid w:val="004D20CE"/>
    <w:rsid w:val="004D2B7E"/>
    <w:rsid w:val="004D2C15"/>
    <w:rsid w:val="004D36E4"/>
    <w:rsid w:val="004D3C71"/>
    <w:rsid w:val="004D3E90"/>
    <w:rsid w:val="004D4002"/>
    <w:rsid w:val="004D4379"/>
    <w:rsid w:val="004D4F0A"/>
    <w:rsid w:val="004D5316"/>
    <w:rsid w:val="004D5D4A"/>
    <w:rsid w:val="004D6FAA"/>
    <w:rsid w:val="004D721C"/>
    <w:rsid w:val="004D7A61"/>
    <w:rsid w:val="004D7D48"/>
    <w:rsid w:val="004E07DE"/>
    <w:rsid w:val="004E0BBB"/>
    <w:rsid w:val="004E0E1C"/>
    <w:rsid w:val="004E206D"/>
    <w:rsid w:val="004E21BE"/>
    <w:rsid w:val="004E2785"/>
    <w:rsid w:val="004E3934"/>
    <w:rsid w:val="004E3A7E"/>
    <w:rsid w:val="004E3ECE"/>
    <w:rsid w:val="004E4635"/>
    <w:rsid w:val="004E4C38"/>
    <w:rsid w:val="004E5E8F"/>
    <w:rsid w:val="004E7885"/>
    <w:rsid w:val="004F0966"/>
    <w:rsid w:val="004F0CDB"/>
    <w:rsid w:val="004F14F3"/>
    <w:rsid w:val="004F163A"/>
    <w:rsid w:val="004F1B23"/>
    <w:rsid w:val="004F2822"/>
    <w:rsid w:val="004F2E78"/>
    <w:rsid w:val="004F2F11"/>
    <w:rsid w:val="004F409E"/>
    <w:rsid w:val="004F540B"/>
    <w:rsid w:val="004F58D1"/>
    <w:rsid w:val="004F5918"/>
    <w:rsid w:val="004F5A7B"/>
    <w:rsid w:val="004F6566"/>
    <w:rsid w:val="004F662A"/>
    <w:rsid w:val="004F6633"/>
    <w:rsid w:val="004F6E96"/>
    <w:rsid w:val="004F70C3"/>
    <w:rsid w:val="004F73CE"/>
    <w:rsid w:val="004F771F"/>
    <w:rsid w:val="004F7B3E"/>
    <w:rsid w:val="005008E6"/>
    <w:rsid w:val="00500A51"/>
    <w:rsid w:val="0050103C"/>
    <w:rsid w:val="00501EB2"/>
    <w:rsid w:val="0050235B"/>
    <w:rsid w:val="005024A8"/>
    <w:rsid w:val="005029D3"/>
    <w:rsid w:val="00502E6F"/>
    <w:rsid w:val="00502EE8"/>
    <w:rsid w:val="005036F8"/>
    <w:rsid w:val="00503960"/>
    <w:rsid w:val="00504664"/>
    <w:rsid w:val="00504D2C"/>
    <w:rsid w:val="005058CD"/>
    <w:rsid w:val="005077D1"/>
    <w:rsid w:val="00507C3E"/>
    <w:rsid w:val="00510844"/>
    <w:rsid w:val="00510FCE"/>
    <w:rsid w:val="0051259E"/>
    <w:rsid w:val="00513B4D"/>
    <w:rsid w:val="00513DD5"/>
    <w:rsid w:val="005145AE"/>
    <w:rsid w:val="00514B61"/>
    <w:rsid w:val="0051685F"/>
    <w:rsid w:val="00517578"/>
    <w:rsid w:val="00517636"/>
    <w:rsid w:val="005200EE"/>
    <w:rsid w:val="00520191"/>
    <w:rsid w:val="00520A2A"/>
    <w:rsid w:val="00520BB8"/>
    <w:rsid w:val="00520C29"/>
    <w:rsid w:val="00520CDE"/>
    <w:rsid w:val="005210D6"/>
    <w:rsid w:val="005212F6"/>
    <w:rsid w:val="00521841"/>
    <w:rsid w:val="005219F7"/>
    <w:rsid w:val="00521C9C"/>
    <w:rsid w:val="00522864"/>
    <w:rsid w:val="00522F8E"/>
    <w:rsid w:val="00523729"/>
    <w:rsid w:val="00523FE2"/>
    <w:rsid w:val="005241EE"/>
    <w:rsid w:val="005248A7"/>
    <w:rsid w:val="00525207"/>
    <w:rsid w:val="005257BA"/>
    <w:rsid w:val="005275B1"/>
    <w:rsid w:val="00527DB3"/>
    <w:rsid w:val="00530475"/>
    <w:rsid w:val="0053078E"/>
    <w:rsid w:val="00532456"/>
    <w:rsid w:val="005328C7"/>
    <w:rsid w:val="00532EE0"/>
    <w:rsid w:val="00533CAD"/>
    <w:rsid w:val="00533E28"/>
    <w:rsid w:val="005342C5"/>
    <w:rsid w:val="005349CB"/>
    <w:rsid w:val="00534D07"/>
    <w:rsid w:val="00534E2F"/>
    <w:rsid w:val="0053573C"/>
    <w:rsid w:val="00535E13"/>
    <w:rsid w:val="00536835"/>
    <w:rsid w:val="00536DC6"/>
    <w:rsid w:val="005402F0"/>
    <w:rsid w:val="0054117A"/>
    <w:rsid w:val="00541542"/>
    <w:rsid w:val="0054203D"/>
    <w:rsid w:val="005420C1"/>
    <w:rsid w:val="00542B84"/>
    <w:rsid w:val="00544750"/>
    <w:rsid w:val="005448C3"/>
    <w:rsid w:val="0054596A"/>
    <w:rsid w:val="00545BC2"/>
    <w:rsid w:val="005463ED"/>
    <w:rsid w:val="00550967"/>
    <w:rsid w:val="005510C9"/>
    <w:rsid w:val="005511C1"/>
    <w:rsid w:val="00551626"/>
    <w:rsid w:val="00551AE8"/>
    <w:rsid w:val="00551C46"/>
    <w:rsid w:val="005533A4"/>
    <w:rsid w:val="00553976"/>
    <w:rsid w:val="005542A1"/>
    <w:rsid w:val="00554544"/>
    <w:rsid w:val="005558E7"/>
    <w:rsid w:val="00555AFF"/>
    <w:rsid w:val="00557354"/>
    <w:rsid w:val="005576CD"/>
    <w:rsid w:val="0056037E"/>
    <w:rsid w:val="005605FC"/>
    <w:rsid w:val="005606C7"/>
    <w:rsid w:val="005610E3"/>
    <w:rsid w:val="0056154C"/>
    <w:rsid w:val="005622A9"/>
    <w:rsid w:val="00562A50"/>
    <w:rsid w:val="00562E68"/>
    <w:rsid w:val="0056367F"/>
    <w:rsid w:val="005644A9"/>
    <w:rsid w:val="005645DE"/>
    <w:rsid w:val="0056562C"/>
    <w:rsid w:val="005671D9"/>
    <w:rsid w:val="0056779D"/>
    <w:rsid w:val="00567B48"/>
    <w:rsid w:val="00567D0D"/>
    <w:rsid w:val="005700C8"/>
    <w:rsid w:val="0057047E"/>
    <w:rsid w:val="00570EB7"/>
    <w:rsid w:val="005713FE"/>
    <w:rsid w:val="00571CD8"/>
    <w:rsid w:val="00572576"/>
    <w:rsid w:val="00572581"/>
    <w:rsid w:val="005730F2"/>
    <w:rsid w:val="00573302"/>
    <w:rsid w:val="005734AA"/>
    <w:rsid w:val="00574990"/>
    <w:rsid w:val="00574C8F"/>
    <w:rsid w:val="00574CAD"/>
    <w:rsid w:val="005755C0"/>
    <w:rsid w:val="005759AC"/>
    <w:rsid w:val="005760DA"/>
    <w:rsid w:val="0057650E"/>
    <w:rsid w:val="005768E8"/>
    <w:rsid w:val="00577FA2"/>
    <w:rsid w:val="00580197"/>
    <w:rsid w:val="0058106D"/>
    <w:rsid w:val="005817ED"/>
    <w:rsid w:val="00583131"/>
    <w:rsid w:val="0058324D"/>
    <w:rsid w:val="005834DB"/>
    <w:rsid w:val="00584369"/>
    <w:rsid w:val="0058483A"/>
    <w:rsid w:val="00584E3E"/>
    <w:rsid w:val="00585115"/>
    <w:rsid w:val="0058701D"/>
    <w:rsid w:val="005875CA"/>
    <w:rsid w:val="005912E0"/>
    <w:rsid w:val="0059140C"/>
    <w:rsid w:val="005917A7"/>
    <w:rsid w:val="00591B55"/>
    <w:rsid w:val="00591E65"/>
    <w:rsid w:val="0059217D"/>
    <w:rsid w:val="0059411B"/>
    <w:rsid w:val="00594143"/>
    <w:rsid w:val="0059519A"/>
    <w:rsid w:val="005958FD"/>
    <w:rsid w:val="00597374"/>
    <w:rsid w:val="005973B8"/>
    <w:rsid w:val="005975B5"/>
    <w:rsid w:val="005A09D7"/>
    <w:rsid w:val="005A1D21"/>
    <w:rsid w:val="005A3E00"/>
    <w:rsid w:val="005A3FA3"/>
    <w:rsid w:val="005A4100"/>
    <w:rsid w:val="005A47EC"/>
    <w:rsid w:val="005A5E65"/>
    <w:rsid w:val="005A7484"/>
    <w:rsid w:val="005A7A85"/>
    <w:rsid w:val="005A7AFA"/>
    <w:rsid w:val="005B0EEF"/>
    <w:rsid w:val="005B1EA1"/>
    <w:rsid w:val="005B1EB6"/>
    <w:rsid w:val="005B25C9"/>
    <w:rsid w:val="005B343B"/>
    <w:rsid w:val="005B481F"/>
    <w:rsid w:val="005B4D3D"/>
    <w:rsid w:val="005B5781"/>
    <w:rsid w:val="005B602B"/>
    <w:rsid w:val="005B61B4"/>
    <w:rsid w:val="005B6CB8"/>
    <w:rsid w:val="005C0157"/>
    <w:rsid w:val="005C116C"/>
    <w:rsid w:val="005C224B"/>
    <w:rsid w:val="005C36AA"/>
    <w:rsid w:val="005C377A"/>
    <w:rsid w:val="005C4198"/>
    <w:rsid w:val="005C42BA"/>
    <w:rsid w:val="005C4587"/>
    <w:rsid w:val="005C504D"/>
    <w:rsid w:val="005C5F66"/>
    <w:rsid w:val="005C68BF"/>
    <w:rsid w:val="005C6B92"/>
    <w:rsid w:val="005C6E31"/>
    <w:rsid w:val="005C76F5"/>
    <w:rsid w:val="005D00B4"/>
    <w:rsid w:val="005D035B"/>
    <w:rsid w:val="005D1D6F"/>
    <w:rsid w:val="005D1DB2"/>
    <w:rsid w:val="005D28D6"/>
    <w:rsid w:val="005D2D70"/>
    <w:rsid w:val="005D2F62"/>
    <w:rsid w:val="005D30F9"/>
    <w:rsid w:val="005D327D"/>
    <w:rsid w:val="005D3CF1"/>
    <w:rsid w:val="005D4417"/>
    <w:rsid w:val="005D4BBA"/>
    <w:rsid w:val="005D5069"/>
    <w:rsid w:val="005D537A"/>
    <w:rsid w:val="005D5F5D"/>
    <w:rsid w:val="005D65FA"/>
    <w:rsid w:val="005D665C"/>
    <w:rsid w:val="005D6864"/>
    <w:rsid w:val="005D74B4"/>
    <w:rsid w:val="005D7502"/>
    <w:rsid w:val="005D77A3"/>
    <w:rsid w:val="005D7973"/>
    <w:rsid w:val="005E060D"/>
    <w:rsid w:val="005E0BC1"/>
    <w:rsid w:val="005E241D"/>
    <w:rsid w:val="005E2DC7"/>
    <w:rsid w:val="005E3A79"/>
    <w:rsid w:val="005E3F39"/>
    <w:rsid w:val="005E5295"/>
    <w:rsid w:val="005E5FED"/>
    <w:rsid w:val="005E6BCA"/>
    <w:rsid w:val="005E72E2"/>
    <w:rsid w:val="005E7EC3"/>
    <w:rsid w:val="005E7EEE"/>
    <w:rsid w:val="005F0D45"/>
    <w:rsid w:val="005F173D"/>
    <w:rsid w:val="005F2210"/>
    <w:rsid w:val="005F2673"/>
    <w:rsid w:val="005F2A74"/>
    <w:rsid w:val="005F2CF8"/>
    <w:rsid w:val="005F339F"/>
    <w:rsid w:val="005F47F9"/>
    <w:rsid w:val="005F4BC4"/>
    <w:rsid w:val="005F57AF"/>
    <w:rsid w:val="005F5B2C"/>
    <w:rsid w:val="005F63AF"/>
    <w:rsid w:val="005F6C31"/>
    <w:rsid w:val="005F6EC4"/>
    <w:rsid w:val="005F70DF"/>
    <w:rsid w:val="005F7B5B"/>
    <w:rsid w:val="00600385"/>
    <w:rsid w:val="00600C6D"/>
    <w:rsid w:val="006011BF"/>
    <w:rsid w:val="00601B65"/>
    <w:rsid w:val="00602243"/>
    <w:rsid w:val="006022E7"/>
    <w:rsid w:val="00603EFD"/>
    <w:rsid w:val="00604CA1"/>
    <w:rsid w:val="00606531"/>
    <w:rsid w:val="00606B1C"/>
    <w:rsid w:val="00607D6E"/>
    <w:rsid w:val="00607EF9"/>
    <w:rsid w:val="00607EFA"/>
    <w:rsid w:val="00610065"/>
    <w:rsid w:val="006106BD"/>
    <w:rsid w:val="0061079A"/>
    <w:rsid w:val="006109B9"/>
    <w:rsid w:val="00611083"/>
    <w:rsid w:val="00611EE3"/>
    <w:rsid w:val="006128A3"/>
    <w:rsid w:val="00613064"/>
    <w:rsid w:val="00613155"/>
    <w:rsid w:val="006135F4"/>
    <w:rsid w:val="00614376"/>
    <w:rsid w:val="006145BD"/>
    <w:rsid w:val="006149D9"/>
    <w:rsid w:val="00614A62"/>
    <w:rsid w:val="00615631"/>
    <w:rsid w:val="00615915"/>
    <w:rsid w:val="00615A04"/>
    <w:rsid w:val="00616B5C"/>
    <w:rsid w:val="00617695"/>
    <w:rsid w:val="00620065"/>
    <w:rsid w:val="00621338"/>
    <w:rsid w:val="00621616"/>
    <w:rsid w:val="00621A76"/>
    <w:rsid w:val="00622BE8"/>
    <w:rsid w:val="00623763"/>
    <w:rsid w:val="00623B25"/>
    <w:rsid w:val="00624079"/>
    <w:rsid w:val="00624209"/>
    <w:rsid w:val="006249AD"/>
    <w:rsid w:val="00624C9B"/>
    <w:rsid w:val="00625537"/>
    <w:rsid w:val="006257C9"/>
    <w:rsid w:val="00627570"/>
    <w:rsid w:val="00627C13"/>
    <w:rsid w:val="00627C9F"/>
    <w:rsid w:val="00627E7A"/>
    <w:rsid w:val="00630856"/>
    <w:rsid w:val="00632557"/>
    <w:rsid w:val="00633532"/>
    <w:rsid w:val="00634283"/>
    <w:rsid w:val="00634420"/>
    <w:rsid w:val="006344A8"/>
    <w:rsid w:val="00634C27"/>
    <w:rsid w:val="0063539A"/>
    <w:rsid w:val="0063603A"/>
    <w:rsid w:val="00636061"/>
    <w:rsid w:val="006361DC"/>
    <w:rsid w:val="006363C0"/>
    <w:rsid w:val="00637B8E"/>
    <w:rsid w:val="00637F7F"/>
    <w:rsid w:val="00640766"/>
    <w:rsid w:val="00640B2F"/>
    <w:rsid w:val="00641106"/>
    <w:rsid w:val="00641447"/>
    <w:rsid w:val="00641DCB"/>
    <w:rsid w:val="006420F3"/>
    <w:rsid w:val="00643658"/>
    <w:rsid w:val="006443E1"/>
    <w:rsid w:val="006446DF"/>
    <w:rsid w:val="00644BF7"/>
    <w:rsid w:val="00645B75"/>
    <w:rsid w:val="00645BCA"/>
    <w:rsid w:val="00645F0B"/>
    <w:rsid w:val="00646156"/>
    <w:rsid w:val="0064693D"/>
    <w:rsid w:val="006469D0"/>
    <w:rsid w:val="00647033"/>
    <w:rsid w:val="00650004"/>
    <w:rsid w:val="0065093C"/>
    <w:rsid w:val="00650DEE"/>
    <w:rsid w:val="006512D2"/>
    <w:rsid w:val="006518E0"/>
    <w:rsid w:val="006532AB"/>
    <w:rsid w:val="006535ED"/>
    <w:rsid w:val="00653A47"/>
    <w:rsid w:val="0065459E"/>
    <w:rsid w:val="006547B9"/>
    <w:rsid w:val="006547F3"/>
    <w:rsid w:val="00654A94"/>
    <w:rsid w:val="00654BDC"/>
    <w:rsid w:val="00654C25"/>
    <w:rsid w:val="00654EED"/>
    <w:rsid w:val="00655198"/>
    <w:rsid w:val="0065530D"/>
    <w:rsid w:val="00655DB5"/>
    <w:rsid w:val="00656C50"/>
    <w:rsid w:val="00656EBC"/>
    <w:rsid w:val="006573B1"/>
    <w:rsid w:val="0065760E"/>
    <w:rsid w:val="00660013"/>
    <w:rsid w:val="0066046E"/>
    <w:rsid w:val="006607C1"/>
    <w:rsid w:val="00661134"/>
    <w:rsid w:val="00662DAF"/>
    <w:rsid w:val="006634BD"/>
    <w:rsid w:val="00663622"/>
    <w:rsid w:val="0066402C"/>
    <w:rsid w:val="00664331"/>
    <w:rsid w:val="0066457C"/>
    <w:rsid w:val="00664BDD"/>
    <w:rsid w:val="00664DAC"/>
    <w:rsid w:val="006656A3"/>
    <w:rsid w:val="00665793"/>
    <w:rsid w:val="00665E57"/>
    <w:rsid w:val="00665ED8"/>
    <w:rsid w:val="00666BC1"/>
    <w:rsid w:val="00667952"/>
    <w:rsid w:val="006709D1"/>
    <w:rsid w:val="00671423"/>
    <w:rsid w:val="00671EB7"/>
    <w:rsid w:val="00671FDA"/>
    <w:rsid w:val="006727BD"/>
    <w:rsid w:val="00673286"/>
    <w:rsid w:val="00673EA1"/>
    <w:rsid w:val="00674597"/>
    <w:rsid w:val="00675BFF"/>
    <w:rsid w:val="00675E57"/>
    <w:rsid w:val="006761C5"/>
    <w:rsid w:val="006764C1"/>
    <w:rsid w:val="00676DE7"/>
    <w:rsid w:val="006770F1"/>
    <w:rsid w:val="00677C15"/>
    <w:rsid w:val="0068057F"/>
    <w:rsid w:val="006817E2"/>
    <w:rsid w:val="006828CB"/>
    <w:rsid w:val="00682BEA"/>
    <w:rsid w:val="00682D63"/>
    <w:rsid w:val="006837C8"/>
    <w:rsid w:val="00683838"/>
    <w:rsid w:val="006839F0"/>
    <w:rsid w:val="0068549C"/>
    <w:rsid w:val="00686CB1"/>
    <w:rsid w:val="0068749F"/>
    <w:rsid w:val="00687547"/>
    <w:rsid w:val="00687945"/>
    <w:rsid w:val="00687E21"/>
    <w:rsid w:val="00690F23"/>
    <w:rsid w:val="006910BE"/>
    <w:rsid w:val="0069219D"/>
    <w:rsid w:val="0069252C"/>
    <w:rsid w:val="00692B5E"/>
    <w:rsid w:val="00692D1D"/>
    <w:rsid w:val="00692DBB"/>
    <w:rsid w:val="00694110"/>
    <w:rsid w:val="006946D7"/>
    <w:rsid w:val="00694BB7"/>
    <w:rsid w:val="0069619F"/>
    <w:rsid w:val="006964BF"/>
    <w:rsid w:val="006968F7"/>
    <w:rsid w:val="00696CFD"/>
    <w:rsid w:val="00697274"/>
    <w:rsid w:val="00697A2E"/>
    <w:rsid w:val="006A0327"/>
    <w:rsid w:val="006A08F1"/>
    <w:rsid w:val="006A0B86"/>
    <w:rsid w:val="006A2406"/>
    <w:rsid w:val="006A26ED"/>
    <w:rsid w:val="006A2B2F"/>
    <w:rsid w:val="006A436B"/>
    <w:rsid w:val="006A45D4"/>
    <w:rsid w:val="006A5BA1"/>
    <w:rsid w:val="006A5E7A"/>
    <w:rsid w:val="006A63C7"/>
    <w:rsid w:val="006A7259"/>
    <w:rsid w:val="006B08A1"/>
    <w:rsid w:val="006B1371"/>
    <w:rsid w:val="006B15F8"/>
    <w:rsid w:val="006B210C"/>
    <w:rsid w:val="006B3C6D"/>
    <w:rsid w:val="006B41A6"/>
    <w:rsid w:val="006B44A1"/>
    <w:rsid w:val="006B4720"/>
    <w:rsid w:val="006B5918"/>
    <w:rsid w:val="006B5B93"/>
    <w:rsid w:val="006B7057"/>
    <w:rsid w:val="006C0C24"/>
    <w:rsid w:val="006C14C1"/>
    <w:rsid w:val="006C1550"/>
    <w:rsid w:val="006C196E"/>
    <w:rsid w:val="006C2327"/>
    <w:rsid w:val="006C28D3"/>
    <w:rsid w:val="006C2D2B"/>
    <w:rsid w:val="006C35A7"/>
    <w:rsid w:val="006C3666"/>
    <w:rsid w:val="006C3910"/>
    <w:rsid w:val="006C3C23"/>
    <w:rsid w:val="006C45D4"/>
    <w:rsid w:val="006C52D8"/>
    <w:rsid w:val="006C6AA5"/>
    <w:rsid w:val="006C6AB6"/>
    <w:rsid w:val="006D00F8"/>
    <w:rsid w:val="006D016C"/>
    <w:rsid w:val="006D088A"/>
    <w:rsid w:val="006D2023"/>
    <w:rsid w:val="006D2ABE"/>
    <w:rsid w:val="006D339B"/>
    <w:rsid w:val="006D38C8"/>
    <w:rsid w:val="006D4E4E"/>
    <w:rsid w:val="006D4FF1"/>
    <w:rsid w:val="006D5D15"/>
    <w:rsid w:val="006D6AC6"/>
    <w:rsid w:val="006D6FE6"/>
    <w:rsid w:val="006D70D6"/>
    <w:rsid w:val="006E08BC"/>
    <w:rsid w:val="006E10FC"/>
    <w:rsid w:val="006E11D5"/>
    <w:rsid w:val="006E167B"/>
    <w:rsid w:val="006E1A78"/>
    <w:rsid w:val="006E1B55"/>
    <w:rsid w:val="006E1BAA"/>
    <w:rsid w:val="006E29C6"/>
    <w:rsid w:val="006E2D04"/>
    <w:rsid w:val="006E369A"/>
    <w:rsid w:val="006E3A82"/>
    <w:rsid w:val="006E3FC5"/>
    <w:rsid w:val="006E51F6"/>
    <w:rsid w:val="006E549F"/>
    <w:rsid w:val="006E636B"/>
    <w:rsid w:val="006E67EC"/>
    <w:rsid w:val="006F0968"/>
    <w:rsid w:val="006F0B58"/>
    <w:rsid w:val="006F1431"/>
    <w:rsid w:val="006F1F63"/>
    <w:rsid w:val="006F1F9D"/>
    <w:rsid w:val="006F27B6"/>
    <w:rsid w:val="006F32D6"/>
    <w:rsid w:val="006F3B6B"/>
    <w:rsid w:val="006F3D86"/>
    <w:rsid w:val="006F414F"/>
    <w:rsid w:val="006F52F7"/>
    <w:rsid w:val="006F6539"/>
    <w:rsid w:val="006F7366"/>
    <w:rsid w:val="006F76BB"/>
    <w:rsid w:val="006F7AD5"/>
    <w:rsid w:val="0070011F"/>
    <w:rsid w:val="00700B7B"/>
    <w:rsid w:val="00702351"/>
    <w:rsid w:val="007024B2"/>
    <w:rsid w:val="007028B4"/>
    <w:rsid w:val="00702EA3"/>
    <w:rsid w:val="00703CA7"/>
    <w:rsid w:val="00703E74"/>
    <w:rsid w:val="00705224"/>
    <w:rsid w:val="007053D1"/>
    <w:rsid w:val="0070556C"/>
    <w:rsid w:val="00705F22"/>
    <w:rsid w:val="007062D4"/>
    <w:rsid w:val="00706603"/>
    <w:rsid w:val="00706699"/>
    <w:rsid w:val="007079FD"/>
    <w:rsid w:val="00707B80"/>
    <w:rsid w:val="00707C4F"/>
    <w:rsid w:val="00712E7C"/>
    <w:rsid w:val="00713B17"/>
    <w:rsid w:val="0071421C"/>
    <w:rsid w:val="00716C2D"/>
    <w:rsid w:val="00717166"/>
    <w:rsid w:val="00717F97"/>
    <w:rsid w:val="00720374"/>
    <w:rsid w:val="0072038B"/>
    <w:rsid w:val="007224E2"/>
    <w:rsid w:val="00722656"/>
    <w:rsid w:val="00723F45"/>
    <w:rsid w:val="0072557B"/>
    <w:rsid w:val="00725690"/>
    <w:rsid w:val="00725915"/>
    <w:rsid w:val="00725C25"/>
    <w:rsid w:val="00726A86"/>
    <w:rsid w:val="00726E9B"/>
    <w:rsid w:val="007270AB"/>
    <w:rsid w:val="0072752B"/>
    <w:rsid w:val="007276D3"/>
    <w:rsid w:val="007277B8"/>
    <w:rsid w:val="0073124E"/>
    <w:rsid w:val="007313E8"/>
    <w:rsid w:val="007319A7"/>
    <w:rsid w:val="00731B44"/>
    <w:rsid w:val="00731D6C"/>
    <w:rsid w:val="007329A3"/>
    <w:rsid w:val="00732F3F"/>
    <w:rsid w:val="007335DE"/>
    <w:rsid w:val="00733709"/>
    <w:rsid w:val="00734DD8"/>
    <w:rsid w:val="00735A43"/>
    <w:rsid w:val="00735BBA"/>
    <w:rsid w:val="00735F80"/>
    <w:rsid w:val="00736010"/>
    <w:rsid w:val="00736206"/>
    <w:rsid w:val="00736AC6"/>
    <w:rsid w:val="0073708F"/>
    <w:rsid w:val="00737BB5"/>
    <w:rsid w:val="00740B6E"/>
    <w:rsid w:val="0074239E"/>
    <w:rsid w:val="00742A7A"/>
    <w:rsid w:val="007448D6"/>
    <w:rsid w:val="00744E20"/>
    <w:rsid w:val="0074505F"/>
    <w:rsid w:val="00745B05"/>
    <w:rsid w:val="0074694A"/>
    <w:rsid w:val="00751DBA"/>
    <w:rsid w:val="00752082"/>
    <w:rsid w:val="007538D2"/>
    <w:rsid w:val="00753F8C"/>
    <w:rsid w:val="007545A7"/>
    <w:rsid w:val="007548F9"/>
    <w:rsid w:val="007551F4"/>
    <w:rsid w:val="00755824"/>
    <w:rsid w:val="00755B18"/>
    <w:rsid w:val="00756191"/>
    <w:rsid w:val="007564CE"/>
    <w:rsid w:val="0075653D"/>
    <w:rsid w:val="00756F1D"/>
    <w:rsid w:val="00757447"/>
    <w:rsid w:val="007574DB"/>
    <w:rsid w:val="007579C3"/>
    <w:rsid w:val="00757B31"/>
    <w:rsid w:val="0076142D"/>
    <w:rsid w:val="007618C3"/>
    <w:rsid w:val="00761A00"/>
    <w:rsid w:val="007622D0"/>
    <w:rsid w:val="00762306"/>
    <w:rsid w:val="00762315"/>
    <w:rsid w:val="00762E8B"/>
    <w:rsid w:val="00763B61"/>
    <w:rsid w:val="00763C2D"/>
    <w:rsid w:val="00763D4B"/>
    <w:rsid w:val="00764957"/>
    <w:rsid w:val="00764C35"/>
    <w:rsid w:val="00765AA7"/>
    <w:rsid w:val="00765BD0"/>
    <w:rsid w:val="00765DA0"/>
    <w:rsid w:val="00766017"/>
    <w:rsid w:val="0076617C"/>
    <w:rsid w:val="0076672F"/>
    <w:rsid w:val="007706E7"/>
    <w:rsid w:val="00770E40"/>
    <w:rsid w:val="0077192A"/>
    <w:rsid w:val="00771CCC"/>
    <w:rsid w:val="00772546"/>
    <w:rsid w:val="0077292B"/>
    <w:rsid w:val="00772D6B"/>
    <w:rsid w:val="00773331"/>
    <w:rsid w:val="007742AB"/>
    <w:rsid w:val="00774844"/>
    <w:rsid w:val="00774FA9"/>
    <w:rsid w:val="00774FC6"/>
    <w:rsid w:val="007758F5"/>
    <w:rsid w:val="0077597B"/>
    <w:rsid w:val="00775BFD"/>
    <w:rsid w:val="00775DAB"/>
    <w:rsid w:val="00775F27"/>
    <w:rsid w:val="007767D2"/>
    <w:rsid w:val="007767E9"/>
    <w:rsid w:val="0077690E"/>
    <w:rsid w:val="00776ECC"/>
    <w:rsid w:val="00777232"/>
    <w:rsid w:val="00780057"/>
    <w:rsid w:val="0078226C"/>
    <w:rsid w:val="00782605"/>
    <w:rsid w:val="007831E0"/>
    <w:rsid w:val="007836ED"/>
    <w:rsid w:val="00783B01"/>
    <w:rsid w:val="00784EA9"/>
    <w:rsid w:val="00785305"/>
    <w:rsid w:val="00785F77"/>
    <w:rsid w:val="00786185"/>
    <w:rsid w:val="00786EED"/>
    <w:rsid w:val="00787506"/>
    <w:rsid w:val="00787A69"/>
    <w:rsid w:val="00787F82"/>
    <w:rsid w:val="0079017A"/>
    <w:rsid w:val="00790319"/>
    <w:rsid w:val="00790661"/>
    <w:rsid w:val="00790B3E"/>
    <w:rsid w:val="007928C6"/>
    <w:rsid w:val="00792CAF"/>
    <w:rsid w:val="007932EF"/>
    <w:rsid w:val="007932F1"/>
    <w:rsid w:val="00793E44"/>
    <w:rsid w:val="00794C7D"/>
    <w:rsid w:val="007962F0"/>
    <w:rsid w:val="0079631A"/>
    <w:rsid w:val="007965A5"/>
    <w:rsid w:val="00797F63"/>
    <w:rsid w:val="007A2206"/>
    <w:rsid w:val="007A24FD"/>
    <w:rsid w:val="007A4D24"/>
    <w:rsid w:val="007A4DDA"/>
    <w:rsid w:val="007A53EC"/>
    <w:rsid w:val="007A54FF"/>
    <w:rsid w:val="007A5ECE"/>
    <w:rsid w:val="007A6810"/>
    <w:rsid w:val="007A7179"/>
    <w:rsid w:val="007A76F1"/>
    <w:rsid w:val="007A7BC7"/>
    <w:rsid w:val="007A7EE6"/>
    <w:rsid w:val="007B2B1B"/>
    <w:rsid w:val="007B3924"/>
    <w:rsid w:val="007B3C13"/>
    <w:rsid w:val="007B411B"/>
    <w:rsid w:val="007B582F"/>
    <w:rsid w:val="007B58C3"/>
    <w:rsid w:val="007B5CB3"/>
    <w:rsid w:val="007B694C"/>
    <w:rsid w:val="007B7323"/>
    <w:rsid w:val="007B7C4A"/>
    <w:rsid w:val="007C016A"/>
    <w:rsid w:val="007C17B2"/>
    <w:rsid w:val="007C1B9C"/>
    <w:rsid w:val="007C1C43"/>
    <w:rsid w:val="007C2041"/>
    <w:rsid w:val="007C26FB"/>
    <w:rsid w:val="007C2D99"/>
    <w:rsid w:val="007C3837"/>
    <w:rsid w:val="007C46DB"/>
    <w:rsid w:val="007C4A56"/>
    <w:rsid w:val="007C7C38"/>
    <w:rsid w:val="007D0BC4"/>
    <w:rsid w:val="007D1F7F"/>
    <w:rsid w:val="007D281C"/>
    <w:rsid w:val="007D2CB4"/>
    <w:rsid w:val="007D350C"/>
    <w:rsid w:val="007D3878"/>
    <w:rsid w:val="007D51C3"/>
    <w:rsid w:val="007D5F1A"/>
    <w:rsid w:val="007D6159"/>
    <w:rsid w:val="007D6A86"/>
    <w:rsid w:val="007D7290"/>
    <w:rsid w:val="007D7E9B"/>
    <w:rsid w:val="007E05B0"/>
    <w:rsid w:val="007E0705"/>
    <w:rsid w:val="007E1405"/>
    <w:rsid w:val="007E330F"/>
    <w:rsid w:val="007E3650"/>
    <w:rsid w:val="007E395A"/>
    <w:rsid w:val="007E3A4E"/>
    <w:rsid w:val="007E3EE6"/>
    <w:rsid w:val="007E43D3"/>
    <w:rsid w:val="007E5DD0"/>
    <w:rsid w:val="007E669A"/>
    <w:rsid w:val="007E791E"/>
    <w:rsid w:val="007E7A72"/>
    <w:rsid w:val="007F0207"/>
    <w:rsid w:val="007F0ACD"/>
    <w:rsid w:val="007F2227"/>
    <w:rsid w:val="007F22F9"/>
    <w:rsid w:val="007F32D0"/>
    <w:rsid w:val="007F3459"/>
    <w:rsid w:val="007F469F"/>
    <w:rsid w:val="007F4B13"/>
    <w:rsid w:val="007F50D3"/>
    <w:rsid w:val="007F6D94"/>
    <w:rsid w:val="007F6F04"/>
    <w:rsid w:val="007F7775"/>
    <w:rsid w:val="007F7B05"/>
    <w:rsid w:val="007F7D16"/>
    <w:rsid w:val="008005F5"/>
    <w:rsid w:val="00800BFF"/>
    <w:rsid w:val="0080150A"/>
    <w:rsid w:val="008017FB"/>
    <w:rsid w:val="008019E7"/>
    <w:rsid w:val="00801D03"/>
    <w:rsid w:val="008021B0"/>
    <w:rsid w:val="008022E7"/>
    <w:rsid w:val="00802633"/>
    <w:rsid w:val="0080294E"/>
    <w:rsid w:val="00802F75"/>
    <w:rsid w:val="00804417"/>
    <w:rsid w:val="00805B68"/>
    <w:rsid w:val="008069A0"/>
    <w:rsid w:val="00806B6E"/>
    <w:rsid w:val="00806C13"/>
    <w:rsid w:val="00807238"/>
    <w:rsid w:val="008076C3"/>
    <w:rsid w:val="00807ACB"/>
    <w:rsid w:val="0081049B"/>
    <w:rsid w:val="00810785"/>
    <w:rsid w:val="008113E6"/>
    <w:rsid w:val="008117FB"/>
    <w:rsid w:val="00813951"/>
    <w:rsid w:val="00813B3B"/>
    <w:rsid w:val="00813CAA"/>
    <w:rsid w:val="00813EAE"/>
    <w:rsid w:val="00813FAA"/>
    <w:rsid w:val="008166FF"/>
    <w:rsid w:val="00816BCE"/>
    <w:rsid w:val="0082110B"/>
    <w:rsid w:val="00821BB6"/>
    <w:rsid w:val="008232C9"/>
    <w:rsid w:val="00823502"/>
    <w:rsid w:val="0082352C"/>
    <w:rsid w:val="008238D5"/>
    <w:rsid w:val="00823BAD"/>
    <w:rsid w:val="00823F41"/>
    <w:rsid w:val="008258CE"/>
    <w:rsid w:val="00826CC1"/>
    <w:rsid w:val="00826D02"/>
    <w:rsid w:val="00826FB3"/>
    <w:rsid w:val="0083001F"/>
    <w:rsid w:val="00831380"/>
    <w:rsid w:val="008316A4"/>
    <w:rsid w:val="008318F0"/>
    <w:rsid w:val="00831A57"/>
    <w:rsid w:val="00832F98"/>
    <w:rsid w:val="008331C8"/>
    <w:rsid w:val="008342EF"/>
    <w:rsid w:val="00834692"/>
    <w:rsid w:val="00835683"/>
    <w:rsid w:val="008357A5"/>
    <w:rsid w:val="00835843"/>
    <w:rsid w:val="0083769F"/>
    <w:rsid w:val="008405BE"/>
    <w:rsid w:val="008411C8"/>
    <w:rsid w:val="0084221D"/>
    <w:rsid w:val="008428D9"/>
    <w:rsid w:val="0084353E"/>
    <w:rsid w:val="00843738"/>
    <w:rsid w:val="00843CB4"/>
    <w:rsid w:val="00843D70"/>
    <w:rsid w:val="0084474C"/>
    <w:rsid w:val="00845399"/>
    <w:rsid w:val="00845492"/>
    <w:rsid w:val="00845652"/>
    <w:rsid w:val="0084574E"/>
    <w:rsid w:val="00847839"/>
    <w:rsid w:val="008478C3"/>
    <w:rsid w:val="0084797D"/>
    <w:rsid w:val="0084798E"/>
    <w:rsid w:val="00847FF9"/>
    <w:rsid w:val="00850D1E"/>
    <w:rsid w:val="00850E59"/>
    <w:rsid w:val="00851183"/>
    <w:rsid w:val="008511E0"/>
    <w:rsid w:val="00852813"/>
    <w:rsid w:val="0085286A"/>
    <w:rsid w:val="00853D43"/>
    <w:rsid w:val="008542EA"/>
    <w:rsid w:val="00854C7F"/>
    <w:rsid w:val="00854D5D"/>
    <w:rsid w:val="00855664"/>
    <w:rsid w:val="00855853"/>
    <w:rsid w:val="00855ADD"/>
    <w:rsid w:val="00855F13"/>
    <w:rsid w:val="00856072"/>
    <w:rsid w:val="00856349"/>
    <w:rsid w:val="00856553"/>
    <w:rsid w:val="008574BC"/>
    <w:rsid w:val="00857DC3"/>
    <w:rsid w:val="00860366"/>
    <w:rsid w:val="00860BEB"/>
    <w:rsid w:val="00861695"/>
    <w:rsid w:val="008618C8"/>
    <w:rsid w:val="00861AE8"/>
    <w:rsid w:val="00861E04"/>
    <w:rsid w:val="0086272E"/>
    <w:rsid w:val="00864949"/>
    <w:rsid w:val="00864A56"/>
    <w:rsid w:val="00864EA0"/>
    <w:rsid w:val="0086501A"/>
    <w:rsid w:val="00866124"/>
    <w:rsid w:val="0086668F"/>
    <w:rsid w:val="008669F0"/>
    <w:rsid w:val="00866E18"/>
    <w:rsid w:val="008701F7"/>
    <w:rsid w:val="00870397"/>
    <w:rsid w:val="00870671"/>
    <w:rsid w:val="0087123F"/>
    <w:rsid w:val="00871353"/>
    <w:rsid w:val="00871491"/>
    <w:rsid w:val="0087163E"/>
    <w:rsid w:val="00871CF1"/>
    <w:rsid w:val="00872F68"/>
    <w:rsid w:val="00873C3D"/>
    <w:rsid w:val="00874D22"/>
    <w:rsid w:val="00875D88"/>
    <w:rsid w:val="00876020"/>
    <w:rsid w:val="0087742F"/>
    <w:rsid w:val="0087778B"/>
    <w:rsid w:val="00880EDA"/>
    <w:rsid w:val="008819DE"/>
    <w:rsid w:val="00881B68"/>
    <w:rsid w:val="00882B5B"/>
    <w:rsid w:val="00882DFF"/>
    <w:rsid w:val="00885151"/>
    <w:rsid w:val="008853D5"/>
    <w:rsid w:val="0088614B"/>
    <w:rsid w:val="00886885"/>
    <w:rsid w:val="00887215"/>
    <w:rsid w:val="00887B57"/>
    <w:rsid w:val="00887C3C"/>
    <w:rsid w:val="00887C56"/>
    <w:rsid w:val="00887D7C"/>
    <w:rsid w:val="00887E99"/>
    <w:rsid w:val="0089018D"/>
    <w:rsid w:val="00890A29"/>
    <w:rsid w:val="00890E5E"/>
    <w:rsid w:val="008914D9"/>
    <w:rsid w:val="00891918"/>
    <w:rsid w:val="00891A6E"/>
    <w:rsid w:val="0089315C"/>
    <w:rsid w:val="00894DD8"/>
    <w:rsid w:val="00894EBB"/>
    <w:rsid w:val="00895384"/>
    <w:rsid w:val="00895C22"/>
    <w:rsid w:val="00895EC5"/>
    <w:rsid w:val="00896373"/>
    <w:rsid w:val="00896FA7"/>
    <w:rsid w:val="00897A8E"/>
    <w:rsid w:val="00897CC7"/>
    <w:rsid w:val="008A03F9"/>
    <w:rsid w:val="008A0795"/>
    <w:rsid w:val="008A1937"/>
    <w:rsid w:val="008A22C6"/>
    <w:rsid w:val="008A2914"/>
    <w:rsid w:val="008A379D"/>
    <w:rsid w:val="008A3830"/>
    <w:rsid w:val="008A3B7B"/>
    <w:rsid w:val="008A4474"/>
    <w:rsid w:val="008A45C5"/>
    <w:rsid w:val="008A6241"/>
    <w:rsid w:val="008A78BC"/>
    <w:rsid w:val="008A7947"/>
    <w:rsid w:val="008B0457"/>
    <w:rsid w:val="008B0A49"/>
    <w:rsid w:val="008B0F8B"/>
    <w:rsid w:val="008B1A2A"/>
    <w:rsid w:val="008B1EC5"/>
    <w:rsid w:val="008B225E"/>
    <w:rsid w:val="008B26A6"/>
    <w:rsid w:val="008B2CDB"/>
    <w:rsid w:val="008B3208"/>
    <w:rsid w:val="008B39A0"/>
    <w:rsid w:val="008B3FF2"/>
    <w:rsid w:val="008B4786"/>
    <w:rsid w:val="008B689C"/>
    <w:rsid w:val="008B7102"/>
    <w:rsid w:val="008C044E"/>
    <w:rsid w:val="008C0DCA"/>
    <w:rsid w:val="008C0FD3"/>
    <w:rsid w:val="008C1043"/>
    <w:rsid w:val="008C12FA"/>
    <w:rsid w:val="008C1CB4"/>
    <w:rsid w:val="008C28C4"/>
    <w:rsid w:val="008C2CB8"/>
    <w:rsid w:val="008C2EC5"/>
    <w:rsid w:val="008C3145"/>
    <w:rsid w:val="008C522D"/>
    <w:rsid w:val="008C748B"/>
    <w:rsid w:val="008C7D91"/>
    <w:rsid w:val="008D0D9A"/>
    <w:rsid w:val="008D165A"/>
    <w:rsid w:val="008D1E1C"/>
    <w:rsid w:val="008D28CE"/>
    <w:rsid w:val="008D2E13"/>
    <w:rsid w:val="008D51B1"/>
    <w:rsid w:val="008D5C40"/>
    <w:rsid w:val="008D5CA5"/>
    <w:rsid w:val="008D5EB5"/>
    <w:rsid w:val="008D611F"/>
    <w:rsid w:val="008D66C4"/>
    <w:rsid w:val="008D6FA6"/>
    <w:rsid w:val="008D7202"/>
    <w:rsid w:val="008D77E9"/>
    <w:rsid w:val="008E066C"/>
    <w:rsid w:val="008E06C9"/>
    <w:rsid w:val="008E071F"/>
    <w:rsid w:val="008E10CD"/>
    <w:rsid w:val="008E15A3"/>
    <w:rsid w:val="008E25F3"/>
    <w:rsid w:val="008E46D7"/>
    <w:rsid w:val="008E4D8E"/>
    <w:rsid w:val="008E4E17"/>
    <w:rsid w:val="008E5143"/>
    <w:rsid w:val="008E5163"/>
    <w:rsid w:val="008E55B3"/>
    <w:rsid w:val="008E5C54"/>
    <w:rsid w:val="008E655F"/>
    <w:rsid w:val="008E67CE"/>
    <w:rsid w:val="008E7D3B"/>
    <w:rsid w:val="008F017E"/>
    <w:rsid w:val="008F07E7"/>
    <w:rsid w:val="008F12F2"/>
    <w:rsid w:val="008F232E"/>
    <w:rsid w:val="008F23DC"/>
    <w:rsid w:val="008F2D69"/>
    <w:rsid w:val="008F3056"/>
    <w:rsid w:val="008F37B6"/>
    <w:rsid w:val="008F3C1B"/>
    <w:rsid w:val="008F3CC8"/>
    <w:rsid w:val="008F49A8"/>
    <w:rsid w:val="008F5D65"/>
    <w:rsid w:val="008F627B"/>
    <w:rsid w:val="008F6C88"/>
    <w:rsid w:val="008F6FBE"/>
    <w:rsid w:val="008F70DA"/>
    <w:rsid w:val="008F7B16"/>
    <w:rsid w:val="00900E17"/>
    <w:rsid w:val="00901E11"/>
    <w:rsid w:val="00902AA1"/>
    <w:rsid w:val="0090313E"/>
    <w:rsid w:val="00903271"/>
    <w:rsid w:val="0090396A"/>
    <w:rsid w:val="009051ED"/>
    <w:rsid w:val="0090527F"/>
    <w:rsid w:val="00905630"/>
    <w:rsid w:val="00907013"/>
    <w:rsid w:val="00907688"/>
    <w:rsid w:val="009078C9"/>
    <w:rsid w:val="00910006"/>
    <w:rsid w:val="009103B6"/>
    <w:rsid w:val="009107E2"/>
    <w:rsid w:val="0091085B"/>
    <w:rsid w:val="009108E8"/>
    <w:rsid w:val="00911DF4"/>
    <w:rsid w:val="00911E0A"/>
    <w:rsid w:val="00911F64"/>
    <w:rsid w:val="0091224A"/>
    <w:rsid w:val="009123BD"/>
    <w:rsid w:val="0091264E"/>
    <w:rsid w:val="009126F3"/>
    <w:rsid w:val="00912D0F"/>
    <w:rsid w:val="0091331A"/>
    <w:rsid w:val="009133BB"/>
    <w:rsid w:val="00913688"/>
    <w:rsid w:val="00913AD0"/>
    <w:rsid w:val="00914BE9"/>
    <w:rsid w:val="00915238"/>
    <w:rsid w:val="00916318"/>
    <w:rsid w:val="00916637"/>
    <w:rsid w:val="009166BA"/>
    <w:rsid w:val="00917125"/>
    <w:rsid w:val="00917594"/>
    <w:rsid w:val="00920E2A"/>
    <w:rsid w:val="00921409"/>
    <w:rsid w:val="00923944"/>
    <w:rsid w:val="00923B2E"/>
    <w:rsid w:val="0092441E"/>
    <w:rsid w:val="00924561"/>
    <w:rsid w:val="009246E1"/>
    <w:rsid w:val="00925D83"/>
    <w:rsid w:val="00926450"/>
    <w:rsid w:val="00927044"/>
    <w:rsid w:val="009272E4"/>
    <w:rsid w:val="009272FB"/>
    <w:rsid w:val="009273E6"/>
    <w:rsid w:val="0092761E"/>
    <w:rsid w:val="00930B83"/>
    <w:rsid w:val="00930DEF"/>
    <w:rsid w:val="009311E9"/>
    <w:rsid w:val="009314C5"/>
    <w:rsid w:val="009316BC"/>
    <w:rsid w:val="00931714"/>
    <w:rsid w:val="00931779"/>
    <w:rsid w:val="00931BCD"/>
    <w:rsid w:val="00932714"/>
    <w:rsid w:val="00933415"/>
    <w:rsid w:val="009336D5"/>
    <w:rsid w:val="00934D27"/>
    <w:rsid w:val="0093602D"/>
    <w:rsid w:val="009360E6"/>
    <w:rsid w:val="00936AAF"/>
    <w:rsid w:val="00937A40"/>
    <w:rsid w:val="00937C58"/>
    <w:rsid w:val="00937CB0"/>
    <w:rsid w:val="00940755"/>
    <w:rsid w:val="00940A98"/>
    <w:rsid w:val="00941465"/>
    <w:rsid w:val="009425C5"/>
    <w:rsid w:val="00942B3E"/>
    <w:rsid w:val="009434BB"/>
    <w:rsid w:val="009436C5"/>
    <w:rsid w:val="00944673"/>
    <w:rsid w:val="00945092"/>
    <w:rsid w:val="00945139"/>
    <w:rsid w:val="00945274"/>
    <w:rsid w:val="00945C7C"/>
    <w:rsid w:val="00946039"/>
    <w:rsid w:val="00946934"/>
    <w:rsid w:val="00946B65"/>
    <w:rsid w:val="009477A1"/>
    <w:rsid w:val="00947CA8"/>
    <w:rsid w:val="00950D01"/>
    <w:rsid w:val="00950D9F"/>
    <w:rsid w:val="0095113F"/>
    <w:rsid w:val="009527CC"/>
    <w:rsid w:val="00952E0B"/>
    <w:rsid w:val="009541E5"/>
    <w:rsid w:val="00954524"/>
    <w:rsid w:val="0095481C"/>
    <w:rsid w:val="00954962"/>
    <w:rsid w:val="009550A7"/>
    <w:rsid w:val="009556D0"/>
    <w:rsid w:val="0095594A"/>
    <w:rsid w:val="00956058"/>
    <w:rsid w:val="00956D25"/>
    <w:rsid w:val="00956ED8"/>
    <w:rsid w:val="009571F6"/>
    <w:rsid w:val="00961DCE"/>
    <w:rsid w:val="00962C2B"/>
    <w:rsid w:val="009635A9"/>
    <w:rsid w:val="00963A86"/>
    <w:rsid w:val="0096490E"/>
    <w:rsid w:val="00965C68"/>
    <w:rsid w:val="00966114"/>
    <w:rsid w:val="00966910"/>
    <w:rsid w:val="00966CB9"/>
    <w:rsid w:val="00967128"/>
    <w:rsid w:val="00967360"/>
    <w:rsid w:val="00967E10"/>
    <w:rsid w:val="00970A8F"/>
    <w:rsid w:val="009727D4"/>
    <w:rsid w:val="00972D9F"/>
    <w:rsid w:val="00972DEB"/>
    <w:rsid w:val="00973065"/>
    <w:rsid w:val="0097368D"/>
    <w:rsid w:val="009736AD"/>
    <w:rsid w:val="009740DE"/>
    <w:rsid w:val="0097455C"/>
    <w:rsid w:val="009770E3"/>
    <w:rsid w:val="00981F0C"/>
    <w:rsid w:val="00983616"/>
    <w:rsid w:val="00984449"/>
    <w:rsid w:val="00985551"/>
    <w:rsid w:val="00985BEE"/>
    <w:rsid w:val="00986469"/>
    <w:rsid w:val="0098769D"/>
    <w:rsid w:val="00991529"/>
    <w:rsid w:val="0099250C"/>
    <w:rsid w:val="00992822"/>
    <w:rsid w:val="009937BC"/>
    <w:rsid w:val="009937D8"/>
    <w:rsid w:val="00993E6B"/>
    <w:rsid w:val="00994B30"/>
    <w:rsid w:val="00994D6D"/>
    <w:rsid w:val="00995290"/>
    <w:rsid w:val="00996E94"/>
    <w:rsid w:val="009971A4"/>
    <w:rsid w:val="00997D75"/>
    <w:rsid w:val="00997E8D"/>
    <w:rsid w:val="009A043C"/>
    <w:rsid w:val="009A0489"/>
    <w:rsid w:val="009A0CE8"/>
    <w:rsid w:val="009A1737"/>
    <w:rsid w:val="009A1CE5"/>
    <w:rsid w:val="009A1E54"/>
    <w:rsid w:val="009A2B80"/>
    <w:rsid w:val="009A312B"/>
    <w:rsid w:val="009A39F2"/>
    <w:rsid w:val="009A3A89"/>
    <w:rsid w:val="009A3E53"/>
    <w:rsid w:val="009A48FD"/>
    <w:rsid w:val="009A4943"/>
    <w:rsid w:val="009A5F13"/>
    <w:rsid w:val="009A65BE"/>
    <w:rsid w:val="009A6D03"/>
    <w:rsid w:val="009A7EA3"/>
    <w:rsid w:val="009AFB64"/>
    <w:rsid w:val="009B0BAC"/>
    <w:rsid w:val="009B0C55"/>
    <w:rsid w:val="009B0F3E"/>
    <w:rsid w:val="009B1191"/>
    <w:rsid w:val="009B2138"/>
    <w:rsid w:val="009B3797"/>
    <w:rsid w:val="009B3BAB"/>
    <w:rsid w:val="009B44F1"/>
    <w:rsid w:val="009B48B6"/>
    <w:rsid w:val="009B5795"/>
    <w:rsid w:val="009B6D8C"/>
    <w:rsid w:val="009B77A5"/>
    <w:rsid w:val="009C021D"/>
    <w:rsid w:val="009C0C3B"/>
    <w:rsid w:val="009C1636"/>
    <w:rsid w:val="009C41C6"/>
    <w:rsid w:val="009C45DA"/>
    <w:rsid w:val="009C5029"/>
    <w:rsid w:val="009C5FB6"/>
    <w:rsid w:val="009C679B"/>
    <w:rsid w:val="009C6CF1"/>
    <w:rsid w:val="009C6ECE"/>
    <w:rsid w:val="009C6FC7"/>
    <w:rsid w:val="009C770F"/>
    <w:rsid w:val="009C7D52"/>
    <w:rsid w:val="009C7DE3"/>
    <w:rsid w:val="009D005C"/>
    <w:rsid w:val="009D02DC"/>
    <w:rsid w:val="009D0968"/>
    <w:rsid w:val="009D142B"/>
    <w:rsid w:val="009D248D"/>
    <w:rsid w:val="009D2A78"/>
    <w:rsid w:val="009D2C3F"/>
    <w:rsid w:val="009D2DBF"/>
    <w:rsid w:val="009D2EFF"/>
    <w:rsid w:val="009D4B06"/>
    <w:rsid w:val="009D50B9"/>
    <w:rsid w:val="009D5112"/>
    <w:rsid w:val="009D520E"/>
    <w:rsid w:val="009D5E06"/>
    <w:rsid w:val="009D7332"/>
    <w:rsid w:val="009D7899"/>
    <w:rsid w:val="009D7A51"/>
    <w:rsid w:val="009D7F04"/>
    <w:rsid w:val="009E0658"/>
    <w:rsid w:val="009E0992"/>
    <w:rsid w:val="009E1E60"/>
    <w:rsid w:val="009E2270"/>
    <w:rsid w:val="009E263D"/>
    <w:rsid w:val="009E27CD"/>
    <w:rsid w:val="009E2810"/>
    <w:rsid w:val="009E5475"/>
    <w:rsid w:val="009E5582"/>
    <w:rsid w:val="009E59F2"/>
    <w:rsid w:val="009E5B02"/>
    <w:rsid w:val="009E6867"/>
    <w:rsid w:val="009E7059"/>
    <w:rsid w:val="009E7108"/>
    <w:rsid w:val="009E73E5"/>
    <w:rsid w:val="009E7FBD"/>
    <w:rsid w:val="009F0390"/>
    <w:rsid w:val="009F03C8"/>
    <w:rsid w:val="009F1843"/>
    <w:rsid w:val="009F2446"/>
    <w:rsid w:val="009F2474"/>
    <w:rsid w:val="009F2CD1"/>
    <w:rsid w:val="009F31AE"/>
    <w:rsid w:val="009F380E"/>
    <w:rsid w:val="009F4A53"/>
    <w:rsid w:val="009F51B4"/>
    <w:rsid w:val="009F5CFF"/>
    <w:rsid w:val="009F5F33"/>
    <w:rsid w:val="009F6964"/>
    <w:rsid w:val="009F70DC"/>
    <w:rsid w:val="00A005A9"/>
    <w:rsid w:val="00A0123B"/>
    <w:rsid w:val="00A016EC"/>
    <w:rsid w:val="00A0190C"/>
    <w:rsid w:val="00A01B30"/>
    <w:rsid w:val="00A01C9A"/>
    <w:rsid w:val="00A01F0C"/>
    <w:rsid w:val="00A045EE"/>
    <w:rsid w:val="00A05AAE"/>
    <w:rsid w:val="00A05C0B"/>
    <w:rsid w:val="00A05F5F"/>
    <w:rsid w:val="00A06411"/>
    <w:rsid w:val="00A0660B"/>
    <w:rsid w:val="00A07442"/>
    <w:rsid w:val="00A077BD"/>
    <w:rsid w:val="00A07919"/>
    <w:rsid w:val="00A07A8A"/>
    <w:rsid w:val="00A105C1"/>
    <w:rsid w:val="00A10B3A"/>
    <w:rsid w:val="00A1121B"/>
    <w:rsid w:val="00A117BD"/>
    <w:rsid w:val="00A12097"/>
    <w:rsid w:val="00A127F0"/>
    <w:rsid w:val="00A130A7"/>
    <w:rsid w:val="00A13CDB"/>
    <w:rsid w:val="00A13EE5"/>
    <w:rsid w:val="00A147AC"/>
    <w:rsid w:val="00A1508C"/>
    <w:rsid w:val="00A1652F"/>
    <w:rsid w:val="00A16C39"/>
    <w:rsid w:val="00A16F75"/>
    <w:rsid w:val="00A17D81"/>
    <w:rsid w:val="00A17DC9"/>
    <w:rsid w:val="00A203F0"/>
    <w:rsid w:val="00A20477"/>
    <w:rsid w:val="00A20894"/>
    <w:rsid w:val="00A208EE"/>
    <w:rsid w:val="00A20BB3"/>
    <w:rsid w:val="00A21302"/>
    <w:rsid w:val="00A21A1A"/>
    <w:rsid w:val="00A22438"/>
    <w:rsid w:val="00A22726"/>
    <w:rsid w:val="00A238A0"/>
    <w:rsid w:val="00A244BE"/>
    <w:rsid w:val="00A24528"/>
    <w:rsid w:val="00A250D8"/>
    <w:rsid w:val="00A252DE"/>
    <w:rsid w:val="00A253C6"/>
    <w:rsid w:val="00A26952"/>
    <w:rsid w:val="00A26DDD"/>
    <w:rsid w:val="00A272D8"/>
    <w:rsid w:val="00A2737D"/>
    <w:rsid w:val="00A300EA"/>
    <w:rsid w:val="00A31410"/>
    <w:rsid w:val="00A31C62"/>
    <w:rsid w:val="00A325E0"/>
    <w:rsid w:val="00A32EC5"/>
    <w:rsid w:val="00A34214"/>
    <w:rsid w:val="00A357B9"/>
    <w:rsid w:val="00A360E7"/>
    <w:rsid w:val="00A36C95"/>
    <w:rsid w:val="00A3765E"/>
    <w:rsid w:val="00A37790"/>
    <w:rsid w:val="00A378F1"/>
    <w:rsid w:val="00A4041D"/>
    <w:rsid w:val="00A40ECC"/>
    <w:rsid w:val="00A41675"/>
    <w:rsid w:val="00A41C79"/>
    <w:rsid w:val="00A424E2"/>
    <w:rsid w:val="00A42C11"/>
    <w:rsid w:val="00A42D39"/>
    <w:rsid w:val="00A431AB"/>
    <w:rsid w:val="00A43FB1"/>
    <w:rsid w:val="00A4515A"/>
    <w:rsid w:val="00A45332"/>
    <w:rsid w:val="00A45B66"/>
    <w:rsid w:val="00A46813"/>
    <w:rsid w:val="00A46FF1"/>
    <w:rsid w:val="00A475C8"/>
    <w:rsid w:val="00A47665"/>
    <w:rsid w:val="00A47CAC"/>
    <w:rsid w:val="00A47FE0"/>
    <w:rsid w:val="00A5036B"/>
    <w:rsid w:val="00A50ADC"/>
    <w:rsid w:val="00A526A3"/>
    <w:rsid w:val="00A54DC5"/>
    <w:rsid w:val="00A5546F"/>
    <w:rsid w:val="00A557F7"/>
    <w:rsid w:val="00A559E4"/>
    <w:rsid w:val="00A55B07"/>
    <w:rsid w:val="00A55F98"/>
    <w:rsid w:val="00A56141"/>
    <w:rsid w:val="00A56E42"/>
    <w:rsid w:val="00A57C3B"/>
    <w:rsid w:val="00A57DFB"/>
    <w:rsid w:val="00A631BC"/>
    <w:rsid w:val="00A631CF"/>
    <w:rsid w:val="00A6435E"/>
    <w:rsid w:val="00A64EA9"/>
    <w:rsid w:val="00A652F0"/>
    <w:rsid w:val="00A6561F"/>
    <w:rsid w:val="00A66EA9"/>
    <w:rsid w:val="00A675A2"/>
    <w:rsid w:val="00A679BF"/>
    <w:rsid w:val="00A67A48"/>
    <w:rsid w:val="00A67DED"/>
    <w:rsid w:val="00A67F59"/>
    <w:rsid w:val="00A70155"/>
    <w:rsid w:val="00A7079E"/>
    <w:rsid w:val="00A709D4"/>
    <w:rsid w:val="00A70C2D"/>
    <w:rsid w:val="00A70EA4"/>
    <w:rsid w:val="00A713E5"/>
    <w:rsid w:val="00A71A45"/>
    <w:rsid w:val="00A71C51"/>
    <w:rsid w:val="00A72352"/>
    <w:rsid w:val="00A72727"/>
    <w:rsid w:val="00A72954"/>
    <w:rsid w:val="00A731AC"/>
    <w:rsid w:val="00A731B6"/>
    <w:rsid w:val="00A73AFF"/>
    <w:rsid w:val="00A740D4"/>
    <w:rsid w:val="00A74C0D"/>
    <w:rsid w:val="00A77A76"/>
    <w:rsid w:val="00A80396"/>
    <w:rsid w:val="00A8119D"/>
    <w:rsid w:val="00A8285C"/>
    <w:rsid w:val="00A83695"/>
    <w:rsid w:val="00A84824"/>
    <w:rsid w:val="00A849F6"/>
    <w:rsid w:val="00A8589A"/>
    <w:rsid w:val="00A85DC9"/>
    <w:rsid w:val="00A86859"/>
    <w:rsid w:val="00A8691F"/>
    <w:rsid w:val="00A87743"/>
    <w:rsid w:val="00A87E85"/>
    <w:rsid w:val="00A87FBD"/>
    <w:rsid w:val="00A87FCE"/>
    <w:rsid w:val="00A905B0"/>
    <w:rsid w:val="00A90617"/>
    <w:rsid w:val="00A908AC"/>
    <w:rsid w:val="00A91143"/>
    <w:rsid w:val="00A91334"/>
    <w:rsid w:val="00A91EDF"/>
    <w:rsid w:val="00A923DB"/>
    <w:rsid w:val="00A927B6"/>
    <w:rsid w:val="00A952B9"/>
    <w:rsid w:val="00A95907"/>
    <w:rsid w:val="00A9596A"/>
    <w:rsid w:val="00A96619"/>
    <w:rsid w:val="00A96B41"/>
    <w:rsid w:val="00A96FEC"/>
    <w:rsid w:val="00A97164"/>
    <w:rsid w:val="00A97D41"/>
    <w:rsid w:val="00A97E15"/>
    <w:rsid w:val="00AA0B01"/>
    <w:rsid w:val="00AA0D67"/>
    <w:rsid w:val="00AA165E"/>
    <w:rsid w:val="00AA17A2"/>
    <w:rsid w:val="00AA1890"/>
    <w:rsid w:val="00AA381D"/>
    <w:rsid w:val="00AA4155"/>
    <w:rsid w:val="00AA41D1"/>
    <w:rsid w:val="00AA603F"/>
    <w:rsid w:val="00AA6F0D"/>
    <w:rsid w:val="00AA74D7"/>
    <w:rsid w:val="00AA7C21"/>
    <w:rsid w:val="00AB0AF9"/>
    <w:rsid w:val="00AB12DD"/>
    <w:rsid w:val="00AB1C51"/>
    <w:rsid w:val="00AB1E7C"/>
    <w:rsid w:val="00AB200C"/>
    <w:rsid w:val="00AB203C"/>
    <w:rsid w:val="00AB20BE"/>
    <w:rsid w:val="00AB22E5"/>
    <w:rsid w:val="00AB29D3"/>
    <w:rsid w:val="00AB2BE6"/>
    <w:rsid w:val="00AB3044"/>
    <w:rsid w:val="00AB3841"/>
    <w:rsid w:val="00AB3E62"/>
    <w:rsid w:val="00AB4226"/>
    <w:rsid w:val="00AB437A"/>
    <w:rsid w:val="00AB4782"/>
    <w:rsid w:val="00AB655C"/>
    <w:rsid w:val="00AB6B32"/>
    <w:rsid w:val="00AB745F"/>
    <w:rsid w:val="00AB7ED9"/>
    <w:rsid w:val="00AC02B6"/>
    <w:rsid w:val="00AC3B65"/>
    <w:rsid w:val="00AC45FA"/>
    <w:rsid w:val="00AC4C41"/>
    <w:rsid w:val="00AC4EDD"/>
    <w:rsid w:val="00AC5152"/>
    <w:rsid w:val="00AC687A"/>
    <w:rsid w:val="00AC70FD"/>
    <w:rsid w:val="00AC72CC"/>
    <w:rsid w:val="00AC73D4"/>
    <w:rsid w:val="00AC7446"/>
    <w:rsid w:val="00AC7B36"/>
    <w:rsid w:val="00AD0BFA"/>
    <w:rsid w:val="00AD0F0D"/>
    <w:rsid w:val="00AD19BE"/>
    <w:rsid w:val="00AD27CC"/>
    <w:rsid w:val="00AD332F"/>
    <w:rsid w:val="00AD3505"/>
    <w:rsid w:val="00AD5607"/>
    <w:rsid w:val="00AD6FDE"/>
    <w:rsid w:val="00AD7867"/>
    <w:rsid w:val="00AD7EB7"/>
    <w:rsid w:val="00AE10AC"/>
    <w:rsid w:val="00AE17B6"/>
    <w:rsid w:val="00AE2FB5"/>
    <w:rsid w:val="00AE32FB"/>
    <w:rsid w:val="00AE3DA4"/>
    <w:rsid w:val="00AE49AE"/>
    <w:rsid w:val="00AE56B2"/>
    <w:rsid w:val="00AE61E8"/>
    <w:rsid w:val="00AE69AA"/>
    <w:rsid w:val="00AE6D17"/>
    <w:rsid w:val="00AE6E0B"/>
    <w:rsid w:val="00AE70AC"/>
    <w:rsid w:val="00AE78D0"/>
    <w:rsid w:val="00AE7B3A"/>
    <w:rsid w:val="00AF066A"/>
    <w:rsid w:val="00AF0D3E"/>
    <w:rsid w:val="00AF1916"/>
    <w:rsid w:val="00AF1A63"/>
    <w:rsid w:val="00AF2528"/>
    <w:rsid w:val="00AF2833"/>
    <w:rsid w:val="00AF30B3"/>
    <w:rsid w:val="00AF3EEB"/>
    <w:rsid w:val="00AF405A"/>
    <w:rsid w:val="00AF4138"/>
    <w:rsid w:val="00AF4F22"/>
    <w:rsid w:val="00AF54F3"/>
    <w:rsid w:val="00AF57E5"/>
    <w:rsid w:val="00AF5CA9"/>
    <w:rsid w:val="00AF6327"/>
    <w:rsid w:val="00AF6D0E"/>
    <w:rsid w:val="00B0041F"/>
    <w:rsid w:val="00B0172F"/>
    <w:rsid w:val="00B01A4D"/>
    <w:rsid w:val="00B02B23"/>
    <w:rsid w:val="00B02D2A"/>
    <w:rsid w:val="00B0306E"/>
    <w:rsid w:val="00B030E6"/>
    <w:rsid w:val="00B03432"/>
    <w:rsid w:val="00B075E0"/>
    <w:rsid w:val="00B07DDE"/>
    <w:rsid w:val="00B100FA"/>
    <w:rsid w:val="00B10290"/>
    <w:rsid w:val="00B10B18"/>
    <w:rsid w:val="00B11329"/>
    <w:rsid w:val="00B11EDE"/>
    <w:rsid w:val="00B1272E"/>
    <w:rsid w:val="00B13BCA"/>
    <w:rsid w:val="00B14879"/>
    <w:rsid w:val="00B159B2"/>
    <w:rsid w:val="00B15EEB"/>
    <w:rsid w:val="00B16165"/>
    <w:rsid w:val="00B16A1D"/>
    <w:rsid w:val="00B17FA9"/>
    <w:rsid w:val="00B20AA7"/>
    <w:rsid w:val="00B21868"/>
    <w:rsid w:val="00B222EC"/>
    <w:rsid w:val="00B22326"/>
    <w:rsid w:val="00B228BA"/>
    <w:rsid w:val="00B23F1B"/>
    <w:rsid w:val="00B248CD"/>
    <w:rsid w:val="00B24A44"/>
    <w:rsid w:val="00B25B55"/>
    <w:rsid w:val="00B2681D"/>
    <w:rsid w:val="00B273CB"/>
    <w:rsid w:val="00B27955"/>
    <w:rsid w:val="00B27A13"/>
    <w:rsid w:val="00B302D1"/>
    <w:rsid w:val="00B30528"/>
    <w:rsid w:val="00B31E69"/>
    <w:rsid w:val="00B32CCF"/>
    <w:rsid w:val="00B32D35"/>
    <w:rsid w:val="00B3335D"/>
    <w:rsid w:val="00B335B6"/>
    <w:rsid w:val="00B34050"/>
    <w:rsid w:val="00B343FB"/>
    <w:rsid w:val="00B34800"/>
    <w:rsid w:val="00B36FFD"/>
    <w:rsid w:val="00B37A1A"/>
    <w:rsid w:val="00B4059F"/>
    <w:rsid w:val="00B406FA"/>
    <w:rsid w:val="00B40B13"/>
    <w:rsid w:val="00B4172D"/>
    <w:rsid w:val="00B42BE8"/>
    <w:rsid w:val="00B4300C"/>
    <w:rsid w:val="00B43798"/>
    <w:rsid w:val="00B43A22"/>
    <w:rsid w:val="00B43CCE"/>
    <w:rsid w:val="00B445D4"/>
    <w:rsid w:val="00B44CE2"/>
    <w:rsid w:val="00B44DB5"/>
    <w:rsid w:val="00B45CBE"/>
    <w:rsid w:val="00B45DE1"/>
    <w:rsid w:val="00B46715"/>
    <w:rsid w:val="00B47100"/>
    <w:rsid w:val="00B47CDB"/>
    <w:rsid w:val="00B502E2"/>
    <w:rsid w:val="00B5162C"/>
    <w:rsid w:val="00B51B4E"/>
    <w:rsid w:val="00B52341"/>
    <w:rsid w:val="00B538F9"/>
    <w:rsid w:val="00B542C0"/>
    <w:rsid w:val="00B56103"/>
    <w:rsid w:val="00B561DA"/>
    <w:rsid w:val="00B56325"/>
    <w:rsid w:val="00B5674E"/>
    <w:rsid w:val="00B56A03"/>
    <w:rsid w:val="00B56DE3"/>
    <w:rsid w:val="00B56F7C"/>
    <w:rsid w:val="00B57679"/>
    <w:rsid w:val="00B57A4E"/>
    <w:rsid w:val="00B60051"/>
    <w:rsid w:val="00B601F4"/>
    <w:rsid w:val="00B60525"/>
    <w:rsid w:val="00B61906"/>
    <w:rsid w:val="00B61B4F"/>
    <w:rsid w:val="00B6396A"/>
    <w:rsid w:val="00B6501D"/>
    <w:rsid w:val="00B655EC"/>
    <w:rsid w:val="00B65615"/>
    <w:rsid w:val="00B664CB"/>
    <w:rsid w:val="00B66C9C"/>
    <w:rsid w:val="00B67494"/>
    <w:rsid w:val="00B7032C"/>
    <w:rsid w:val="00B7077F"/>
    <w:rsid w:val="00B70819"/>
    <w:rsid w:val="00B717DB"/>
    <w:rsid w:val="00B7194E"/>
    <w:rsid w:val="00B719A9"/>
    <w:rsid w:val="00B72053"/>
    <w:rsid w:val="00B728E1"/>
    <w:rsid w:val="00B72D4A"/>
    <w:rsid w:val="00B7375E"/>
    <w:rsid w:val="00B76299"/>
    <w:rsid w:val="00B80441"/>
    <w:rsid w:val="00B81018"/>
    <w:rsid w:val="00B822D5"/>
    <w:rsid w:val="00B8285D"/>
    <w:rsid w:val="00B83CB6"/>
    <w:rsid w:val="00B83D91"/>
    <w:rsid w:val="00B849AD"/>
    <w:rsid w:val="00B84A35"/>
    <w:rsid w:val="00B85B83"/>
    <w:rsid w:val="00B875A8"/>
    <w:rsid w:val="00B91B57"/>
    <w:rsid w:val="00B91F73"/>
    <w:rsid w:val="00B93972"/>
    <w:rsid w:val="00B9397A"/>
    <w:rsid w:val="00B94141"/>
    <w:rsid w:val="00B94BE3"/>
    <w:rsid w:val="00B9544C"/>
    <w:rsid w:val="00B96497"/>
    <w:rsid w:val="00B96894"/>
    <w:rsid w:val="00B96D47"/>
    <w:rsid w:val="00B978FD"/>
    <w:rsid w:val="00BA04C1"/>
    <w:rsid w:val="00BA06A0"/>
    <w:rsid w:val="00BA0B9B"/>
    <w:rsid w:val="00BA2130"/>
    <w:rsid w:val="00BA3772"/>
    <w:rsid w:val="00BA3CE8"/>
    <w:rsid w:val="00BA437F"/>
    <w:rsid w:val="00BA46BA"/>
    <w:rsid w:val="00BA4994"/>
    <w:rsid w:val="00BA4C17"/>
    <w:rsid w:val="00BA5261"/>
    <w:rsid w:val="00BA65C1"/>
    <w:rsid w:val="00BA74DB"/>
    <w:rsid w:val="00BB0654"/>
    <w:rsid w:val="00BB06F4"/>
    <w:rsid w:val="00BB0B88"/>
    <w:rsid w:val="00BB2A10"/>
    <w:rsid w:val="00BB335B"/>
    <w:rsid w:val="00BB35B3"/>
    <w:rsid w:val="00BB3711"/>
    <w:rsid w:val="00BB5209"/>
    <w:rsid w:val="00BB5BB1"/>
    <w:rsid w:val="00BB7AF5"/>
    <w:rsid w:val="00BB7C00"/>
    <w:rsid w:val="00BC0868"/>
    <w:rsid w:val="00BC142A"/>
    <w:rsid w:val="00BC2046"/>
    <w:rsid w:val="00BC28D7"/>
    <w:rsid w:val="00BC2BD6"/>
    <w:rsid w:val="00BC2F7B"/>
    <w:rsid w:val="00BC3DDC"/>
    <w:rsid w:val="00BC3EB8"/>
    <w:rsid w:val="00BC3EE8"/>
    <w:rsid w:val="00BC4A3D"/>
    <w:rsid w:val="00BC4E48"/>
    <w:rsid w:val="00BC5D3F"/>
    <w:rsid w:val="00BC6E8E"/>
    <w:rsid w:val="00BC72C4"/>
    <w:rsid w:val="00BC738C"/>
    <w:rsid w:val="00BC7931"/>
    <w:rsid w:val="00BD0AB7"/>
    <w:rsid w:val="00BD1342"/>
    <w:rsid w:val="00BD1A3E"/>
    <w:rsid w:val="00BD1D20"/>
    <w:rsid w:val="00BD22D3"/>
    <w:rsid w:val="00BD29F8"/>
    <w:rsid w:val="00BD2D12"/>
    <w:rsid w:val="00BD3FCD"/>
    <w:rsid w:val="00BD5068"/>
    <w:rsid w:val="00BD599C"/>
    <w:rsid w:val="00BD5A14"/>
    <w:rsid w:val="00BD5B31"/>
    <w:rsid w:val="00BD5C25"/>
    <w:rsid w:val="00BD609E"/>
    <w:rsid w:val="00BD6B65"/>
    <w:rsid w:val="00BD70AE"/>
    <w:rsid w:val="00BD774F"/>
    <w:rsid w:val="00BD7E75"/>
    <w:rsid w:val="00BE0452"/>
    <w:rsid w:val="00BE072D"/>
    <w:rsid w:val="00BE147E"/>
    <w:rsid w:val="00BE1875"/>
    <w:rsid w:val="00BE1C50"/>
    <w:rsid w:val="00BE23D9"/>
    <w:rsid w:val="00BE2786"/>
    <w:rsid w:val="00BE2811"/>
    <w:rsid w:val="00BE3100"/>
    <w:rsid w:val="00BE45BD"/>
    <w:rsid w:val="00BE52AC"/>
    <w:rsid w:val="00BE5330"/>
    <w:rsid w:val="00BE6144"/>
    <w:rsid w:val="00BE675B"/>
    <w:rsid w:val="00BE6BFB"/>
    <w:rsid w:val="00BE6F40"/>
    <w:rsid w:val="00BF04C7"/>
    <w:rsid w:val="00BF11F2"/>
    <w:rsid w:val="00BF1A78"/>
    <w:rsid w:val="00BF1DDB"/>
    <w:rsid w:val="00BF2DCC"/>
    <w:rsid w:val="00BF400B"/>
    <w:rsid w:val="00BF4873"/>
    <w:rsid w:val="00BF4EE7"/>
    <w:rsid w:val="00BF55E0"/>
    <w:rsid w:val="00BF5BB3"/>
    <w:rsid w:val="00BF5F1F"/>
    <w:rsid w:val="00BF5FC6"/>
    <w:rsid w:val="00BF679B"/>
    <w:rsid w:val="00BF6CC1"/>
    <w:rsid w:val="00BF7657"/>
    <w:rsid w:val="00C01235"/>
    <w:rsid w:val="00C02E1C"/>
    <w:rsid w:val="00C0398B"/>
    <w:rsid w:val="00C03BFA"/>
    <w:rsid w:val="00C040E1"/>
    <w:rsid w:val="00C053FB"/>
    <w:rsid w:val="00C0570F"/>
    <w:rsid w:val="00C0586D"/>
    <w:rsid w:val="00C0606B"/>
    <w:rsid w:val="00C069F9"/>
    <w:rsid w:val="00C06E58"/>
    <w:rsid w:val="00C07197"/>
    <w:rsid w:val="00C072D5"/>
    <w:rsid w:val="00C102DD"/>
    <w:rsid w:val="00C10331"/>
    <w:rsid w:val="00C107AA"/>
    <w:rsid w:val="00C1090E"/>
    <w:rsid w:val="00C10D00"/>
    <w:rsid w:val="00C10D88"/>
    <w:rsid w:val="00C11E45"/>
    <w:rsid w:val="00C12301"/>
    <w:rsid w:val="00C13468"/>
    <w:rsid w:val="00C1552B"/>
    <w:rsid w:val="00C178D2"/>
    <w:rsid w:val="00C20571"/>
    <w:rsid w:val="00C20850"/>
    <w:rsid w:val="00C216A3"/>
    <w:rsid w:val="00C216C8"/>
    <w:rsid w:val="00C21820"/>
    <w:rsid w:val="00C218B1"/>
    <w:rsid w:val="00C21A53"/>
    <w:rsid w:val="00C21D0B"/>
    <w:rsid w:val="00C235A3"/>
    <w:rsid w:val="00C24152"/>
    <w:rsid w:val="00C257F6"/>
    <w:rsid w:val="00C26146"/>
    <w:rsid w:val="00C268DA"/>
    <w:rsid w:val="00C2759D"/>
    <w:rsid w:val="00C276E9"/>
    <w:rsid w:val="00C2778B"/>
    <w:rsid w:val="00C305B1"/>
    <w:rsid w:val="00C30DAC"/>
    <w:rsid w:val="00C322C1"/>
    <w:rsid w:val="00C34283"/>
    <w:rsid w:val="00C34629"/>
    <w:rsid w:val="00C35CF2"/>
    <w:rsid w:val="00C37A75"/>
    <w:rsid w:val="00C4064A"/>
    <w:rsid w:val="00C40D7B"/>
    <w:rsid w:val="00C4113B"/>
    <w:rsid w:val="00C4173B"/>
    <w:rsid w:val="00C41A2D"/>
    <w:rsid w:val="00C41B9F"/>
    <w:rsid w:val="00C41CC6"/>
    <w:rsid w:val="00C41EAF"/>
    <w:rsid w:val="00C42EAC"/>
    <w:rsid w:val="00C46310"/>
    <w:rsid w:val="00C46410"/>
    <w:rsid w:val="00C469A1"/>
    <w:rsid w:val="00C46C71"/>
    <w:rsid w:val="00C47206"/>
    <w:rsid w:val="00C472DA"/>
    <w:rsid w:val="00C502B8"/>
    <w:rsid w:val="00C505E5"/>
    <w:rsid w:val="00C506DC"/>
    <w:rsid w:val="00C5117D"/>
    <w:rsid w:val="00C51833"/>
    <w:rsid w:val="00C5195B"/>
    <w:rsid w:val="00C51C26"/>
    <w:rsid w:val="00C525A8"/>
    <w:rsid w:val="00C531AD"/>
    <w:rsid w:val="00C53331"/>
    <w:rsid w:val="00C53428"/>
    <w:rsid w:val="00C5408A"/>
    <w:rsid w:val="00C546DC"/>
    <w:rsid w:val="00C549A5"/>
    <w:rsid w:val="00C559D5"/>
    <w:rsid w:val="00C560B5"/>
    <w:rsid w:val="00C60CF2"/>
    <w:rsid w:val="00C61A99"/>
    <w:rsid w:val="00C61B9A"/>
    <w:rsid w:val="00C62F51"/>
    <w:rsid w:val="00C63144"/>
    <w:rsid w:val="00C63216"/>
    <w:rsid w:val="00C63B1D"/>
    <w:rsid w:val="00C64B8C"/>
    <w:rsid w:val="00C66448"/>
    <w:rsid w:val="00C6690D"/>
    <w:rsid w:val="00C66A61"/>
    <w:rsid w:val="00C66E73"/>
    <w:rsid w:val="00C678F6"/>
    <w:rsid w:val="00C67901"/>
    <w:rsid w:val="00C67E5C"/>
    <w:rsid w:val="00C67F33"/>
    <w:rsid w:val="00C71C57"/>
    <w:rsid w:val="00C7289F"/>
    <w:rsid w:val="00C729CB"/>
    <w:rsid w:val="00C72FA4"/>
    <w:rsid w:val="00C737F9"/>
    <w:rsid w:val="00C74054"/>
    <w:rsid w:val="00C74B4E"/>
    <w:rsid w:val="00C74CCD"/>
    <w:rsid w:val="00C74CDB"/>
    <w:rsid w:val="00C7563F"/>
    <w:rsid w:val="00C75DF4"/>
    <w:rsid w:val="00C7666E"/>
    <w:rsid w:val="00C76A39"/>
    <w:rsid w:val="00C77135"/>
    <w:rsid w:val="00C778E8"/>
    <w:rsid w:val="00C77E8E"/>
    <w:rsid w:val="00C80144"/>
    <w:rsid w:val="00C8083A"/>
    <w:rsid w:val="00C80B93"/>
    <w:rsid w:val="00C8114D"/>
    <w:rsid w:val="00C8185A"/>
    <w:rsid w:val="00C81CAB"/>
    <w:rsid w:val="00C83151"/>
    <w:rsid w:val="00C841ED"/>
    <w:rsid w:val="00C842FF"/>
    <w:rsid w:val="00C84D57"/>
    <w:rsid w:val="00C8557C"/>
    <w:rsid w:val="00C85F91"/>
    <w:rsid w:val="00C86D94"/>
    <w:rsid w:val="00C86F8D"/>
    <w:rsid w:val="00C90475"/>
    <w:rsid w:val="00C91506"/>
    <w:rsid w:val="00C91E45"/>
    <w:rsid w:val="00C920A5"/>
    <w:rsid w:val="00C9217F"/>
    <w:rsid w:val="00C92793"/>
    <w:rsid w:val="00C93770"/>
    <w:rsid w:val="00C937CD"/>
    <w:rsid w:val="00C94F74"/>
    <w:rsid w:val="00C94FAF"/>
    <w:rsid w:val="00C95251"/>
    <w:rsid w:val="00C95AEC"/>
    <w:rsid w:val="00C95C80"/>
    <w:rsid w:val="00C9628A"/>
    <w:rsid w:val="00C96349"/>
    <w:rsid w:val="00C973CE"/>
    <w:rsid w:val="00C976B7"/>
    <w:rsid w:val="00C97F00"/>
    <w:rsid w:val="00CA00C8"/>
    <w:rsid w:val="00CA0C62"/>
    <w:rsid w:val="00CA2D36"/>
    <w:rsid w:val="00CA3132"/>
    <w:rsid w:val="00CA33BB"/>
    <w:rsid w:val="00CA4421"/>
    <w:rsid w:val="00CA4A78"/>
    <w:rsid w:val="00CA4D09"/>
    <w:rsid w:val="00CA5525"/>
    <w:rsid w:val="00CA58EA"/>
    <w:rsid w:val="00CA611F"/>
    <w:rsid w:val="00CA66FD"/>
    <w:rsid w:val="00CA6E04"/>
    <w:rsid w:val="00CA76DF"/>
    <w:rsid w:val="00CA7C6E"/>
    <w:rsid w:val="00CB0ABA"/>
    <w:rsid w:val="00CB117B"/>
    <w:rsid w:val="00CB1EC5"/>
    <w:rsid w:val="00CB1FD2"/>
    <w:rsid w:val="00CB2891"/>
    <w:rsid w:val="00CB2AB2"/>
    <w:rsid w:val="00CB2F16"/>
    <w:rsid w:val="00CB3A6F"/>
    <w:rsid w:val="00CB40EB"/>
    <w:rsid w:val="00CB49DF"/>
    <w:rsid w:val="00CB4DC5"/>
    <w:rsid w:val="00CB4E35"/>
    <w:rsid w:val="00CB6B3B"/>
    <w:rsid w:val="00CB7A6A"/>
    <w:rsid w:val="00CC08A1"/>
    <w:rsid w:val="00CC08E5"/>
    <w:rsid w:val="00CC0D14"/>
    <w:rsid w:val="00CC0D4D"/>
    <w:rsid w:val="00CC0DBA"/>
    <w:rsid w:val="00CC1751"/>
    <w:rsid w:val="00CC222B"/>
    <w:rsid w:val="00CC52CF"/>
    <w:rsid w:val="00CC5466"/>
    <w:rsid w:val="00CC5905"/>
    <w:rsid w:val="00CC5C58"/>
    <w:rsid w:val="00CC62CA"/>
    <w:rsid w:val="00CC6D05"/>
    <w:rsid w:val="00CC6E40"/>
    <w:rsid w:val="00CC7979"/>
    <w:rsid w:val="00CD0636"/>
    <w:rsid w:val="00CD0682"/>
    <w:rsid w:val="00CD0F6F"/>
    <w:rsid w:val="00CD29BC"/>
    <w:rsid w:val="00CD2E54"/>
    <w:rsid w:val="00CD3111"/>
    <w:rsid w:val="00CD3418"/>
    <w:rsid w:val="00CD3C91"/>
    <w:rsid w:val="00CD40F3"/>
    <w:rsid w:val="00CD50A6"/>
    <w:rsid w:val="00CD5825"/>
    <w:rsid w:val="00CD6683"/>
    <w:rsid w:val="00CD6E6B"/>
    <w:rsid w:val="00CE0264"/>
    <w:rsid w:val="00CE0846"/>
    <w:rsid w:val="00CE150F"/>
    <w:rsid w:val="00CE1DFE"/>
    <w:rsid w:val="00CE21A2"/>
    <w:rsid w:val="00CE2D5A"/>
    <w:rsid w:val="00CE44A6"/>
    <w:rsid w:val="00CE583C"/>
    <w:rsid w:val="00CE59BA"/>
    <w:rsid w:val="00CE5CB7"/>
    <w:rsid w:val="00CE64C2"/>
    <w:rsid w:val="00CE699B"/>
    <w:rsid w:val="00CE6C2B"/>
    <w:rsid w:val="00CE75DB"/>
    <w:rsid w:val="00CE75FD"/>
    <w:rsid w:val="00CF031D"/>
    <w:rsid w:val="00CF148E"/>
    <w:rsid w:val="00CF26DF"/>
    <w:rsid w:val="00CF28F9"/>
    <w:rsid w:val="00CF30AC"/>
    <w:rsid w:val="00CF5A02"/>
    <w:rsid w:val="00CF5D27"/>
    <w:rsid w:val="00D008D6"/>
    <w:rsid w:val="00D06008"/>
    <w:rsid w:val="00D061AE"/>
    <w:rsid w:val="00D06E3D"/>
    <w:rsid w:val="00D06FDA"/>
    <w:rsid w:val="00D07C2D"/>
    <w:rsid w:val="00D07C3E"/>
    <w:rsid w:val="00D07E0A"/>
    <w:rsid w:val="00D109FB"/>
    <w:rsid w:val="00D11091"/>
    <w:rsid w:val="00D12044"/>
    <w:rsid w:val="00D12654"/>
    <w:rsid w:val="00D130D7"/>
    <w:rsid w:val="00D132AA"/>
    <w:rsid w:val="00D13334"/>
    <w:rsid w:val="00D13842"/>
    <w:rsid w:val="00D138CF"/>
    <w:rsid w:val="00D153CB"/>
    <w:rsid w:val="00D159FD"/>
    <w:rsid w:val="00D16A85"/>
    <w:rsid w:val="00D17FD1"/>
    <w:rsid w:val="00D20381"/>
    <w:rsid w:val="00D204BC"/>
    <w:rsid w:val="00D20748"/>
    <w:rsid w:val="00D20A2F"/>
    <w:rsid w:val="00D220E0"/>
    <w:rsid w:val="00D2225A"/>
    <w:rsid w:val="00D22C25"/>
    <w:rsid w:val="00D234A2"/>
    <w:rsid w:val="00D23E71"/>
    <w:rsid w:val="00D24572"/>
    <w:rsid w:val="00D24903"/>
    <w:rsid w:val="00D25164"/>
    <w:rsid w:val="00D25255"/>
    <w:rsid w:val="00D254B5"/>
    <w:rsid w:val="00D25EE4"/>
    <w:rsid w:val="00D2688F"/>
    <w:rsid w:val="00D275D4"/>
    <w:rsid w:val="00D27A63"/>
    <w:rsid w:val="00D27F25"/>
    <w:rsid w:val="00D30535"/>
    <w:rsid w:val="00D30A6A"/>
    <w:rsid w:val="00D318A6"/>
    <w:rsid w:val="00D31DBD"/>
    <w:rsid w:val="00D3240E"/>
    <w:rsid w:val="00D3274B"/>
    <w:rsid w:val="00D335AD"/>
    <w:rsid w:val="00D3478C"/>
    <w:rsid w:val="00D3493D"/>
    <w:rsid w:val="00D34A36"/>
    <w:rsid w:val="00D34FC8"/>
    <w:rsid w:val="00D35FD2"/>
    <w:rsid w:val="00D366ED"/>
    <w:rsid w:val="00D36A72"/>
    <w:rsid w:val="00D404BB"/>
    <w:rsid w:val="00D40588"/>
    <w:rsid w:val="00D4070C"/>
    <w:rsid w:val="00D4104B"/>
    <w:rsid w:val="00D411E9"/>
    <w:rsid w:val="00D414C4"/>
    <w:rsid w:val="00D421D2"/>
    <w:rsid w:val="00D42245"/>
    <w:rsid w:val="00D423F3"/>
    <w:rsid w:val="00D4273A"/>
    <w:rsid w:val="00D42BA8"/>
    <w:rsid w:val="00D42CA4"/>
    <w:rsid w:val="00D43946"/>
    <w:rsid w:val="00D43B73"/>
    <w:rsid w:val="00D44C02"/>
    <w:rsid w:val="00D44E35"/>
    <w:rsid w:val="00D45190"/>
    <w:rsid w:val="00D4526F"/>
    <w:rsid w:val="00D45CDE"/>
    <w:rsid w:val="00D46879"/>
    <w:rsid w:val="00D47FAB"/>
    <w:rsid w:val="00D5093C"/>
    <w:rsid w:val="00D53F20"/>
    <w:rsid w:val="00D54254"/>
    <w:rsid w:val="00D54674"/>
    <w:rsid w:val="00D54A5B"/>
    <w:rsid w:val="00D54D2F"/>
    <w:rsid w:val="00D57739"/>
    <w:rsid w:val="00D6024D"/>
    <w:rsid w:val="00D60639"/>
    <w:rsid w:val="00D609E9"/>
    <w:rsid w:val="00D622F4"/>
    <w:rsid w:val="00D63B05"/>
    <w:rsid w:val="00D64CA3"/>
    <w:rsid w:val="00D65B13"/>
    <w:rsid w:val="00D66C53"/>
    <w:rsid w:val="00D66D82"/>
    <w:rsid w:val="00D6794B"/>
    <w:rsid w:val="00D67D6B"/>
    <w:rsid w:val="00D705A1"/>
    <w:rsid w:val="00D72587"/>
    <w:rsid w:val="00D73BE6"/>
    <w:rsid w:val="00D7412E"/>
    <w:rsid w:val="00D7489C"/>
    <w:rsid w:val="00D74968"/>
    <w:rsid w:val="00D75327"/>
    <w:rsid w:val="00D753A6"/>
    <w:rsid w:val="00D75AB5"/>
    <w:rsid w:val="00D801CA"/>
    <w:rsid w:val="00D80C0C"/>
    <w:rsid w:val="00D81146"/>
    <w:rsid w:val="00D8128C"/>
    <w:rsid w:val="00D814F8"/>
    <w:rsid w:val="00D81E8B"/>
    <w:rsid w:val="00D825B0"/>
    <w:rsid w:val="00D828B2"/>
    <w:rsid w:val="00D82994"/>
    <w:rsid w:val="00D835ED"/>
    <w:rsid w:val="00D83727"/>
    <w:rsid w:val="00D83F61"/>
    <w:rsid w:val="00D83F9F"/>
    <w:rsid w:val="00D84625"/>
    <w:rsid w:val="00D85065"/>
    <w:rsid w:val="00D86E92"/>
    <w:rsid w:val="00D90026"/>
    <w:rsid w:val="00D92DB3"/>
    <w:rsid w:val="00D934A4"/>
    <w:rsid w:val="00D937D2"/>
    <w:rsid w:val="00D94449"/>
    <w:rsid w:val="00D950A4"/>
    <w:rsid w:val="00D952E3"/>
    <w:rsid w:val="00D95977"/>
    <w:rsid w:val="00D95EBC"/>
    <w:rsid w:val="00D9609D"/>
    <w:rsid w:val="00D9609F"/>
    <w:rsid w:val="00D9646A"/>
    <w:rsid w:val="00D96995"/>
    <w:rsid w:val="00D96A0C"/>
    <w:rsid w:val="00D974B4"/>
    <w:rsid w:val="00D978AD"/>
    <w:rsid w:val="00DA026D"/>
    <w:rsid w:val="00DA1365"/>
    <w:rsid w:val="00DA1D7A"/>
    <w:rsid w:val="00DA20AD"/>
    <w:rsid w:val="00DA424D"/>
    <w:rsid w:val="00DA4B36"/>
    <w:rsid w:val="00DA68C7"/>
    <w:rsid w:val="00DA6AE4"/>
    <w:rsid w:val="00DA6D76"/>
    <w:rsid w:val="00DA71DA"/>
    <w:rsid w:val="00DA74F0"/>
    <w:rsid w:val="00DB05A9"/>
    <w:rsid w:val="00DB0785"/>
    <w:rsid w:val="00DB0882"/>
    <w:rsid w:val="00DB18BC"/>
    <w:rsid w:val="00DB1F42"/>
    <w:rsid w:val="00DB288C"/>
    <w:rsid w:val="00DB4A4C"/>
    <w:rsid w:val="00DB515D"/>
    <w:rsid w:val="00DB527B"/>
    <w:rsid w:val="00DB552F"/>
    <w:rsid w:val="00DB5632"/>
    <w:rsid w:val="00DB6784"/>
    <w:rsid w:val="00DB7ABA"/>
    <w:rsid w:val="00DC05AC"/>
    <w:rsid w:val="00DC0DEE"/>
    <w:rsid w:val="00DC139E"/>
    <w:rsid w:val="00DC1D1D"/>
    <w:rsid w:val="00DC25AF"/>
    <w:rsid w:val="00DC3AF1"/>
    <w:rsid w:val="00DC3F1E"/>
    <w:rsid w:val="00DC4D93"/>
    <w:rsid w:val="00DC4F70"/>
    <w:rsid w:val="00DC4F8F"/>
    <w:rsid w:val="00DC65A4"/>
    <w:rsid w:val="00DC68F6"/>
    <w:rsid w:val="00DC7191"/>
    <w:rsid w:val="00DD03A3"/>
    <w:rsid w:val="00DD30C8"/>
    <w:rsid w:val="00DD3D07"/>
    <w:rsid w:val="00DD3F9C"/>
    <w:rsid w:val="00DD4659"/>
    <w:rsid w:val="00DD4DB9"/>
    <w:rsid w:val="00DD4DD1"/>
    <w:rsid w:val="00DD58E0"/>
    <w:rsid w:val="00DD626A"/>
    <w:rsid w:val="00DD62BC"/>
    <w:rsid w:val="00DE07C0"/>
    <w:rsid w:val="00DE15AD"/>
    <w:rsid w:val="00DE1B66"/>
    <w:rsid w:val="00DE22C0"/>
    <w:rsid w:val="00DE26E7"/>
    <w:rsid w:val="00DE2919"/>
    <w:rsid w:val="00DE2B1D"/>
    <w:rsid w:val="00DE2EAD"/>
    <w:rsid w:val="00DE3E1A"/>
    <w:rsid w:val="00DE4161"/>
    <w:rsid w:val="00DE4547"/>
    <w:rsid w:val="00DE4FA0"/>
    <w:rsid w:val="00DE5FFD"/>
    <w:rsid w:val="00DE602E"/>
    <w:rsid w:val="00DE671C"/>
    <w:rsid w:val="00DE68C0"/>
    <w:rsid w:val="00DE6AD2"/>
    <w:rsid w:val="00DE6BA4"/>
    <w:rsid w:val="00DE6D9E"/>
    <w:rsid w:val="00DE7A10"/>
    <w:rsid w:val="00DF02FB"/>
    <w:rsid w:val="00DF0608"/>
    <w:rsid w:val="00DF06D9"/>
    <w:rsid w:val="00DF10D7"/>
    <w:rsid w:val="00DF1F86"/>
    <w:rsid w:val="00DF2D34"/>
    <w:rsid w:val="00DF3440"/>
    <w:rsid w:val="00DF3E2C"/>
    <w:rsid w:val="00DF41A2"/>
    <w:rsid w:val="00DF58F7"/>
    <w:rsid w:val="00DF5DA4"/>
    <w:rsid w:val="00DF6266"/>
    <w:rsid w:val="00DF6A95"/>
    <w:rsid w:val="00DF6F6A"/>
    <w:rsid w:val="00DF76BA"/>
    <w:rsid w:val="00DF7BA6"/>
    <w:rsid w:val="00DF7D4B"/>
    <w:rsid w:val="00E00798"/>
    <w:rsid w:val="00E01223"/>
    <w:rsid w:val="00E01D79"/>
    <w:rsid w:val="00E01E6C"/>
    <w:rsid w:val="00E030EE"/>
    <w:rsid w:val="00E036ED"/>
    <w:rsid w:val="00E03CC6"/>
    <w:rsid w:val="00E046A7"/>
    <w:rsid w:val="00E046E7"/>
    <w:rsid w:val="00E046F5"/>
    <w:rsid w:val="00E05416"/>
    <w:rsid w:val="00E05426"/>
    <w:rsid w:val="00E057A3"/>
    <w:rsid w:val="00E05984"/>
    <w:rsid w:val="00E05C2F"/>
    <w:rsid w:val="00E0632C"/>
    <w:rsid w:val="00E07118"/>
    <w:rsid w:val="00E1066B"/>
    <w:rsid w:val="00E114A9"/>
    <w:rsid w:val="00E1254E"/>
    <w:rsid w:val="00E1287C"/>
    <w:rsid w:val="00E12CE5"/>
    <w:rsid w:val="00E13215"/>
    <w:rsid w:val="00E13EC2"/>
    <w:rsid w:val="00E13F6E"/>
    <w:rsid w:val="00E14CC1"/>
    <w:rsid w:val="00E14E69"/>
    <w:rsid w:val="00E154D9"/>
    <w:rsid w:val="00E15A79"/>
    <w:rsid w:val="00E1686A"/>
    <w:rsid w:val="00E16DEB"/>
    <w:rsid w:val="00E210D1"/>
    <w:rsid w:val="00E21F04"/>
    <w:rsid w:val="00E21F3D"/>
    <w:rsid w:val="00E224F0"/>
    <w:rsid w:val="00E22F57"/>
    <w:rsid w:val="00E231AB"/>
    <w:rsid w:val="00E23F4A"/>
    <w:rsid w:val="00E256A7"/>
    <w:rsid w:val="00E25776"/>
    <w:rsid w:val="00E2638D"/>
    <w:rsid w:val="00E26A39"/>
    <w:rsid w:val="00E277F8"/>
    <w:rsid w:val="00E30E4B"/>
    <w:rsid w:val="00E30E81"/>
    <w:rsid w:val="00E315E5"/>
    <w:rsid w:val="00E3167B"/>
    <w:rsid w:val="00E31B4D"/>
    <w:rsid w:val="00E31FC9"/>
    <w:rsid w:val="00E32B20"/>
    <w:rsid w:val="00E33339"/>
    <w:rsid w:val="00E333E1"/>
    <w:rsid w:val="00E338ED"/>
    <w:rsid w:val="00E35386"/>
    <w:rsid w:val="00E364B5"/>
    <w:rsid w:val="00E369A0"/>
    <w:rsid w:val="00E374C6"/>
    <w:rsid w:val="00E37735"/>
    <w:rsid w:val="00E37C88"/>
    <w:rsid w:val="00E37DC4"/>
    <w:rsid w:val="00E40C6C"/>
    <w:rsid w:val="00E4116D"/>
    <w:rsid w:val="00E42DAD"/>
    <w:rsid w:val="00E43698"/>
    <w:rsid w:val="00E437A8"/>
    <w:rsid w:val="00E43B90"/>
    <w:rsid w:val="00E440FB"/>
    <w:rsid w:val="00E44747"/>
    <w:rsid w:val="00E465B6"/>
    <w:rsid w:val="00E467B5"/>
    <w:rsid w:val="00E473A5"/>
    <w:rsid w:val="00E47767"/>
    <w:rsid w:val="00E50269"/>
    <w:rsid w:val="00E50A73"/>
    <w:rsid w:val="00E51558"/>
    <w:rsid w:val="00E5205E"/>
    <w:rsid w:val="00E52ACE"/>
    <w:rsid w:val="00E52D94"/>
    <w:rsid w:val="00E530AF"/>
    <w:rsid w:val="00E5375D"/>
    <w:rsid w:val="00E53859"/>
    <w:rsid w:val="00E538BB"/>
    <w:rsid w:val="00E53CEE"/>
    <w:rsid w:val="00E545C4"/>
    <w:rsid w:val="00E546A3"/>
    <w:rsid w:val="00E5478A"/>
    <w:rsid w:val="00E5486E"/>
    <w:rsid w:val="00E54EAA"/>
    <w:rsid w:val="00E55E67"/>
    <w:rsid w:val="00E566CD"/>
    <w:rsid w:val="00E567A3"/>
    <w:rsid w:val="00E604FF"/>
    <w:rsid w:val="00E60730"/>
    <w:rsid w:val="00E6085C"/>
    <w:rsid w:val="00E60F23"/>
    <w:rsid w:val="00E61CFF"/>
    <w:rsid w:val="00E61E95"/>
    <w:rsid w:val="00E62187"/>
    <w:rsid w:val="00E62E5A"/>
    <w:rsid w:val="00E63213"/>
    <w:rsid w:val="00E63C17"/>
    <w:rsid w:val="00E640D6"/>
    <w:rsid w:val="00E657BA"/>
    <w:rsid w:val="00E65E4F"/>
    <w:rsid w:val="00E65FDE"/>
    <w:rsid w:val="00E677E9"/>
    <w:rsid w:val="00E705CF"/>
    <w:rsid w:val="00E712A4"/>
    <w:rsid w:val="00E71CBC"/>
    <w:rsid w:val="00E72371"/>
    <w:rsid w:val="00E728AE"/>
    <w:rsid w:val="00E72988"/>
    <w:rsid w:val="00E72C82"/>
    <w:rsid w:val="00E73086"/>
    <w:rsid w:val="00E731F1"/>
    <w:rsid w:val="00E74A69"/>
    <w:rsid w:val="00E75C49"/>
    <w:rsid w:val="00E7629C"/>
    <w:rsid w:val="00E76772"/>
    <w:rsid w:val="00E76F10"/>
    <w:rsid w:val="00E775B8"/>
    <w:rsid w:val="00E77FA5"/>
    <w:rsid w:val="00E80384"/>
    <w:rsid w:val="00E811C4"/>
    <w:rsid w:val="00E81779"/>
    <w:rsid w:val="00E81DED"/>
    <w:rsid w:val="00E82800"/>
    <w:rsid w:val="00E828B2"/>
    <w:rsid w:val="00E8401B"/>
    <w:rsid w:val="00E84291"/>
    <w:rsid w:val="00E85D08"/>
    <w:rsid w:val="00E86001"/>
    <w:rsid w:val="00E86060"/>
    <w:rsid w:val="00E86990"/>
    <w:rsid w:val="00E86DC8"/>
    <w:rsid w:val="00E87815"/>
    <w:rsid w:val="00E879B7"/>
    <w:rsid w:val="00E87D64"/>
    <w:rsid w:val="00E87FBC"/>
    <w:rsid w:val="00E90028"/>
    <w:rsid w:val="00E90EE2"/>
    <w:rsid w:val="00E90F5C"/>
    <w:rsid w:val="00E9154C"/>
    <w:rsid w:val="00E91805"/>
    <w:rsid w:val="00E91C98"/>
    <w:rsid w:val="00E9261D"/>
    <w:rsid w:val="00E9277F"/>
    <w:rsid w:val="00E935AA"/>
    <w:rsid w:val="00E95730"/>
    <w:rsid w:val="00E95C1A"/>
    <w:rsid w:val="00E9605B"/>
    <w:rsid w:val="00EA0532"/>
    <w:rsid w:val="00EA137C"/>
    <w:rsid w:val="00EA20DA"/>
    <w:rsid w:val="00EA2EB1"/>
    <w:rsid w:val="00EA30BD"/>
    <w:rsid w:val="00EA30D7"/>
    <w:rsid w:val="00EA3228"/>
    <w:rsid w:val="00EA442E"/>
    <w:rsid w:val="00EA49DE"/>
    <w:rsid w:val="00EA6862"/>
    <w:rsid w:val="00EA6D36"/>
    <w:rsid w:val="00EA7A4A"/>
    <w:rsid w:val="00EB0B9C"/>
    <w:rsid w:val="00EB0C40"/>
    <w:rsid w:val="00EB0CEC"/>
    <w:rsid w:val="00EB0D5E"/>
    <w:rsid w:val="00EB1160"/>
    <w:rsid w:val="00EB14D0"/>
    <w:rsid w:val="00EB1D08"/>
    <w:rsid w:val="00EB3C5A"/>
    <w:rsid w:val="00EB419B"/>
    <w:rsid w:val="00EB5806"/>
    <w:rsid w:val="00EB6716"/>
    <w:rsid w:val="00EB69AF"/>
    <w:rsid w:val="00EC0B73"/>
    <w:rsid w:val="00EC350A"/>
    <w:rsid w:val="00EC36F6"/>
    <w:rsid w:val="00EC375C"/>
    <w:rsid w:val="00EC3D2C"/>
    <w:rsid w:val="00EC45F5"/>
    <w:rsid w:val="00EC510B"/>
    <w:rsid w:val="00EC5FC3"/>
    <w:rsid w:val="00EC680D"/>
    <w:rsid w:val="00EC6854"/>
    <w:rsid w:val="00EC6CCC"/>
    <w:rsid w:val="00EC6EA8"/>
    <w:rsid w:val="00EC6F93"/>
    <w:rsid w:val="00ED06D8"/>
    <w:rsid w:val="00ED08B9"/>
    <w:rsid w:val="00ED165B"/>
    <w:rsid w:val="00ED16F7"/>
    <w:rsid w:val="00ED1798"/>
    <w:rsid w:val="00ED1AFF"/>
    <w:rsid w:val="00ED2012"/>
    <w:rsid w:val="00ED2716"/>
    <w:rsid w:val="00ED3DA2"/>
    <w:rsid w:val="00ED42CC"/>
    <w:rsid w:val="00ED5075"/>
    <w:rsid w:val="00ED5D7A"/>
    <w:rsid w:val="00ED6104"/>
    <w:rsid w:val="00ED75F1"/>
    <w:rsid w:val="00EDE528"/>
    <w:rsid w:val="00EE035B"/>
    <w:rsid w:val="00EE06A6"/>
    <w:rsid w:val="00EE1014"/>
    <w:rsid w:val="00EE128C"/>
    <w:rsid w:val="00EE32A0"/>
    <w:rsid w:val="00EE33B5"/>
    <w:rsid w:val="00EE3D3C"/>
    <w:rsid w:val="00EE3F0E"/>
    <w:rsid w:val="00EE3F9A"/>
    <w:rsid w:val="00EE5246"/>
    <w:rsid w:val="00EE547B"/>
    <w:rsid w:val="00EE5D0E"/>
    <w:rsid w:val="00EE6206"/>
    <w:rsid w:val="00EE6EAC"/>
    <w:rsid w:val="00EE705F"/>
    <w:rsid w:val="00EE7358"/>
    <w:rsid w:val="00EE74C6"/>
    <w:rsid w:val="00EE7D57"/>
    <w:rsid w:val="00EECC40"/>
    <w:rsid w:val="00EF1529"/>
    <w:rsid w:val="00EF1714"/>
    <w:rsid w:val="00EF1C36"/>
    <w:rsid w:val="00EF23D0"/>
    <w:rsid w:val="00EF27D7"/>
    <w:rsid w:val="00EF31C3"/>
    <w:rsid w:val="00EF3AC4"/>
    <w:rsid w:val="00EF4562"/>
    <w:rsid w:val="00EF5205"/>
    <w:rsid w:val="00EF52C4"/>
    <w:rsid w:val="00EF5FDE"/>
    <w:rsid w:val="00EF6389"/>
    <w:rsid w:val="00EF695A"/>
    <w:rsid w:val="00F00388"/>
    <w:rsid w:val="00F009A6"/>
    <w:rsid w:val="00F00FA9"/>
    <w:rsid w:val="00F01916"/>
    <w:rsid w:val="00F01DFE"/>
    <w:rsid w:val="00F02863"/>
    <w:rsid w:val="00F028AE"/>
    <w:rsid w:val="00F03A60"/>
    <w:rsid w:val="00F0410D"/>
    <w:rsid w:val="00F05338"/>
    <w:rsid w:val="00F05C53"/>
    <w:rsid w:val="00F05CC4"/>
    <w:rsid w:val="00F06DE0"/>
    <w:rsid w:val="00F07B24"/>
    <w:rsid w:val="00F1029B"/>
    <w:rsid w:val="00F10684"/>
    <w:rsid w:val="00F108C4"/>
    <w:rsid w:val="00F109FA"/>
    <w:rsid w:val="00F10A43"/>
    <w:rsid w:val="00F10BBB"/>
    <w:rsid w:val="00F10C07"/>
    <w:rsid w:val="00F11D1E"/>
    <w:rsid w:val="00F120B9"/>
    <w:rsid w:val="00F120BD"/>
    <w:rsid w:val="00F13962"/>
    <w:rsid w:val="00F14483"/>
    <w:rsid w:val="00F1513F"/>
    <w:rsid w:val="00F153C9"/>
    <w:rsid w:val="00F15940"/>
    <w:rsid w:val="00F15F6C"/>
    <w:rsid w:val="00F169A7"/>
    <w:rsid w:val="00F17ADA"/>
    <w:rsid w:val="00F20A54"/>
    <w:rsid w:val="00F21030"/>
    <w:rsid w:val="00F211BB"/>
    <w:rsid w:val="00F21981"/>
    <w:rsid w:val="00F2246B"/>
    <w:rsid w:val="00F2292D"/>
    <w:rsid w:val="00F2321F"/>
    <w:rsid w:val="00F239F9"/>
    <w:rsid w:val="00F23B6E"/>
    <w:rsid w:val="00F23BF5"/>
    <w:rsid w:val="00F24D4E"/>
    <w:rsid w:val="00F253EE"/>
    <w:rsid w:val="00F25ACC"/>
    <w:rsid w:val="00F25AF1"/>
    <w:rsid w:val="00F262E5"/>
    <w:rsid w:val="00F264D4"/>
    <w:rsid w:val="00F2680D"/>
    <w:rsid w:val="00F27FAC"/>
    <w:rsid w:val="00F31B3E"/>
    <w:rsid w:val="00F31C57"/>
    <w:rsid w:val="00F32960"/>
    <w:rsid w:val="00F32B38"/>
    <w:rsid w:val="00F32F26"/>
    <w:rsid w:val="00F331E9"/>
    <w:rsid w:val="00F33502"/>
    <w:rsid w:val="00F339EE"/>
    <w:rsid w:val="00F340E6"/>
    <w:rsid w:val="00F34145"/>
    <w:rsid w:val="00F34268"/>
    <w:rsid w:val="00F34480"/>
    <w:rsid w:val="00F346C3"/>
    <w:rsid w:val="00F358E2"/>
    <w:rsid w:val="00F35F7D"/>
    <w:rsid w:val="00F36F16"/>
    <w:rsid w:val="00F3762D"/>
    <w:rsid w:val="00F37B8D"/>
    <w:rsid w:val="00F37DA0"/>
    <w:rsid w:val="00F4006A"/>
    <w:rsid w:val="00F407AC"/>
    <w:rsid w:val="00F40F09"/>
    <w:rsid w:val="00F4125E"/>
    <w:rsid w:val="00F421B3"/>
    <w:rsid w:val="00F424E6"/>
    <w:rsid w:val="00F42DE8"/>
    <w:rsid w:val="00F4340F"/>
    <w:rsid w:val="00F437AD"/>
    <w:rsid w:val="00F43D2F"/>
    <w:rsid w:val="00F4446A"/>
    <w:rsid w:val="00F44994"/>
    <w:rsid w:val="00F45F42"/>
    <w:rsid w:val="00F462C9"/>
    <w:rsid w:val="00F502CC"/>
    <w:rsid w:val="00F51551"/>
    <w:rsid w:val="00F51DB9"/>
    <w:rsid w:val="00F52CE7"/>
    <w:rsid w:val="00F52F1F"/>
    <w:rsid w:val="00F53295"/>
    <w:rsid w:val="00F53F71"/>
    <w:rsid w:val="00F5589F"/>
    <w:rsid w:val="00F565F5"/>
    <w:rsid w:val="00F5660A"/>
    <w:rsid w:val="00F56DAD"/>
    <w:rsid w:val="00F57846"/>
    <w:rsid w:val="00F57FF4"/>
    <w:rsid w:val="00F613D8"/>
    <w:rsid w:val="00F61412"/>
    <w:rsid w:val="00F61525"/>
    <w:rsid w:val="00F61804"/>
    <w:rsid w:val="00F6212B"/>
    <w:rsid w:val="00F622FC"/>
    <w:rsid w:val="00F6230C"/>
    <w:rsid w:val="00F62BAE"/>
    <w:rsid w:val="00F62E0F"/>
    <w:rsid w:val="00F6380C"/>
    <w:rsid w:val="00F63B75"/>
    <w:rsid w:val="00F649EF"/>
    <w:rsid w:val="00F651BB"/>
    <w:rsid w:val="00F65EC6"/>
    <w:rsid w:val="00F65FB5"/>
    <w:rsid w:val="00F65FFE"/>
    <w:rsid w:val="00F66F4B"/>
    <w:rsid w:val="00F7028C"/>
    <w:rsid w:val="00F702BC"/>
    <w:rsid w:val="00F705AF"/>
    <w:rsid w:val="00F7092F"/>
    <w:rsid w:val="00F71972"/>
    <w:rsid w:val="00F72793"/>
    <w:rsid w:val="00F72A92"/>
    <w:rsid w:val="00F73410"/>
    <w:rsid w:val="00F73BA8"/>
    <w:rsid w:val="00F73CDB"/>
    <w:rsid w:val="00F73E90"/>
    <w:rsid w:val="00F7463D"/>
    <w:rsid w:val="00F74BEC"/>
    <w:rsid w:val="00F75123"/>
    <w:rsid w:val="00F761B3"/>
    <w:rsid w:val="00F77602"/>
    <w:rsid w:val="00F778D6"/>
    <w:rsid w:val="00F77B57"/>
    <w:rsid w:val="00F803AC"/>
    <w:rsid w:val="00F8125F"/>
    <w:rsid w:val="00F8127E"/>
    <w:rsid w:val="00F815FC"/>
    <w:rsid w:val="00F819B0"/>
    <w:rsid w:val="00F8244E"/>
    <w:rsid w:val="00F82905"/>
    <w:rsid w:val="00F834BE"/>
    <w:rsid w:val="00F83995"/>
    <w:rsid w:val="00F83BFE"/>
    <w:rsid w:val="00F83C24"/>
    <w:rsid w:val="00F8404C"/>
    <w:rsid w:val="00F847B7"/>
    <w:rsid w:val="00F84CEA"/>
    <w:rsid w:val="00F858A6"/>
    <w:rsid w:val="00F86511"/>
    <w:rsid w:val="00F867D8"/>
    <w:rsid w:val="00F86947"/>
    <w:rsid w:val="00F86E3D"/>
    <w:rsid w:val="00F87102"/>
    <w:rsid w:val="00F87F8B"/>
    <w:rsid w:val="00F908C1"/>
    <w:rsid w:val="00F90E00"/>
    <w:rsid w:val="00F929FD"/>
    <w:rsid w:val="00F92FE9"/>
    <w:rsid w:val="00F940CD"/>
    <w:rsid w:val="00F94506"/>
    <w:rsid w:val="00F950FE"/>
    <w:rsid w:val="00F955BD"/>
    <w:rsid w:val="00F961B9"/>
    <w:rsid w:val="00F96333"/>
    <w:rsid w:val="00F963D4"/>
    <w:rsid w:val="00F97118"/>
    <w:rsid w:val="00F97F9D"/>
    <w:rsid w:val="00FA013A"/>
    <w:rsid w:val="00FA13D9"/>
    <w:rsid w:val="00FA1C7F"/>
    <w:rsid w:val="00FA29C9"/>
    <w:rsid w:val="00FA323E"/>
    <w:rsid w:val="00FA4D6C"/>
    <w:rsid w:val="00FA4F11"/>
    <w:rsid w:val="00FA537D"/>
    <w:rsid w:val="00FA5A0F"/>
    <w:rsid w:val="00FA5D7D"/>
    <w:rsid w:val="00FA656F"/>
    <w:rsid w:val="00FA7C4B"/>
    <w:rsid w:val="00FB01DA"/>
    <w:rsid w:val="00FB08CB"/>
    <w:rsid w:val="00FB1113"/>
    <w:rsid w:val="00FB2123"/>
    <w:rsid w:val="00FB22E5"/>
    <w:rsid w:val="00FB34A7"/>
    <w:rsid w:val="00FB3631"/>
    <w:rsid w:val="00FB3802"/>
    <w:rsid w:val="00FB3DC3"/>
    <w:rsid w:val="00FB4281"/>
    <w:rsid w:val="00FB4336"/>
    <w:rsid w:val="00FB459E"/>
    <w:rsid w:val="00FB463A"/>
    <w:rsid w:val="00FB46EA"/>
    <w:rsid w:val="00FB530C"/>
    <w:rsid w:val="00FB5908"/>
    <w:rsid w:val="00FB59C8"/>
    <w:rsid w:val="00FB5E7E"/>
    <w:rsid w:val="00FB6C86"/>
    <w:rsid w:val="00FB6E22"/>
    <w:rsid w:val="00FB6EF9"/>
    <w:rsid w:val="00FB73DD"/>
    <w:rsid w:val="00FB7745"/>
    <w:rsid w:val="00FB7CB5"/>
    <w:rsid w:val="00FC07BC"/>
    <w:rsid w:val="00FC0921"/>
    <w:rsid w:val="00FC129B"/>
    <w:rsid w:val="00FC1344"/>
    <w:rsid w:val="00FC14BA"/>
    <w:rsid w:val="00FC19CE"/>
    <w:rsid w:val="00FC23A9"/>
    <w:rsid w:val="00FC28D5"/>
    <w:rsid w:val="00FC38F8"/>
    <w:rsid w:val="00FC3DB0"/>
    <w:rsid w:val="00FC4049"/>
    <w:rsid w:val="00FC44B8"/>
    <w:rsid w:val="00FC5074"/>
    <w:rsid w:val="00FC53B9"/>
    <w:rsid w:val="00FC5B99"/>
    <w:rsid w:val="00FD06AB"/>
    <w:rsid w:val="00FD09D6"/>
    <w:rsid w:val="00FD117B"/>
    <w:rsid w:val="00FD1970"/>
    <w:rsid w:val="00FD2134"/>
    <w:rsid w:val="00FD22FE"/>
    <w:rsid w:val="00FD3095"/>
    <w:rsid w:val="00FD35BD"/>
    <w:rsid w:val="00FD3A7B"/>
    <w:rsid w:val="00FD5137"/>
    <w:rsid w:val="00FD54F8"/>
    <w:rsid w:val="00FD5706"/>
    <w:rsid w:val="00FD5810"/>
    <w:rsid w:val="00FD58AC"/>
    <w:rsid w:val="00FD638F"/>
    <w:rsid w:val="00FD6B06"/>
    <w:rsid w:val="00FD7CF8"/>
    <w:rsid w:val="00FE0A9D"/>
    <w:rsid w:val="00FE0AFE"/>
    <w:rsid w:val="00FE0D08"/>
    <w:rsid w:val="00FE1A5A"/>
    <w:rsid w:val="00FE2543"/>
    <w:rsid w:val="00FE29C1"/>
    <w:rsid w:val="00FE2C35"/>
    <w:rsid w:val="00FE3CD1"/>
    <w:rsid w:val="00FE3E09"/>
    <w:rsid w:val="00FE420A"/>
    <w:rsid w:val="00FE458C"/>
    <w:rsid w:val="00FE4708"/>
    <w:rsid w:val="00FE4ABC"/>
    <w:rsid w:val="00FE4C3B"/>
    <w:rsid w:val="00FE5AA5"/>
    <w:rsid w:val="00FE5D38"/>
    <w:rsid w:val="00FE62E9"/>
    <w:rsid w:val="00FE674B"/>
    <w:rsid w:val="00FE6ADB"/>
    <w:rsid w:val="00FE6CBF"/>
    <w:rsid w:val="00FE73BD"/>
    <w:rsid w:val="00FE7554"/>
    <w:rsid w:val="00FE7AFB"/>
    <w:rsid w:val="00FF1015"/>
    <w:rsid w:val="00FF1619"/>
    <w:rsid w:val="00FF1AC9"/>
    <w:rsid w:val="00FF1EA9"/>
    <w:rsid w:val="00FF2380"/>
    <w:rsid w:val="00FF2834"/>
    <w:rsid w:val="00FF2A57"/>
    <w:rsid w:val="00FF2D3E"/>
    <w:rsid w:val="00FF311B"/>
    <w:rsid w:val="00FF42E5"/>
    <w:rsid w:val="00FF47F1"/>
    <w:rsid w:val="00FF4907"/>
    <w:rsid w:val="00FF4C7D"/>
    <w:rsid w:val="00FF62CA"/>
    <w:rsid w:val="00FF632B"/>
    <w:rsid w:val="00FF6A06"/>
    <w:rsid w:val="00FF6A44"/>
    <w:rsid w:val="00FF6D27"/>
    <w:rsid w:val="00FF6DAD"/>
    <w:rsid w:val="01018489"/>
    <w:rsid w:val="0108A8AB"/>
    <w:rsid w:val="0115D9D0"/>
    <w:rsid w:val="015C2B67"/>
    <w:rsid w:val="016AB0D2"/>
    <w:rsid w:val="01D715D7"/>
    <w:rsid w:val="021194E3"/>
    <w:rsid w:val="02538A6B"/>
    <w:rsid w:val="02598478"/>
    <w:rsid w:val="0259D4B0"/>
    <w:rsid w:val="0265FBE0"/>
    <w:rsid w:val="02708F27"/>
    <w:rsid w:val="027277B6"/>
    <w:rsid w:val="02B940F4"/>
    <w:rsid w:val="03246A26"/>
    <w:rsid w:val="0358C9FE"/>
    <w:rsid w:val="035CD1AC"/>
    <w:rsid w:val="0374B29C"/>
    <w:rsid w:val="039764E6"/>
    <w:rsid w:val="03991BA0"/>
    <w:rsid w:val="03BF19E1"/>
    <w:rsid w:val="03C12BD4"/>
    <w:rsid w:val="03EB5965"/>
    <w:rsid w:val="03FAC28B"/>
    <w:rsid w:val="04145670"/>
    <w:rsid w:val="041B37E3"/>
    <w:rsid w:val="041CB64B"/>
    <w:rsid w:val="041F81D2"/>
    <w:rsid w:val="042DFF02"/>
    <w:rsid w:val="0473D36C"/>
    <w:rsid w:val="04D1032D"/>
    <w:rsid w:val="04E191DE"/>
    <w:rsid w:val="04F69327"/>
    <w:rsid w:val="05305E4D"/>
    <w:rsid w:val="053D0040"/>
    <w:rsid w:val="0559A965"/>
    <w:rsid w:val="058C7CEE"/>
    <w:rsid w:val="0597E450"/>
    <w:rsid w:val="05A79709"/>
    <w:rsid w:val="05CA4723"/>
    <w:rsid w:val="05D3623E"/>
    <w:rsid w:val="0612F003"/>
    <w:rsid w:val="069EFEC5"/>
    <w:rsid w:val="06B2D37D"/>
    <w:rsid w:val="06C0F0A5"/>
    <w:rsid w:val="06D51101"/>
    <w:rsid w:val="06E715BC"/>
    <w:rsid w:val="06E8FC51"/>
    <w:rsid w:val="06F58E98"/>
    <w:rsid w:val="0712CE52"/>
    <w:rsid w:val="0714AD37"/>
    <w:rsid w:val="07634DB3"/>
    <w:rsid w:val="0779F6A2"/>
    <w:rsid w:val="07C50FFD"/>
    <w:rsid w:val="080A9A84"/>
    <w:rsid w:val="0830867B"/>
    <w:rsid w:val="08580E17"/>
    <w:rsid w:val="085CFBDE"/>
    <w:rsid w:val="08DA54FC"/>
    <w:rsid w:val="08E5531B"/>
    <w:rsid w:val="08E58374"/>
    <w:rsid w:val="0906DD40"/>
    <w:rsid w:val="0922CC92"/>
    <w:rsid w:val="092CAB09"/>
    <w:rsid w:val="0948B2AB"/>
    <w:rsid w:val="0953F3F6"/>
    <w:rsid w:val="0962B152"/>
    <w:rsid w:val="09999F89"/>
    <w:rsid w:val="09A34B4F"/>
    <w:rsid w:val="09B0252E"/>
    <w:rsid w:val="09C7754A"/>
    <w:rsid w:val="0A004A0E"/>
    <w:rsid w:val="0A0DA11B"/>
    <w:rsid w:val="0A5ECD27"/>
    <w:rsid w:val="0A96A7F4"/>
    <w:rsid w:val="0A988DD4"/>
    <w:rsid w:val="0A9C837F"/>
    <w:rsid w:val="0AAB44A3"/>
    <w:rsid w:val="0AC9CB7E"/>
    <w:rsid w:val="0ACF562B"/>
    <w:rsid w:val="0AD44AD5"/>
    <w:rsid w:val="0AEB3E3B"/>
    <w:rsid w:val="0AF4D801"/>
    <w:rsid w:val="0B00E155"/>
    <w:rsid w:val="0B0D5699"/>
    <w:rsid w:val="0B19BA6D"/>
    <w:rsid w:val="0B1A5DC9"/>
    <w:rsid w:val="0B26EFBA"/>
    <w:rsid w:val="0B271F74"/>
    <w:rsid w:val="0B818543"/>
    <w:rsid w:val="0BA2D7EC"/>
    <w:rsid w:val="0BED0C44"/>
    <w:rsid w:val="0C227AD5"/>
    <w:rsid w:val="0C3A3280"/>
    <w:rsid w:val="0C8428D3"/>
    <w:rsid w:val="0C84E28C"/>
    <w:rsid w:val="0C8A14D5"/>
    <w:rsid w:val="0C929465"/>
    <w:rsid w:val="0C9C5307"/>
    <w:rsid w:val="0CAE0C92"/>
    <w:rsid w:val="0CCAA421"/>
    <w:rsid w:val="0D1236EB"/>
    <w:rsid w:val="0D374E96"/>
    <w:rsid w:val="0D3ABFEF"/>
    <w:rsid w:val="0D44DB44"/>
    <w:rsid w:val="0D762185"/>
    <w:rsid w:val="0D82D2C1"/>
    <w:rsid w:val="0DB21C71"/>
    <w:rsid w:val="0DC1BF1B"/>
    <w:rsid w:val="0DC4B161"/>
    <w:rsid w:val="0DE05256"/>
    <w:rsid w:val="0DE6984F"/>
    <w:rsid w:val="0DE93CDC"/>
    <w:rsid w:val="0DF08266"/>
    <w:rsid w:val="0DF651F0"/>
    <w:rsid w:val="0E1E2743"/>
    <w:rsid w:val="0E230076"/>
    <w:rsid w:val="0E455671"/>
    <w:rsid w:val="0E58D77E"/>
    <w:rsid w:val="0E5F0C92"/>
    <w:rsid w:val="0EA6BEDC"/>
    <w:rsid w:val="0EB9B764"/>
    <w:rsid w:val="0EC53CBC"/>
    <w:rsid w:val="0F1BB8E9"/>
    <w:rsid w:val="0F224408"/>
    <w:rsid w:val="0F34B730"/>
    <w:rsid w:val="0F40CFED"/>
    <w:rsid w:val="0F56B869"/>
    <w:rsid w:val="0F5FCE62"/>
    <w:rsid w:val="0F740D9F"/>
    <w:rsid w:val="0F8B3B3F"/>
    <w:rsid w:val="0FAD7BAD"/>
    <w:rsid w:val="0FCF9D0A"/>
    <w:rsid w:val="0FD72691"/>
    <w:rsid w:val="10022CC0"/>
    <w:rsid w:val="1011BA25"/>
    <w:rsid w:val="1033A4B9"/>
    <w:rsid w:val="1033E98B"/>
    <w:rsid w:val="103408A9"/>
    <w:rsid w:val="10712617"/>
    <w:rsid w:val="108BF685"/>
    <w:rsid w:val="109537FD"/>
    <w:rsid w:val="10ABE300"/>
    <w:rsid w:val="10B35BB7"/>
    <w:rsid w:val="10C9831E"/>
    <w:rsid w:val="10D70B40"/>
    <w:rsid w:val="10F4AE35"/>
    <w:rsid w:val="10F83269"/>
    <w:rsid w:val="10F9098B"/>
    <w:rsid w:val="10FD8CC9"/>
    <w:rsid w:val="10FFAD0C"/>
    <w:rsid w:val="11160DBF"/>
    <w:rsid w:val="112017D3"/>
    <w:rsid w:val="1143DDBD"/>
    <w:rsid w:val="114C360F"/>
    <w:rsid w:val="114DDA1F"/>
    <w:rsid w:val="115D9BE1"/>
    <w:rsid w:val="1166E9CD"/>
    <w:rsid w:val="117CE188"/>
    <w:rsid w:val="11991046"/>
    <w:rsid w:val="11A477DA"/>
    <w:rsid w:val="11C44D10"/>
    <w:rsid w:val="11CE5D4C"/>
    <w:rsid w:val="11F5B376"/>
    <w:rsid w:val="1221E3C2"/>
    <w:rsid w:val="12258650"/>
    <w:rsid w:val="1229FE32"/>
    <w:rsid w:val="123E986F"/>
    <w:rsid w:val="123FCAD5"/>
    <w:rsid w:val="12581FD1"/>
    <w:rsid w:val="12673678"/>
    <w:rsid w:val="128EAC5F"/>
    <w:rsid w:val="12A5578A"/>
    <w:rsid w:val="12B323CF"/>
    <w:rsid w:val="12DD091E"/>
    <w:rsid w:val="12E2309A"/>
    <w:rsid w:val="12F56EEB"/>
    <w:rsid w:val="1329B3ED"/>
    <w:rsid w:val="13596AAB"/>
    <w:rsid w:val="13757AB9"/>
    <w:rsid w:val="137986D1"/>
    <w:rsid w:val="137B0304"/>
    <w:rsid w:val="139BCEEB"/>
    <w:rsid w:val="13B7C509"/>
    <w:rsid w:val="13C0BA6F"/>
    <w:rsid w:val="13EB3AE7"/>
    <w:rsid w:val="13F55970"/>
    <w:rsid w:val="13FD7D6C"/>
    <w:rsid w:val="13FE0CBA"/>
    <w:rsid w:val="14291AD5"/>
    <w:rsid w:val="14447917"/>
    <w:rsid w:val="144D8529"/>
    <w:rsid w:val="14642F62"/>
    <w:rsid w:val="14875ED3"/>
    <w:rsid w:val="148C99B8"/>
    <w:rsid w:val="149F9A11"/>
    <w:rsid w:val="14AB55DF"/>
    <w:rsid w:val="14C7C68E"/>
    <w:rsid w:val="15012E1D"/>
    <w:rsid w:val="15421DF6"/>
    <w:rsid w:val="15A8D2C4"/>
    <w:rsid w:val="15B8AC64"/>
    <w:rsid w:val="15CEC61E"/>
    <w:rsid w:val="160AAC7A"/>
    <w:rsid w:val="160ED3A2"/>
    <w:rsid w:val="1618323D"/>
    <w:rsid w:val="165722A6"/>
    <w:rsid w:val="16641311"/>
    <w:rsid w:val="168C811B"/>
    <w:rsid w:val="16A532A0"/>
    <w:rsid w:val="16B05B9D"/>
    <w:rsid w:val="16F06E59"/>
    <w:rsid w:val="16FF1F6C"/>
    <w:rsid w:val="1711B694"/>
    <w:rsid w:val="1725036A"/>
    <w:rsid w:val="172F4FCC"/>
    <w:rsid w:val="173763A9"/>
    <w:rsid w:val="174DD421"/>
    <w:rsid w:val="17602E1B"/>
    <w:rsid w:val="177FD285"/>
    <w:rsid w:val="17CB9AEE"/>
    <w:rsid w:val="17D9962E"/>
    <w:rsid w:val="1804F424"/>
    <w:rsid w:val="181682EA"/>
    <w:rsid w:val="182070C8"/>
    <w:rsid w:val="1822A4C5"/>
    <w:rsid w:val="1839A098"/>
    <w:rsid w:val="183F1611"/>
    <w:rsid w:val="184320EE"/>
    <w:rsid w:val="18632E19"/>
    <w:rsid w:val="189052F4"/>
    <w:rsid w:val="18B3068E"/>
    <w:rsid w:val="18E0D3CC"/>
    <w:rsid w:val="18EAD081"/>
    <w:rsid w:val="19099AD4"/>
    <w:rsid w:val="193CB08E"/>
    <w:rsid w:val="194E576B"/>
    <w:rsid w:val="19528AF1"/>
    <w:rsid w:val="1959A396"/>
    <w:rsid w:val="19937174"/>
    <w:rsid w:val="19ACB394"/>
    <w:rsid w:val="19B30A9C"/>
    <w:rsid w:val="19B40EB0"/>
    <w:rsid w:val="19B8F7ED"/>
    <w:rsid w:val="19E1376E"/>
    <w:rsid w:val="19E9F5AE"/>
    <w:rsid w:val="19F3C5DF"/>
    <w:rsid w:val="1A2687E4"/>
    <w:rsid w:val="1A2AB219"/>
    <w:rsid w:val="1A2CD02D"/>
    <w:rsid w:val="1A96F877"/>
    <w:rsid w:val="1AB0EF9C"/>
    <w:rsid w:val="1AB43B62"/>
    <w:rsid w:val="1AC10A2E"/>
    <w:rsid w:val="1AC42030"/>
    <w:rsid w:val="1ACD7B6A"/>
    <w:rsid w:val="1AD28C5C"/>
    <w:rsid w:val="1AEEACAE"/>
    <w:rsid w:val="1B059F4A"/>
    <w:rsid w:val="1B0E57BF"/>
    <w:rsid w:val="1B186B9D"/>
    <w:rsid w:val="1B5CDB6E"/>
    <w:rsid w:val="1B834B97"/>
    <w:rsid w:val="1BA4655E"/>
    <w:rsid w:val="1BE00625"/>
    <w:rsid w:val="1BF0E643"/>
    <w:rsid w:val="1C1407BE"/>
    <w:rsid w:val="1C2204CF"/>
    <w:rsid w:val="1C2AC387"/>
    <w:rsid w:val="1C402E36"/>
    <w:rsid w:val="1C454F4D"/>
    <w:rsid w:val="1C5A0FF0"/>
    <w:rsid w:val="1C62E15A"/>
    <w:rsid w:val="1C7075D9"/>
    <w:rsid w:val="1C9772D9"/>
    <w:rsid w:val="1CB9DC21"/>
    <w:rsid w:val="1CCB8E4E"/>
    <w:rsid w:val="1CCCA68A"/>
    <w:rsid w:val="1CD881AA"/>
    <w:rsid w:val="1CF44891"/>
    <w:rsid w:val="1D14D3AC"/>
    <w:rsid w:val="1D1A0C4B"/>
    <w:rsid w:val="1D457F26"/>
    <w:rsid w:val="1D5432A1"/>
    <w:rsid w:val="1D566075"/>
    <w:rsid w:val="1D8ED8EE"/>
    <w:rsid w:val="1DB5D3D0"/>
    <w:rsid w:val="1DC1957E"/>
    <w:rsid w:val="1DC62BD9"/>
    <w:rsid w:val="1E23F55C"/>
    <w:rsid w:val="1E447914"/>
    <w:rsid w:val="1E5849B9"/>
    <w:rsid w:val="1EB34466"/>
    <w:rsid w:val="1EDAA06D"/>
    <w:rsid w:val="1F338483"/>
    <w:rsid w:val="1F8C221A"/>
    <w:rsid w:val="1F8E7724"/>
    <w:rsid w:val="1FB4AB9E"/>
    <w:rsid w:val="1FCDB3EF"/>
    <w:rsid w:val="1FE80AE6"/>
    <w:rsid w:val="200992E3"/>
    <w:rsid w:val="20508011"/>
    <w:rsid w:val="20784463"/>
    <w:rsid w:val="209EA2AA"/>
    <w:rsid w:val="20A701D2"/>
    <w:rsid w:val="20C122D0"/>
    <w:rsid w:val="20C657DD"/>
    <w:rsid w:val="20C76C5A"/>
    <w:rsid w:val="20EB7F30"/>
    <w:rsid w:val="20F543B0"/>
    <w:rsid w:val="2101F4B9"/>
    <w:rsid w:val="21060EE5"/>
    <w:rsid w:val="2108A5AF"/>
    <w:rsid w:val="21148819"/>
    <w:rsid w:val="2114E66D"/>
    <w:rsid w:val="2115C977"/>
    <w:rsid w:val="21183C40"/>
    <w:rsid w:val="21297A30"/>
    <w:rsid w:val="21332FDB"/>
    <w:rsid w:val="2176D5AA"/>
    <w:rsid w:val="217BC80F"/>
    <w:rsid w:val="21885BAD"/>
    <w:rsid w:val="2194AE4E"/>
    <w:rsid w:val="21A9AC40"/>
    <w:rsid w:val="21C3729B"/>
    <w:rsid w:val="21C5B1B6"/>
    <w:rsid w:val="21CF4C90"/>
    <w:rsid w:val="222135EE"/>
    <w:rsid w:val="2230197C"/>
    <w:rsid w:val="22479A3A"/>
    <w:rsid w:val="2265FDB1"/>
    <w:rsid w:val="2278CCBE"/>
    <w:rsid w:val="22C57B4D"/>
    <w:rsid w:val="22CD1187"/>
    <w:rsid w:val="231C9B1C"/>
    <w:rsid w:val="237B9128"/>
    <w:rsid w:val="2397A7EA"/>
    <w:rsid w:val="23B84008"/>
    <w:rsid w:val="23C63CD4"/>
    <w:rsid w:val="23CA3EB9"/>
    <w:rsid w:val="23F38172"/>
    <w:rsid w:val="2407F224"/>
    <w:rsid w:val="2424091E"/>
    <w:rsid w:val="2425E682"/>
    <w:rsid w:val="242D7C7C"/>
    <w:rsid w:val="243E3C7C"/>
    <w:rsid w:val="2446AA51"/>
    <w:rsid w:val="24664A03"/>
    <w:rsid w:val="2498564F"/>
    <w:rsid w:val="24B14EC0"/>
    <w:rsid w:val="24BDD10A"/>
    <w:rsid w:val="24D826E1"/>
    <w:rsid w:val="24DAA700"/>
    <w:rsid w:val="252ADE32"/>
    <w:rsid w:val="25426B3A"/>
    <w:rsid w:val="25584492"/>
    <w:rsid w:val="256A2D49"/>
    <w:rsid w:val="258ED68E"/>
    <w:rsid w:val="25A8B622"/>
    <w:rsid w:val="25E89A16"/>
    <w:rsid w:val="25F7F7E4"/>
    <w:rsid w:val="261F078F"/>
    <w:rsid w:val="26267F12"/>
    <w:rsid w:val="263BA597"/>
    <w:rsid w:val="263EBC0D"/>
    <w:rsid w:val="264AB002"/>
    <w:rsid w:val="265FEAA5"/>
    <w:rsid w:val="26685B0E"/>
    <w:rsid w:val="266BBC40"/>
    <w:rsid w:val="266FED9A"/>
    <w:rsid w:val="267DE338"/>
    <w:rsid w:val="268FD2E8"/>
    <w:rsid w:val="26FFBD8A"/>
    <w:rsid w:val="27044318"/>
    <w:rsid w:val="2711DFC2"/>
    <w:rsid w:val="2733F50A"/>
    <w:rsid w:val="2734EFDB"/>
    <w:rsid w:val="273C7CF2"/>
    <w:rsid w:val="27445990"/>
    <w:rsid w:val="275D96EE"/>
    <w:rsid w:val="27626CBB"/>
    <w:rsid w:val="277162B0"/>
    <w:rsid w:val="27833C87"/>
    <w:rsid w:val="27924BB5"/>
    <w:rsid w:val="27A50867"/>
    <w:rsid w:val="27AF3545"/>
    <w:rsid w:val="27D56949"/>
    <w:rsid w:val="2801CF33"/>
    <w:rsid w:val="280F8AB2"/>
    <w:rsid w:val="28157CE9"/>
    <w:rsid w:val="2820A860"/>
    <w:rsid w:val="2826D4C7"/>
    <w:rsid w:val="2837AE30"/>
    <w:rsid w:val="28387148"/>
    <w:rsid w:val="284DC386"/>
    <w:rsid w:val="28508973"/>
    <w:rsid w:val="2861E27B"/>
    <w:rsid w:val="28B92E0C"/>
    <w:rsid w:val="28C9D622"/>
    <w:rsid w:val="28D9BC1A"/>
    <w:rsid w:val="2912D3A0"/>
    <w:rsid w:val="292B0E7B"/>
    <w:rsid w:val="294EEA61"/>
    <w:rsid w:val="29503343"/>
    <w:rsid w:val="29590FAE"/>
    <w:rsid w:val="296B7D0C"/>
    <w:rsid w:val="299D9A7D"/>
    <w:rsid w:val="29BA4CAC"/>
    <w:rsid w:val="29C7A1EF"/>
    <w:rsid w:val="29F4C4B7"/>
    <w:rsid w:val="29FF2A44"/>
    <w:rsid w:val="2A257977"/>
    <w:rsid w:val="2A2D244B"/>
    <w:rsid w:val="2A362D1F"/>
    <w:rsid w:val="2A3DCD42"/>
    <w:rsid w:val="2A9C74AE"/>
    <w:rsid w:val="2AB06749"/>
    <w:rsid w:val="2AC0CFE4"/>
    <w:rsid w:val="2ADA480E"/>
    <w:rsid w:val="2AE07285"/>
    <w:rsid w:val="2AEB9500"/>
    <w:rsid w:val="2B03AFE7"/>
    <w:rsid w:val="2B205D8B"/>
    <w:rsid w:val="2B3165D0"/>
    <w:rsid w:val="2B5F8404"/>
    <w:rsid w:val="2B62816F"/>
    <w:rsid w:val="2BAEECF4"/>
    <w:rsid w:val="2BCDAC51"/>
    <w:rsid w:val="2BE093E3"/>
    <w:rsid w:val="2BF0CB1E"/>
    <w:rsid w:val="2C08A9DF"/>
    <w:rsid w:val="2C23DD92"/>
    <w:rsid w:val="2C57509E"/>
    <w:rsid w:val="2CACDCD0"/>
    <w:rsid w:val="2D0566F7"/>
    <w:rsid w:val="2D4D6E06"/>
    <w:rsid w:val="2D7ECF3F"/>
    <w:rsid w:val="2D8FA762"/>
    <w:rsid w:val="2D96C3D1"/>
    <w:rsid w:val="2D9F8FFB"/>
    <w:rsid w:val="2EB22A1D"/>
    <w:rsid w:val="2EC4258B"/>
    <w:rsid w:val="2EC74222"/>
    <w:rsid w:val="2EDF4F38"/>
    <w:rsid w:val="2EEE5783"/>
    <w:rsid w:val="2F0BEA70"/>
    <w:rsid w:val="2F0F553E"/>
    <w:rsid w:val="2F222B26"/>
    <w:rsid w:val="2F224883"/>
    <w:rsid w:val="2F3F3263"/>
    <w:rsid w:val="2F4C6F2B"/>
    <w:rsid w:val="2F5E028A"/>
    <w:rsid w:val="2F7A19AE"/>
    <w:rsid w:val="2F7F6810"/>
    <w:rsid w:val="2F948C85"/>
    <w:rsid w:val="2FB7F22E"/>
    <w:rsid w:val="2FC4E8A0"/>
    <w:rsid w:val="2FFF6AFE"/>
    <w:rsid w:val="300AACB9"/>
    <w:rsid w:val="301FDFCE"/>
    <w:rsid w:val="30419BA1"/>
    <w:rsid w:val="3054DDB9"/>
    <w:rsid w:val="306DC512"/>
    <w:rsid w:val="30936396"/>
    <w:rsid w:val="30AF6288"/>
    <w:rsid w:val="30B73724"/>
    <w:rsid w:val="30B84D2A"/>
    <w:rsid w:val="30BF9372"/>
    <w:rsid w:val="30CA79C4"/>
    <w:rsid w:val="30CAE651"/>
    <w:rsid w:val="310BE7FF"/>
    <w:rsid w:val="313F975D"/>
    <w:rsid w:val="3169AA3D"/>
    <w:rsid w:val="317E3795"/>
    <w:rsid w:val="3181D5F2"/>
    <w:rsid w:val="3184BF8B"/>
    <w:rsid w:val="321153DD"/>
    <w:rsid w:val="3213E825"/>
    <w:rsid w:val="321CF280"/>
    <w:rsid w:val="32782852"/>
    <w:rsid w:val="32791528"/>
    <w:rsid w:val="328DFB3D"/>
    <w:rsid w:val="329CE17A"/>
    <w:rsid w:val="32CF388B"/>
    <w:rsid w:val="32F987F5"/>
    <w:rsid w:val="331F7AC7"/>
    <w:rsid w:val="33300442"/>
    <w:rsid w:val="333A3511"/>
    <w:rsid w:val="336991FC"/>
    <w:rsid w:val="336AB8CD"/>
    <w:rsid w:val="3392197C"/>
    <w:rsid w:val="33C446BB"/>
    <w:rsid w:val="33D1E663"/>
    <w:rsid w:val="33D574D4"/>
    <w:rsid w:val="33EA0730"/>
    <w:rsid w:val="33FE4526"/>
    <w:rsid w:val="342F0BF7"/>
    <w:rsid w:val="3451948C"/>
    <w:rsid w:val="34A59FB4"/>
    <w:rsid w:val="34DCA00A"/>
    <w:rsid w:val="34E307CB"/>
    <w:rsid w:val="3529EF77"/>
    <w:rsid w:val="35512C80"/>
    <w:rsid w:val="358607B7"/>
    <w:rsid w:val="35952C88"/>
    <w:rsid w:val="35E5B0DD"/>
    <w:rsid w:val="35F09F0A"/>
    <w:rsid w:val="35FC04D1"/>
    <w:rsid w:val="36310E4B"/>
    <w:rsid w:val="365D6FB0"/>
    <w:rsid w:val="3689EE8E"/>
    <w:rsid w:val="36A09EF6"/>
    <w:rsid w:val="36A0F6F1"/>
    <w:rsid w:val="36AE7EA6"/>
    <w:rsid w:val="36D98B1F"/>
    <w:rsid w:val="36DA5B6A"/>
    <w:rsid w:val="36F7F625"/>
    <w:rsid w:val="370B5129"/>
    <w:rsid w:val="3722D4E4"/>
    <w:rsid w:val="37A2C3AE"/>
    <w:rsid w:val="37C02211"/>
    <w:rsid w:val="37CC0DC4"/>
    <w:rsid w:val="3816ED04"/>
    <w:rsid w:val="38320E31"/>
    <w:rsid w:val="383C2F11"/>
    <w:rsid w:val="38525A08"/>
    <w:rsid w:val="38776C20"/>
    <w:rsid w:val="38904BE2"/>
    <w:rsid w:val="3897BA03"/>
    <w:rsid w:val="38A6868C"/>
    <w:rsid w:val="38A71023"/>
    <w:rsid w:val="3963D9DF"/>
    <w:rsid w:val="396529F3"/>
    <w:rsid w:val="39749FD4"/>
    <w:rsid w:val="398C9567"/>
    <w:rsid w:val="39D21CF3"/>
    <w:rsid w:val="39D36A52"/>
    <w:rsid w:val="39EB2925"/>
    <w:rsid w:val="3A178ADB"/>
    <w:rsid w:val="3A1AF4F7"/>
    <w:rsid w:val="3A3DF4E7"/>
    <w:rsid w:val="3A3E1EF9"/>
    <w:rsid w:val="3A55163A"/>
    <w:rsid w:val="3A5A4923"/>
    <w:rsid w:val="3A6F3B82"/>
    <w:rsid w:val="3A9EFEEC"/>
    <w:rsid w:val="3AA21143"/>
    <w:rsid w:val="3AB6FA2C"/>
    <w:rsid w:val="3AB7B5D7"/>
    <w:rsid w:val="3AC83790"/>
    <w:rsid w:val="3ACBB0AB"/>
    <w:rsid w:val="3AD7A8BC"/>
    <w:rsid w:val="3ADF821A"/>
    <w:rsid w:val="3AE0940F"/>
    <w:rsid w:val="3AE6F047"/>
    <w:rsid w:val="3B0280D7"/>
    <w:rsid w:val="3B304AAE"/>
    <w:rsid w:val="3B558B19"/>
    <w:rsid w:val="3B68499D"/>
    <w:rsid w:val="3B8576CA"/>
    <w:rsid w:val="3B9190B3"/>
    <w:rsid w:val="3BB0F79A"/>
    <w:rsid w:val="3BD3D858"/>
    <w:rsid w:val="3C1F5643"/>
    <w:rsid w:val="3C7AF371"/>
    <w:rsid w:val="3C8DDD7A"/>
    <w:rsid w:val="3C91DDB4"/>
    <w:rsid w:val="3CA94F86"/>
    <w:rsid w:val="3CB6B104"/>
    <w:rsid w:val="3CD7CFB4"/>
    <w:rsid w:val="3CFFEA31"/>
    <w:rsid w:val="3D1F8235"/>
    <w:rsid w:val="3D6B9764"/>
    <w:rsid w:val="3D774F9D"/>
    <w:rsid w:val="3D79B722"/>
    <w:rsid w:val="3D7CDBB1"/>
    <w:rsid w:val="3D82A4DF"/>
    <w:rsid w:val="3D8592AF"/>
    <w:rsid w:val="3DA482BF"/>
    <w:rsid w:val="3DCDBD54"/>
    <w:rsid w:val="3DCED0AF"/>
    <w:rsid w:val="3DCF41BA"/>
    <w:rsid w:val="3E1383D9"/>
    <w:rsid w:val="3E1E652E"/>
    <w:rsid w:val="3E7B8100"/>
    <w:rsid w:val="3E80906E"/>
    <w:rsid w:val="3E916AD0"/>
    <w:rsid w:val="3EA12B9A"/>
    <w:rsid w:val="3EA42842"/>
    <w:rsid w:val="3EC3F1FC"/>
    <w:rsid w:val="3EE842E3"/>
    <w:rsid w:val="3F0090F7"/>
    <w:rsid w:val="3F02B2D8"/>
    <w:rsid w:val="3F28DA13"/>
    <w:rsid w:val="3F38FD31"/>
    <w:rsid w:val="3F39B372"/>
    <w:rsid w:val="3F5AEA3F"/>
    <w:rsid w:val="3F5B6B0A"/>
    <w:rsid w:val="3F7D34E7"/>
    <w:rsid w:val="3F902BC3"/>
    <w:rsid w:val="3F95C50D"/>
    <w:rsid w:val="3F9CAF41"/>
    <w:rsid w:val="3FA242B4"/>
    <w:rsid w:val="400ACA88"/>
    <w:rsid w:val="4012F124"/>
    <w:rsid w:val="4013F068"/>
    <w:rsid w:val="4014758B"/>
    <w:rsid w:val="403893D5"/>
    <w:rsid w:val="4061AA2F"/>
    <w:rsid w:val="407F6A19"/>
    <w:rsid w:val="408958E4"/>
    <w:rsid w:val="40C02C1B"/>
    <w:rsid w:val="40C0C245"/>
    <w:rsid w:val="40C19E9A"/>
    <w:rsid w:val="40E2C0EE"/>
    <w:rsid w:val="40F8D651"/>
    <w:rsid w:val="40F9A56F"/>
    <w:rsid w:val="414D2631"/>
    <w:rsid w:val="4152BD43"/>
    <w:rsid w:val="4176CA5F"/>
    <w:rsid w:val="41872AFB"/>
    <w:rsid w:val="418C5F7E"/>
    <w:rsid w:val="4190CE5C"/>
    <w:rsid w:val="41927396"/>
    <w:rsid w:val="41AFAA8C"/>
    <w:rsid w:val="41BB0A1A"/>
    <w:rsid w:val="41D6C4C0"/>
    <w:rsid w:val="41E75F29"/>
    <w:rsid w:val="421F729B"/>
    <w:rsid w:val="422B729F"/>
    <w:rsid w:val="42390158"/>
    <w:rsid w:val="4254077C"/>
    <w:rsid w:val="425CED6D"/>
    <w:rsid w:val="425D4B7C"/>
    <w:rsid w:val="4274089A"/>
    <w:rsid w:val="427EAADB"/>
    <w:rsid w:val="429244DC"/>
    <w:rsid w:val="4297F69F"/>
    <w:rsid w:val="42A89EC0"/>
    <w:rsid w:val="42ADD811"/>
    <w:rsid w:val="42B63F02"/>
    <w:rsid w:val="42C5B439"/>
    <w:rsid w:val="42EC566B"/>
    <w:rsid w:val="42F32BD4"/>
    <w:rsid w:val="42F5AFA1"/>
    <w:rsid w:val="4307E36B"/>
    <w:rsid w:val="43122AA8"/>
    <w:rsid w:val="43248C30"/>
    <w:rsid w:val="43260686"/>
    <w:rsid w:val="433C27F0"/>
    <w:rsid w:val="43570DA0"/>
    <w:rsid w:val="435B555F"/>
    <w:rsid w:val="437837AF"/>
    <w:rsid w:val="43949C3F"/>
    <w:rsid w:val="43968F53"/>
    <w:rsid w:val="43BEA448"/>
    <w:rsid w:val="43D545DF"/>
    <w:rsid w:val="43E2C0FF"/>
    <w:rsid w:val="43EA08B2"/>
    <w:rsid w:val="43F1CD5D"/>
    <w:rsid w:val="4401C88F"/>
    <w:rsid w:val="440EF65A"/>
    <w:rsid w:val="4426D097"/>
    <w:rsid w:val="442F1F9A"/>
    <w:rsid w:val="4460D669"/>
    <w:rsid w:val="446EFBFF"/>
    <w:rsid w:val="448F5A92"/>
    <w:rsid w:val="44ABFC84"/>
    <w:rsid w:val="44B07FE8"/>
    <w:rsid w:val="44B7AB51"/>
    <w:rsid w:val="44C3662A"/>
    <w:rsid w:val="44F634DB"/>
    <w:rsid w:val="45087AC2"/>
    <w:rsid w:val="450ECBAA"/>
    <w:rsid w:val="451250FF"/>
    <w:rsid w:val="454BA941"/>
    <w:rsid w:val="456B4A7C"/>
    <w:rsid w:val="45819354"/>
    <w:rsid w:val="45847EEB"/>
    <w:rsid w:val="458608A3"/>
    <w:rsid w:val="458E72AA"/>
    <w:rsid w:val="45B9E16A"/>
    <w:rsid w:val="463AF8CD"/>
    <w:rsid w:val="4657FEEB"/>
    <w:rsid w:val="466F66F7"/>
    <w:rsid w:val="468CFEE5"/>
    <w:rsid w:val="4690C29A"/>
    <w:rsid w:val="46AB5E21"/>
    <w:rsid w:val="46AC969F"/>
    <w:rsid w:val="46C8AA12"/>
    <w:rsid w:val="46CB5E14"/>
    <w:rsid w:val="46D937CA"/>
    <w:rsid w:val="46EEBDCC"/>
    <w:rsid w:val="46F3B4F2"/>
    <w:rsid w:val="4700988B"/>
    <w:rsid w:val="47272D88"/>
    <w:rsid w:val="47503D1A"/>
    <w:rsid w:val="4754DC8A"/>
    <w:rsid w:val="4757F349"/>
    <w:rsid w:val="4796924F"/>
    <w:rsid w:val="47AAB74C"/>
    <w:rsid w:val="47B8B942"/>
    <w:rsid w:val="47DDB4A3"/>
    <w:rsid w:val="47DFB7C7"/>
    <w:rsid w:val="47F9B119"/>
    <w:rsid w:val="480DF712"/>
    <w:rsid w:val="4822F194"/>
    <w:rsid w:val="482D6F86"/>
    <w:rsid w:val="484BB10B"/>
    <w:rsid w:val="486EEFB4"/>
    <w:rsid w:val="488E72FA"/>
    <w:rsid w:val="4895D080"/>
    <w:rsid w:val="48AF6D86"/>
    <w:rsid w:val="48ECC472"/>
    <w:rsid w:val="4910AF89"/>
    <w:rsid w:val="492F944D"/>
    <w:rsid w:val="4930FB22"/>
    <w:rsid w:val="49581416"/>
    <w:rsid w:val="497AF694"/>
    <w:rsid w:val="497F8A97"/>
    <w:rsid w:val="498B3041"/>
    <w:rsid w:val="49C85D84"/>
    <w:rsid w:val="49CB0657"/>
    <w:rsid w:val="49CB5A23"/>
    <w:rsid w:val="49D70F36"/>
    <w:rsid w:val="49D95855"/>
    <w:rsid w:val="49E07DDB"/>
    <w:rsid w:val="49E71932"/>
    <w:rsid w:val="4A370617"/>
    <w:rsid w:val="4A3BE1D1"/>
    <w:rsid w:val="4A61204A"/>
    <w:rsid w:val="4A8657F3"/>
    <w:rsid w:val="4A936116"/>
    <w:rsid w:val="4A9D28AF"/>
    <w:rsid w:val="4A9DB8A4"/>
    <w:rsid w:val="4ACEB75A"/>
    <w:rsid w:val="4B160B29"/>
    <w:rsid w:val="4B22A984"/>
    <w:rsid w:val="4B4118EB"/>
    <w:rsid w:val="4B6F2810"/>
    <w:rsid w:val="4B932A72"/>
    <w:rsid w:val="4BC569FA"/>
    <w:rsid w:val="4BDB318D"/>
    <w:rsid w:val="4BE2F42F"/>
    <w:rsid w:val="4BEA21DE"/>
    <w:rsid w:val="4BEAA44A"/>
    <w:rsid w:val="4C0A990A"/>
    <w:rsid w:val="4C3006B3"/>
    <w:rsid w:val="4C5953FE"/>
    <w:rsid w:val="4C6CDFD6"/>
    <w:rsid w:val="4CC06431"/>
    <w:rsid w:val="4CC82742"/>
    <w:rsid w:val="4CD16175"/>
    <w:rsid w:val="4D024AE9"/>
    <w:rsid w:val="4D085C70"/>
    <w:rsid w:val="4D297253"/>
    <w:rsid w:val="4D3832AF"/>
    <w:rsid w:val="4D3CF05A"/>
    <w:rsid w:val="4D52803E"/>
    <w:rsid w:val="4D8AF019"/>
    <w:rsid w:val="4D8ECF4D"/>
    <w:rsid w:val="4DA18DB3"/>
    <w:rsid w:val="4DA269CB"/>
    <w:rsid w:val="4DD182A9"/>
    <w:rsid w:val="4DD54080"/>
    <w:rsid w:val="4DEBCB7B"/>
    <w:rsid w:val="4E1E9B10"/>
    <w:rsid w:val="4E39C5F5"/>
    <w:rsid w:val="4E3DDE5E"/>
    <w:rsid w:val="4E548E14"/>
    <w:rsid w:val="4E586CD4"/>
    <w:rsid w:val="4E60605C"/>
    <w:rsid w:val="4E779DCE"/>
    <w:rsid w:val="4EA97979"/>
    <w:rsid w:val="4ECD9673"/>
    <w:rsid w:val="4ED17FF7"/>
    <w:rsid w:val="4ED80464"/>
    <w:rsid w:val="4F01C925"/>
    <w:rsid w:val="4F106675"/>
    <w:rsid w:val="4F16E546"/>
    <w:rsid w:val="4F2BD02D"/>
    <w:rsid w:val="4F2CB8A0"/>
    <w:rsid w:val="4F70075B"/>
    <w:rsid w:val="4FBB90EB"/>
    <w:rsid w:val="4FD9D890"/>
    <w:rsid w:val="4FE18316"/>
    <w:rsid w:val="4FE365BF"/>
    <w:rsid w:val="503023EE"/>
    <w:rsid w:val="50436E09"/>
    <w:rsid w:val="50657BDD"/>
    <w:rsid w:val="50872E4A"/>
    <w:rsid w:val="50891E02"/>
    <w:rsid w:val="50948E22"/>
    <w:rsid w:val="50BD45C0"/>
    <w:rsid w:val="50F9C215"/>
    <w:rsid w:val="51062C44"/>
    <w:rsid w:val="510F98FB"/>
    <w:rsid w:val="51166C71"/>
    <w:rsid w:val="512A409B"/>
    <w:rsid w:val="512E0186"/>
    <w:rsid w:val="51395ADC"/>
    <w:rsid w:val="513E4220"/>
    <w:rsid w:val="515E2086"/>
    <w:rsid w:val="5160E112"/>
    <w:rsid w:val="5169B975"/>
    <w:rsid w:val="5185A45A"/>
    <w:rsid w:val="518B80C5"/>
    <w:rsid w:val="51A49353"/>
    <w:rsid w:val="51CFCAC6"/>
    <w:rsid w:val="51E03BC9"/>
    <w:rsid w:val="51FCAF94"/>
    <w:rsid w:val="5203AF31"/>
    <w:rsid w:val="521BF961"/>
    <w:rsid w:val="521D0191"/>
    <w:rsid w:val="52292096"/>
    <w:rsid w:val="52411CC9"/>
    <w:rsid w:val="5263FB2B"/>
    <w:rsid w:val="527869D8"/>
    <w:rsid w:val="5280DAB1"/>
    <w:rsid w:val="529A1D4B"/>
    <w:rsid w:val="529CAB0B"/>
    <w:rsid w:val="529FE425"/>
    <w:rsid w:val="52A3860C"/>
    <w:rsid w:val="52D31045"/>
    <w:rsid w:val="52EBB143"/>
    <w:rsid w:val="52F188A7"/>
    <w:rsid w:val="530F2B05"/>
    <w:rsid w:val="535A60F3"/>
    <w:rsid w:val="535C5734"/>
    <w:rsid w:val="5388E0F0"/>
    <w:rsid w:val="538EE256"/>
    <w:rsid w:val="538FC277"/>
    <w:rsid w:val="5395949D"/>
    <w:rsid w:val="53BF10BA"/>
    <w:rsid w:val="53D2105C"/>
    <w:rsid w:val="53EDCCC7"/>
    <w:rsid w:val="5407F409"/>
    <w:rsid w:val="540B5A9F"/>
    <w:rsid w:val="540FAF44"/>
    <w:rsid w:val="541F6A48"/>
    <w:rsid w:val="542270B9"/>
    <w:rsid w:val="542405BC"/>
    <w:rsid w:val="5424AE17"/>
    <w:rsid w:val="54273926"/>
    <w:rsid w:val="5479E486"/>
    <w:rsid w:val="5487F00D"/>
    <w:rsid w:val="5489127E"/>
    <w:rsid w:val="548D6A89"/>
    <w:rsid w:val="54C8DA59"/>
    <w:rsid w:val="54D7D637"/>
    <w:rsid w:val="54DEE0D0"/>
    <w:rsid w:val="54ED687C"/>
    <w:rsid w:val="54EE36B3"/>
    <w:rsid w:val="550A86EC"/>
    <w:rsid w:val="5589B4B5"/>
    <w:rsid w:val="559748BC"/>
    <w:rsid w:val="55C09242"/>
    <w:rsid w:val="55C2802B"/>
    <w:rsid w:val="55DB4F3E"/>
    <w:rsid w:val="55EDEEDC"/>
    <w:rsid w:val="5637E959"/>
    <w:rsid w:val="5639555C"/>
    <w:rsid w:val="567B222E"/>
    <w:rsid w:val="569575F7"/>
    <w:rsid w:val="569B15E1"/>
    <w:rsid w:val="569E0BEA"/>
    <w:rsid w:val="56AC31D6"/>
    <w:rsid w:val="56DD3C9D"/>
    <w:rsid w:val="56EF0CAD"/>
    <w:rsid w:val="570CD282"/>
    <w:rsid w:val="5716F4AE"/>
    <w:rsid w:val="5736FF9A"/>
    <w:rsid w:val="573A4A4F"/>
    <w:rsid w:val="575DAABD"/>
    <w:rsid w:val="576396F4"/>
    <w:rsid w:val="57B22EF7"/>
    <w:rsid w:val="57DCA03F"/>
    <w:rsid w:val="57E2B784"/>
    <w:rsid w:val="57F0496A"/>
    <w:rsid w:val="580907CE"/>
    <w:rsid w:val="582116D5"/>
    <w:rsid w:val="5828B5C6"/>
    <w:rsid w:val="5886298D"/>
    <w:rsid w:val="588694F8"/>
    <w:rsid w:val="58AA087C"/>
    <w:rsid w:val="58AD71F1"/>
    <w:rsid w:val="58D712D8"/>
    <w:rsid w:val="58E4C432"/>
    <w:rsid w:val="590162E4"/>
    <w:rsid w:val="594295B3"/>
    <w:rsid w:val="594BA271"/>
    <w:rsid w:val="5972A081"/>
    <w:rsid w:val="59744483"/>
    <w:rsid w:val="59AA6854"/>
    <w:rsid w:val="59CFF010"/>
    <w:rsid w:val="59E4B7C1"/>
    <w:rsid w:val="59F4D5BE"/>
    <w:rsid w:val="5A211782"/>
    <w:rsid w:val="5A37A75F"/>
    <w:rsid w:val="5A406E1E"/>
    <w:rsid w:val="5A45055B"/>
    <w:rsid w:val="5A4675ED"/>
    <w:rsid w:val="5A517D1E"/>
    <w:rsid w:val="5A56CC2F"/>
    <w:rsid w:val="5A87B7F6"/>
    <w:rsid w:val="5A97871B"/>
    <w:rsid w:val="5AA80806"/>
    <w:rsid w:val="5ACDD926"/>
    <w:rsid w:val="5AD05F2E"/>
    <w:rsid w:val="5ADD16B8"/>
    <w:rsid w:val="5ADE7507"/>
    <w:rsid w:val="5AE49821"/>
    <w:rsid w:val="5AEFAAEC"/>
    <w:rsid w:val="5B340277"/>
    <w:rsid w:val="5B5A4375"/>
    <w:rsid w:val="5B65709A"/>
    <w:rsid w:val="5B666B01"/>
    <w:rsid w:val="5B7519AA"/>
    <w:rsid w:val="5B7B5EE8"/>
    <w:rsid w:val="5BA2C678"/>
    <w:rsid w:val="5BAC7F07"/>
    <w:rsid w:val="5BAE0247"/>
    <w:rsid w:val="5BB35E67"/>
    <w:rsid w:val="5BB91B24"/>
    <w:rsid w:val="5BBB7FE3"/>
    <w:rsid w:val="5BC5A903"/>
    <w:rsid w:val="5BD094CB"/>
    <w:rsid w:val="5BD55F94"/>
    <w:rsid w:val="5BEFE387"/>
    <w:rsid w:val="5BFB1D25"/>
    <w:rsid w:val="5C0B7880"/>
    <w:rsid w:val="5C2AAF5E"/>
    <w:rsid w:val="5C3A32F8"/>
    <w:rsid w:val="5C51BDDF"/>
    <w:rsid w:val="5C5A8225"/>
    <w:rsid w:val="5C6117B6"/>
    <w:rsid w:val="5C65A7D1"/>
    <w:rsid w:val="5C8C9CE1"/>
    <w:rsid w:val="5CBFA33D"/>
    <w:rsid w:val="5CE03AE0"/>
    <w:rsid w:val="5CE05FFB"/>
    <w:rsid w:val="5CF7593B"/>
    <w:rsid w:val="5CF99D89"/>
    <w:rsid w:val="5D1701FA"/>
    <w:rsid w:val="5D2721EB"/>
    <w:rsid w:val="5D331E6D"/>
    <w:rsid w:val="5D6125D9"/>
    <w:rsid w:val="5D6AF498"/>
    <w:rsid w:val="5D6C086A"/>
    <w:rsid w:val="5D742AE6"/>
    <w:rsid w:val="5D80043F"/>
    <w:rsid w:val="5D8BB83B"/>
    <w:rsid w:val="5DA2738C"/>
    <w:rsid w:val="5DAD2E02"/>
    <w:rsid w:val="5DC6E0F3"/>
    <w:rsid w:val="5DCC07C0"/>
    <w:rsid w:val="5DD9C604"/>
    <w:rsid w:val="5DD9E263"/>
    <w:rsid w:val="5DE23E98"/>
    <w:rsid w:val="5E04D7CC"/>
    <w:rsid w:val="5E0A45DF"/>
    <w:rsid w:val="5E148B30"/>
    <w:rsid w:val="5E1B4DD1"/>
    <w:rsid w:val="5E2D49F9"/>
    <w:rsid w:val="5E590109"/>
    <w:rsid w:val="5E8C3AED"/>
    <w:rsid w:val="5EBBC796"/>
    <w:rsid w:val="5EEBBE42"/>
    <w:rsid w:val="5F4B1713"/>
    <w:rsid w:val="5F9EDEF0"/>
    <w:rsid w:val="5FD246FF"/>
    <w:rsid w:val="5FD47910"/>
    <w:rsid w:val="60138790"/>
    <w:rsid w:val="602528B3"/>
    <w:rsid w:val="604A0154"/>
    <w:rsid w:val="60506DB5"/>
    <w:rsid w:val="6059F7CF"/>
    <w:rsid w:val="60666FA7"/>
    <w:rsid w:val="6088F369"/>
    <w:rsid w:val="60997D07"/>
    <w:rsid w:val="60A406E2"/>
    <w:rsid w:val="60BD9BA8"/>
    <w:rsid w:val="60C1408A"/>
    <w:rsid w:val="60D46698"/>
    <w:rsid w:val="60D9D7C6"/>
    <w:rsid w:val="61131D5D"/>
    <w:rsid w:val="6130C879"/>
    <w:rsid w:val="614FD18D"/>
    <w:rsid w:val="616046AD"/>
    <w:rsid w:val="617278DB"/>
    <w:rsid w:val="617B41B0"/>
    <w:rsid w:val="6195E9CE"/>
    <w:rsid w:val="6198DCFD"/>
    <w:rsid w:val="61AEBC91"/>
    <w:rsid w:val="61B75143"/>
    <w:rsid w:val="61C22F9B"/>
    <w:rsid w:val="61C84876"/>
    <w:rsid w:val="61C89C9C"/>
    <w:rsid w:val="61C961CB"/>
    <w:rsid w:val="620278A4"/>
    <w:rsid w:val="620A9A8E"/>
    <w:rsid w:val="62298A6C"/>
    <w:rsid w:val="629F1E9F"/>
    <w:rsid w:val="62AECE06"/>
    <w:rsid w:val="62C1C171"/>
    <w:rsid w:val="62FFEA07"/>
    <w:rsid w:val="6307490D"/>
    <w:rsid w:val="631373CF"/>
    <w:rsid w:val="63169CF5"/>
    <w:rsid w:val="631B00FD"/>
    <w:rsid w:val="631D8BA1"/>
    <w:rsid w:val="63408080"/>
    <w:rsid w:val="6350FFBE"/>
    <w:rsid w:val="6359709C"/>
    <w:rsid w:val="63753757"/>
    <w:rsid w:val="637E4999"/>
    <w:rsid w:val="6398D688"/>
    <w:rsid w:val="63A9A1D3"/>
    <w:rsid w:val="63CD53B6"/>
    <w:rsid w:val="63D34229"/>
    <w:rsid w:val="63DCEF9E"/>
    <w:rsid w:val="6433C161"/>
    <w:rsid w:val="645BAA5B"/>
    <w:rsid w:val="646C2613"/>
    <w:rsid w:val="64BEA02F"/>
    <w:rsid w:val="64CAC82D"/>
    <w:rsid w:val="64D4338A"/>
    <w:rsid w:val="64FBAD69"/>
    <w:rsid w:val="65063BCA"/>
    <w:rsid w:val="6530575F"/>
    <w:rsid w:val="65368DCC"/>
    <w:rsid w:val="6557DBDA"/>
    <w:rsid w:val="65769FC1"/>
    <w:rsid w:val="658AFDFC"/>
    <w:rsid w:val="658F9E78"/>
    <w:rsid w:val="65A430F5"/>
    <w:rsid w:val="65AB4D0D"/>
    <w:rsid w:val="65B85A65"/>
    <w:rsid w:val="65DAE94E"/>
    <w:rsid w:val="65E9FA70"/>
    <w:rsid w:val="65ECD129"/>
    <w:rsid w:val="664C5D70"/>
    <w:rsid w:val="6667724D"/>
    <w:rsid w:val="6683938F"/>
    <w:rsid w:val="66D2681C"/>
    <w:rsid w:val="66FD634D"/>
    <w:rsid w:val="674983A8"/>
    <w:rsid w:val="674F90A9"/>
    <w:rsid w:val="674FD1D3"/>
    <w:rsid w:val="6755BC91"/>
    <w:rsid w:val="677B5C7C"/>
    <w:rsid w:val="677F94D6"/>
    <w:rsid w:val="67B4E462"/>
    <w:rsid w:val="67BFDFB6"/>
    <w:rsid w:val="67C7E893"/>
    <w:rsid w:val="682C1ED0"/>
    <w:rsid w:val="6833A8EA"/>
    <w:rsid w:val="68343C4B"/>
    <w:rsid w:val="684B8242"/>
    <w:rsid w:val="684F0EC4"/>
    <w:rsid w:val="6877D830"/>
    <w:rsid w:val="688B8754"/>
    <w:rsid w:val="68914474"/>
    <w:rsid w:val="68B065F4"/>
    <w:rsid w:val="68B7990B"/>
    <w:rsid w:val="690E087C"/>
    <w:rsid w:val="691D75EB"/>
    <w:rsid w:val="693E1A14"/>
    <w:rsid w:val="69526DD1"/>
    <w:rsid w:val="69B999CA"/>
    <w:rsid w:val="69E4AC04"/>
    <w:rsid w:val="69E7AC01"/>
    <w:rsid w:val="69EAD736"/>
    <w:rsid w:val="6A12ED5B"/>
    <w:rsid w:val="6A2623C0"/>
    <w:rsid w:val="6A2F7B42"/>
    <w:rsid w:val="6A3454D7"/>
    <w:rsid w:val="6A48AAD4"/>
    <w:rsid w:val="6A4F3DF3"/>
    <w:rsid w:val="6A8D2E37"/>
    <w:rsid w:val="6A948516"/>
    <w:rsid w:val="6AA6B81A"/>
    <w:rsid w:val="6AC784EA"/>
    <w:rsid w:val="6AF0B40F"/>
    <w:rsid w:val="6B10CACA"/>
    <w:rsid w:val="6B21974F"/>
    <w:rsid w:val="6B2AD6A6"/>
    <w:rsid w:val="6B6AC127"/>
    <w:rsid w:val="6B764176"/>
    <w:rsid w:val="6BAA4573"/>
    <w:rsid w:val="6BE9DA0C"/>
    <w:rsid w:val="6BFC43C4"/>
    <w:rsid w:val="6C003656"/>
    <w:rsid w:val="6C17CE32"/>
    <w:rsid w:val="6C576968"/>
    <w:rsid w:val="6C6A2D68"/>
    <w:rsid w:val="6C739592"/>
    <w:rsid w:val="6CB99A86"/>
    <w:rsid w:val="6CC7C01D"/>
    <w:rsid w:val="6CD22974"/>
    <w:rsid w:val="6CDFDE08"/>
    <w:rsid w:val="6CDFE9A5"/>
    <w:rsid w:val="6CE4E64A"/>
    <w:rsid w:val="6CF6C533"/>
    <w:rsid w:val="6D13C9A0"/>
    <w:rsid w:val="6D63EA85"/>
    <w:rsid w:val="6D96672C"/>
    <w:rsid w:val="6DB0C0D0"/>
    <w:rsid w:val="6DB4B76E"/>
    <w:rsid w:val="6DB6A282"/>
    <w:rsid w:val="6DC34733"/>
    <w:rsid w:val="6DF2ED63"/>
    <w:rsid w:val="6E25ED46"/>
    <w:rsid w:val="6E321AAE"/>
    <w:rsid w:val="6E42148A"/>
    <w:rsid w:val="6E5F2247"/>
    <w:rsid w:val="6E8E12CD"/>
    <w:rsid w:val="6E96C504"/>
    <w:rsid w:val="6EB78520"/>
    <w:rsid w:val="6EBF522E"/>
    <w:rsid w:val="6EDFED96"/>
    <w:rsid w:val="6EF8D33A"/>
    <w:rsid w:val="6F029F64"/>
    <w:rsid w:val="6F15D0DC"/>
    <w:rsid w:val="6F58B72D"/>
    <w:rsid w:val="6F5A5F38"/>
    <w:rsid w:val="6F5AB887"/>
    <w:rsid w:val="6F64B9D6"/>
    <w:rsid w:val="6F75376C"/>
    <w:rsid w:val="6F78247A"/>
    <w:rsid w:val="6FA975F3"/>
    <w:rsid w:val="6FCC640E"/>
    <w:rsid w:val="6FD7904D"/>
    <w:rsid w:val="6FE57BAE"/>
    <w:rsid w:val="6FF78F09"/>
    <w:rsid w:val="701CA6FC"/>
    <w:rsid w:val="7023CC03"/>
    <w:rsid w:val="70369A46"/>
    <w:rsid w:val="7039B118"/>
    <w:rsid w:val="704B413C"/>
    <w:rsid w:val="705D23B3"/>
    <w:rsid w:val="70986764"/>
    <w:rsid w:val="70A259C8"/>
    <w:rsid w:val="70B6CF16"/>
    <w:rsid w:val="70B73226"/>
    <w:rsid w:val="70E2BB8A"/>
    <w:rsid w:val="70E73699"/>
    <w:rsid w:val="70EDA428"/>
    <w:rsid w:val="7101C149"/>
    <w:rsid w:val="7165BD57"/>
    <w:rsid w:val="71B8CFF6"/>
    <w:rsid w:val="71C07233"/>
    <w:rsid w:val="71C376F6"/>
    <w:rsid w:val="71E95D04"/>
    <w:rsid w:val="72251FDD"/>
    <w:rsid w:val="722522D9"/>
    <w:rsid w:val="72338D18"/>
    <w:rsid w:val="723BD286"/>
    <w:rsid w:val="72494EC2"/>
    <w:rsid w:val="724C0F89"/>
    <w:rsid w:val="72519D79"/>
    <w:rsid w:val="72635338"/>
    <w:rsid w:val="72728ECD"/>
    <w:rsid w:val="72A80C17"/>
    <w:rsid w:val="72A8F503"/>
    <w:rsid w:val="72EA017B"/>
    <w:rsid w:val="73075BFF"/>
    <w:rsid w:val="731761B2"/>
    <w:rsid w:val="731876B7"/>
    <w:rsid w:val="732F70DE"/>
    <w:rsid w:val="73365DB4"/>
    <w:rsid w:val="7349880D"/>
    <w:rsid w:val="7355341B"/>
    <w:rsid w:val="73616EB0"/>
    <w:rsid w:val="73942453"/>
    <w:rsid w:val="73D9DF5E"/>
    <w:rsid w:val="73D9EE5E"/>
    <w:rsid w:val="74217C2D"/>
    <w:rsid w:val="7443271F"/>
    <w:rsid w:val="7477A55E"/>
    <w:rsid w:val="74B83E46"/>
    <w:rsid w:val="750277A2"/>
    <w:rsid w:val="750EB21B"/>
    <w:rsid w:val="755E7B9E"/>
    <w:rsid w:val="7565B6CF"/>
    <w:rsid w:val="75FDC9E2"/>
    <w:rsid w:val="767DCD52"/>
    <w:rsid w:val="769CC865"/>
    <w:rsid w:val="76A01C24"/>
    <w:rsid w:val="76AEF38A"/>
    <w:rsid w:val="76C22E7A"/>
    <w:rsid w:val="76C68FF9"/>
    <w:rsid w:val="76D24C23"/>
    <w:rsid w:val="76E1EA1A"/>
    <w:rsid w:val="76EB634C"/>
    <w:rsid w:val="76FED4BF"/>
    <w:rsid w:val="76FEE771"/>
    <w:rsid w:val="770ECD10"/>
    <w:rsid w:val="77248D16"/>
    <w:rsid w:val="77464967"/>
    <w:rsid w:val="774C6151"/>
    <w:rsid w:val="775E2E20"/>
    <w:rsid w:val="77BF47C3"/>
    <w:rsid w:val="77E5200C"/>
    <w:rsid w:val="77EC7D39"/>
    <w:rsid w:val="77F47977"/>
    <w:rsid w:val="77FB64FD"/>
    <w:rsid w:val="78040A07"/>
    <w:rsid w:val="782C3447"/>
    <w:rsid w:val="78323A9E"/>
    <w:rsid w:val="7859A605"/>
    <w:rsid w:val="785CE431"/>
    <w:rsid w:val="78A05A65"/>
    <w:rsid w:val="78BA4963"/>
    <w:rsid w:val="78EF1E00"/>
    <w:rsid w:val="79124B52"/>
    <w:rsid w:val="791C1269"/>
    <w:rsid w:val="79642E49"/>
    <w:rsid w:val="797493B5"/>
    <w:rsid w:val="79E34CF0"/>
    <w:rsid w:val="79FDF3F9"/>
    <w:rsid w:val="7A2FD670"/>
    <w:rsid w:val="7A37E3CF"/>
    <w:rsid w:val="7A39BEA2"/>
    <w:rsid w:val="7A3C182C"/>
    <w:rsid w:val="7A3D79BD"/>
    <w:rsid w:val="7A478339"/>
    <w:rsid w:val="7A5087A2"/>
    <w:rsid w:val="7A849F5B"/>
    <w:rsid w:val="7A8D0790"/>
    <w:rsid w:val="7A8FB145"/>
    <w:rsid w:val="7A9DB08D"/>
    <w:rsid w:val="7AB30401"/>
    <w:rsid w:val="7ABCF660"/>
    <w:rsid w:val="7AC21B4C"/>
    <w:rsid w:val="7ACF8B95"/>
    <w:rsid w:val="7AE6ADA2"/>
    <w:rsid w:val="7B000697"/>
    <w:rsid w:val="7B13A03D"/>
    <w:rsid w:val="7B510DD1"/>
    <w:rsid w:val="7BB36FE2"/>
    <w:rsid w:val="7BCBC9FC"/>
    <w:rsid w:val="7BD377BF"/>
    <w:rsid w:val="7C01E96E"/>
    <w:rsid w:val="7C1E7DAB"/>
    <w:rsid w:val="7C2CC4B1"/>
    <w:rsid w:val="7C3145DC"/>
    <w:rsid w:val="7C33BFDF"/>
    <w:rsid w:val="7C342553"/>
    <w:rsid w:val="7C3A5D80"/>
    <w:rsid w:val="7C46015D"/>
    <w:rsid w:val="7C6B5418"/>
    <w:rsid w:val="7C86DBD6"/>
    <w:rsid w:val="7C8C0C58"/>
    <w:rsid w:val="7C8D1B17"/>
    <w:rsid w:val="7CA236D0"/>
    <w:rsid w:val="7CE06AE0"/>
    <w:rsid w:val="7CE2F15D"/>
    <w:rsid w:val="7D36D17B"/>
    <w:rsid w:val="7D44A037"/>
    <w:rsid w:val="7D487261"/>
    <w:rsid w:val="7D902BA4"/>
    <w:rsid w:val="7DE4B58B"/>
    <w:rsid w:val="7DED65FA"/>
    <w:rsid w:val="7E1AF231"/>
    <w:rsid w:val="7E2F383F"/>
    <w:rsid w:val="7E3E0121"/>
    <w:rsid w:val="7E4C9767"/>
    <w:rsid w:val="7E5519BD"/>
    <w:rsid w:val="7E623C7E"/>
    <w:rsid w:val="7E6DCB90"/>
    <w:rsid w:val="7E78814A"/>
    <w:rsid w:val="7EA78885"/>
    <w:rsid w:val="7EB230C2"/>
    <w:rsid w:val="7EFDAFE3"/>
    <w:rsid w:val="7F154506"/>
    <w:rsid w:val="7F1D92BB"/>
    <w:rsid w:val="7F468C5B"/>
    <w:rsid w:val="7F481657"/>
    <w:rsid w:val="7F6B9DF2"/>
    <w:rsid w:val="7F8DE8DC"/>
    <w:rsid w:val="7FA1A148"/>
    <w:rsid w:val="7FAE871B"/>
    <w:rsid w:val="7FC01036"/>
    <w:rsid w:val="7FD1051D"/>
    <w:rsid w:val="7FDE4C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0ABEDB6C-CEC0-4D49-96E7-3FAC780F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3A22"/>
    <w:rPr>
      <w:sz w:val="16"/>
      <w:szCs w:val="16"/>
    </w:rPr>
  </w:style>
  <w:style w:type="paragraph" w:styleId="CommentText">
    <w:name w:val="annotation text"/>
    <w:basedOn w:val="Normal"/>
    <w:link w:val="CommentTextChar"/>
    <w:uiPriority w:val="99"/>
    <w:unhideWhenUsed/>
    <w:rsid w:val="00B43A22"/>
    <w:rPr>
      <w:sz w:val="20"/>
      <w:szCs w:val="20"/>
    </w:rPr>
  </w:style>
  <w:style w:type="character" w:customStyle="1" w:styleId="CommentTextChar">
    <w:name w:val="Comment Text Char"/>
    <w:basedOn w:val="DefaultParagraphFont"/>
    <w:link w:val="CommentText"/>
    <w:uiPriority w:val="99"/>
    <w:rsid w:val="00B43A22"/>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3C467E"/>
    <w:rPr>
      <w:b/>
      <w:bCs/>
    </w:rPr>
  </w:style>
  <w:style w:type="character" w:customStyle="1" w:styleId="CommentSubjectChar">
    <w:name w:val="Comment Subject Char"/>
    <w:basedOn w:val="CommentTextChar"/>
    <w:link w:val="CommentSubject"/>
    <w:uiPriority w:val="99"/>
    <w:semiHidden/>
    <w:rsid w:val="003C467E"/>
    <w:rPr>
      <w:rFonts w:ascii="Times New Roman" w:hAnsi="Times New Roman" w:cs="Times New Roman"/>
      <w:b/>
      <w:bCs/>
      <w:sz w:val="20"/>
      <w:szCs w:val="20"/>
      <w:lang w:val="fr-FR"/>
    </w:rPr>
  </w:style>
  <w:style w:type="paragraph" w:styleId="ListParagraph">
    <w:name w:val="List Paragraph"/>
    <w:basedOn w:val="Normal"/>
    <w:uiPriority w:val="34"/>
    <w:qFormat/>
    <w:rsid w:val="00785305"/>
    <w:pPr>
      <w:ind w:left="720"/>
      <w:contextualSpacing/>
    </w:pPr>
  </w:style>
  <w:style w:type="paragraph" w:styleId="ListBullet">
    <w:name w:val="List Bullet"/>
    <w:basedOn w:val="Normal"/>
    <w:uiPriority w:val="99"/>
    <w:semiHidden/>
    <w:unhideWhenUsed/>
    <w:rsid w:val="00F87102"/>
    <w:pPr>
      <w:numPr>
        <w:numId w:val="1"/>
      </w:numPr>
      <w:contextualSpacing/>
    </w:pPr>
  </w:style>
  <w:style w:type="paragraph" w:styleId="ListBullet2">
    <w:name w:val="List Bullet 2"/>
    <w:basedOn w:val="Normal"/>
    <w:uiPriority w:val="99"/>
    <w:semiHidden/>
    <w:unhideWhenUsed/>
    <w:rsid w:val="00F87102"/>
    <w:pPr>
      <w:numPr>
        <w:numId w:val="2"/>
      </w:numPr>
      <w:contextualSpacing/>
    </w:pPr>
  </w:style>
  <w:style w:type="paragraph" w:styleId="ListBullet3">
    <w:name w:val="List Bullet 3"/>
    <w:basedOn w:val="Normal"/>
    <w:uiPriority w:val="99"/>
    <w:semiHidden/>
    <w:unhideWhenUsed/>
    <w:rsid w:val="00F87102"/>
    <w:pPr>
      <w:numPr>
        <w:numId w:val="3"/>
      </w:numPr>
      <w:contextualSpacing/>
    </w:pPr>
  </w:style>
  <w:style w:type="paragraph" w:styleId="ListBullet4">
    <w:name w:val="List Bullet 4"/>
    <w:basedOn w:val="Normal"/>
    <w:uiPriority w:val="99"/>
    <w:semiHidden/>
    <w:unhideWhenUsed/>
    <w:rsid w:val="00F87102"/>
    <w:pPr>
      <w:numPr>
        <w:numId w:val="4"/>
      </w:numPr>
      <w:contextualSpacing/>
    </w:pPr>
  </w:style>
  <w:style w:type="paragraph" w:styleId="Revision">
    <w:name w:val="Revision"/>
    <w:hidden/>
    <w:uiPriority w:val="99"/>
    <w:semiHidden/>
    <w:rsid w:val="00946934"/>
    <w:pPr>
      <w:spacing w:after="0" w:line="240" w:lineRule="auto"/>
    </w:pPr>
    <w:rPr>
      <w:rFonts w:ascii="Times New Roman" w:hAnsi="Times New Roman" w:cs="Times New Roman"/>
      <w:sz w:val="24"/>
    </w:rPr>
  </w:style>
  <w:style w:type="character" w:customStyle="1" w:styleId="Mention">
    <w:name w:val="Mention"/>
    <w:basedOn w:val="DefaultParagraphFont"/>
    <w:uiPriority w:val="99"/>
    <w:unhideWhenUsed/>
    <w:rsid w:val="00C235A3"/>
    <w:rPr>
      <w:color w:val="2B579A"/>
      <w:shd w:val="clear" w:color="auto" w:fill="E1DFDD"/>
    </w:rPr>
  </w:style>
  <w:style w:type="character" w:styleId="Hyperlink">
    <w:name w:val="Hyperlink"/>
    <w:basedOn w:val="DefaultParagraphFont"/>
    <w:uiPriority w:val="99"/>
    <w:unhideWhenUsed/>
    <w:rsid w:val="00705F22"/>
    <w:rPr>
      <w:color w:val="0000FF"/>
      <w:u w:val="single"/>
    </w:rPr>
  </w:style>
  <w:style w:type="character" w:customStyle="1" w:styleId="UnresolvedMention">
    <w:name w:val="Unresolved Mention"/>
    <w:basedOn w:val="DefaultParagraphFont"/>
    <w:uiPriority w:val="99"/>
    <w:semiHidden/>
    <w:unhideWhenUsed/>
    <w:rsid w:val="00D92DB3"/>
    <w:rPr>
      <w:color w:val="605E5C"/>
      <w:shd w:val="clear" w:color="auto" w:fill="E1DFDD"/>
    </w:rPr>
  </w:style>
  <w:style w:type="character" w:styleId="FollowedHyperlink">
    <w:name w:val="FollowedHyperlink"/>
    <w:basedOn w:val="DefaultParagraphFont"/>
    <w:uiPriority w:val="99"/>
    <w:semiHidden/>
    <w:unhideWhenUsed/>
    <w:rsid w:val="00B61906"/>
    <w:rPr>
      <w:color w:val="800080" w:themeColor="followedHyperlink"/>
      <w:u w:val="single"/>
    </w:rPr>
  </w:style>
  <w:style w:type="character" w:customStyle="1" w:styleId="HeaderChar">
    <w:name w:val="Header Char"/>
    <w:basedOn w:val="DefaultParagraphFont"/>
    <w:link w:val="Header"/>
    <w:uiPriority w:val="99"/>
    <w:rsid w:val="00627570"/>
    <w:rPr>
      <w:rFonts w:ascii="Times New Roman" w:hAnsi="Times New Roman" w:cs="Times New Roman"/>
      <w:sz w:val="24"/>
      <w:lang w:val="fr-FR"/>
    </w:rPr>
  </w:style>
  <w:style w:type="character" w:customStyle="1" w:styleId="FooterChar">
    <w:name w:val="Footer Char"/>
    <w:basedOn w:val="DefaultParagraphFont"/>
    <w:link w:val="Footer"/>
    <w:uiPriority w:val="99"/>
    <w:rsid w:val="00627570"/>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2757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27570"/>
    <w:pPr>
      <w:spacing w:before="0"/>
      <w:jc w:val="right"/>
    </w:pPr>
    <w:rPr>
      <w:sz w:val="28"/>
    </w:rPr>
  </w:style>
  <w:style w:type="paragraph" w:customStyle="1" w:styleId="FooterSensitivity">
    <w:name w:val="Footer Sensitivity"/>
    <w:basedOn w:val="Normal"/>
    <w:rsid w:val="0062757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NumPar5">
    <w:name w:val="NumPar 5"/>
    <w:basedOn w:val="Normal"/>
    <w:next w:val="Text2"/>
    <w:pPr>
      <w:numPr>
        <w:ilvl w:val="4"/>
        <w:numId w:val="36"/>
      </w:numPr>
    </w:pPr>
  </w:style>
  <w:style w:type="paragraph" w:customStyle="1" w:styleId="NumPar6">
    <w:name w:val="NumPar 6"/>
    <w:basedOn w:val="Normal"/>
    <w:next w:val="Text2"/>
    <w:pPr>
      <w:numPr>
        <w:ilvl w:val="5"/>
        <w:numId w:val="36"/>
      </w:numPr>
    </w:pPr>
  </w:style>
  <w:style w:type="paragraph" w:customStyle="1" w:styleId="NumPar7">
    <w:name w:val="NumPar 7"/>
    <w:basedOn w:val="Normal"/>
    <w:next w:val="Text2"/>
    <w:pPr>
      <w:numPr>
        <w:ilvl w:val="6"/>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27570"/>
    <w:pPr>
      <w:tabs>
        <w:tab w:val="center" w:pos="4535"/>
        <w:tab w:val="right" w:pos="9071"/>
      </w:tabs>
      <w:spacing w:before="0"/>
    </w:pPr>
  </w:style>
  <w:style w:type="paragraph" w:customStyle="1" w:styleId="HeaderLandscape">
    <w:name w:val="HeaderLandscape"/>
    <w:basedOn w:val="Normal"/>
    <w:rsid w:val="00627570"/>
    <w:pPr>
      <w:tabs>
        <w:tab w:val="center" w:pos="7285"/>
        <w:tab w:val="right" w:pos="14003"/>
      </w:tabs>
      <w:spacing w:before="0"/>
    </w:pPr>
  </w:style>
  <w:style w:type="paragraph" w:styleId="Footer">
    <w:name w:val="footer"/>
    <w:basedOn w:val="Normal"/>
    <w:link w:val="FooterChar"/>
    <w:uiPriority w:val="99"/>
    <w:unhideWhenUsed/>
    <w:rsid w:val="0062757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2757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eur-lex.europa.eu/eli/reg/2021/2116/o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eur-lex.europa.eu/eli/reg/2011/182/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ata.europa.eu/eli/reg/2016/2031/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1306/oj" TargetMode="External"/><Relationship Id="rId2" Type="http://schemas.openxmlformats.org/officeDocument/2006/relationships/hyperlink" Target="http://data.europa.eu/eli/reg/2020/2220/oj" TargetMode="External"/><Relationship Id="rId1" Type="http://schemas.openxmlformats.org/officeDocument/2006/relationships/hyperlink" Target="http://data.europa.eu/eli/reg/2013/1305/oj" TargetMode="External"/><Relationship Id="rId4" Type="http://schemas.openxmlformats.org/officeDocument/2006/relationships/hyperlink" Target="http://data.europa.eu/eli/reg/2011/18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02F4E93355DA4F835B6E3FA7AD4164" ma:contentTypeVersion="4" ma:contentTypeDescription="Create a new document." ma:contentTypeScope="" ma:versionID="e10557e68eb2f3b332ee2b43ea5a3b49">
  <xsd:schema xmlns:xsd="http://www.w3.org/2001/XMLSchema" xmlns:xs="http://www.w3.org/2001/XMLSchema" xmlns:p="http://schemas.microsoft.com/office/2006/metadata/properties" xmlns:ns2="1e39b9d3-0039-45db-90ff-99d5a42e1351" targetNamespace="http://schemas.microsoft.com/office/2006/metadata/properties" ma:root="true" ma:fieldsID="763951871ba93cf0d4b7b79f22f22729" ns2:_="">
    <xsd:import namespace="1e39b9d3-0039-45db-90ff-99d5a42e13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b9d3-0039-45db-90ff-99d5a42e1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B503-B75D-42FC-B9EC-FBAEC8308328}">
  <ds:schemaRefs>
    <ds:schemaRef ds:uri="http://schemas.microsoft.com/sharepoint/v3/contenttype/forms"/>
  </ds:schemaRefs>
</ds:datastoreItem>
</file>

<file path=customXml/itemProps2.xml><?xml version="1.0" encoding="utf-8"?>
<ds:datastoreItem xmlns:ds="http://schemas.openxmlformats.org/officeDocument/2006/customXml" ds:itemID="{7EC53928-ED2D-4DA9-81BD-93E64C2E9483}">
  <ds:schemaRefs>
    <ds:schemaRef ds:uri="1e39b9d3-0039-45db-90ff-99d5a42e1351"/>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5EEC960-50AD-456E-968F-8EC03EC53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b9d3-0039-45db-90ff-99d5a42e1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5EB6D-D605-4E20-9164-8044B8D1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8</Pages>
  <Words>4328</Words>
  <Characters>24674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28945</CharactersWithSpaces>
  <SharedDoc>false</SharedDoc>
  <HLinks>
    <vt:vector size="24" baseType="variant">
      <vt:variant>
        <vt:i4>8192033</vt:i4>
      </vt:variant>
      <vt:variant>
        <vt:i4>6</vt:i4>
      </vt:variant>
      <vt:variant>
        <vt:i4>0</vt:i4>
      </vt:variant>
      <vt:variant>
        <vt:i4>5</vt:i4>
      </vt:variant>
      <vt:variant>
        <vt:lpwstr>https://eur-lex.europa.eu/eli/reg/2021/2116/oj</vt:lpwstr>
      </vt:variant>
      <vt:variant>
        <vt:lpwstr/>
      </vt:variant>
      <vt:variant>
        <vt:i4>5701725</vt:i4>
      </vt:variant>
      <vt:variant>
        <vt:i4>3</vt:i4>
      </vt:variant>
      <vt:variant>
        <vt:i4>0</vt:i4>
      </vt:variant>
      <vt:variant>
        <vt:i4>5</vt:i4>
      </vt:variant>
      <vt:variant>
        <vt:lpwstr>https://eur-lex.europa.eu/eli/reg/2011/182/oj</vt:lpwstr>
      </vt:variant>
      <vt:variant>
        <vt:lpwstr/>
      </vt:variant>
      <vt:variant>
        <vt:i4>7274606</vt:i4>
      </vt:variant>
      <vt:variant>
        <vt:i4>0</vt:i4>
      </vt:variant>
      <vt:variant>
        <vt:i4>0</vt:i4>
      </vt:variant>
      <vt:variant>
        <vt:i4>5</vt:i4>
      </vt:variant>
      <vt:variant>
        <vt:lpwstr>http://data.europa.eu/eli/reg/2016/2031/oj</vt:lpwstr>
      </vt:variant>
      <vt:variant>
        <vt:lpwstr/>
      </vt:variant>
      <vt:variant>
        <vt:i4>6946921</vt:i4>
      </vt:variant>
      <vt:variant>
        <vt:i4>0</vt:i4>
      </vt:variant>
      <vt:variant>
        <vt:i4>0</vt:i4>
      </vt:variant>
      <vt:variant>
        <vt:i4>5</vt:i4>
      </vt:variant>
      <vt:variant>
        <vt:lpwstr>http://data.europa.eu/eli/reg/2013/1305/oj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22</cp:revision>
  <cp:lastPrinted>2024-10-15T01:27:00Z</cp:lastPrinted>
  <dcterms:created xsi:type="dcterms:W3CDTF">2024-10-17T14:02:00Z</dcterms:created>
  <dcterms:modified xsi:type="dcterms:W3CDTF">2024-10-22T18:40:00Z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2024-09-30T09:40:52Z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5f8158d9-4804-4f45-802f-fd2c781fd2b7</vt:lpwstr>
  </property>
  <property fmtid="{D5CDD505-2E9C-101B-9397-08002B2CF9AE}" pid="16" name="MSIP_Label_6bd9ddd1-4d20-43f6-abfa-fc3c07406f94_ContentBits">
    <vt:lpwstr>0</vt:lpwstr>
  </property>
  <property fmtid="{D5CDD505-2E9C-101B-9397-08002B2CF9AE}" pid="17" name="ContentTypeId">
    <vt:lpwstr>0x010100C502F4E93355DA4F835B6E3FA7AD4164</vt:lpwstr>
  </property>
  <property fmtid="{D5CDD505-2E9C-101B-9397-08002B2CF9AE}" pid="18" name="DQCStatus">
    <vt:lpwstr>Green (DQC version 03)</vt:lpwstr>
  </property>
</Properties>
</file>